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DF0B4">
      <w:pPr>
        <w:rPr>
          <w:rFonts w:ascii="Times New Roman" w:hAnsi="Times New Roman"/>
          <w:color w:val="auto"/>
        </w:rPr>
      </w:pPr>
    </w:p>
    <w:p w14:paraId="6908021B">
      <w:pPr>
        <w:rPr>
          <w:rFonts w:ascii="Times New Roman" w:hAnsi="Times New Roman"/>
          <w:color w:val="auto"/>
        </w:rPr>
      </w:pPr>
    </w:p>
    <w:p w14:paraId="7345A20B">
      <w:pPr>
        <w:rPr>
          <w:rFonts w:ascii="Times New Roman" w:hAnsi="Times New Roman"/>
          <w:color w:val="auto"/>
        </w:rPr>
      </w:pPr>
    </w:p>
    <w:p w14:paraId="516670D6">
      <w:pPr>
        <w:jc w:val="center"/>
        <w:rPr>
          <w:rFonts w:ascii="Times New Roman" w:hAnsi="Times New Roman"/>
          <w:b/>
          <w:bCs/>
          <w:color w:val="auto"/>
          <w:sz w:val="52"/>
          <w:szCs w:val="52"/>
        </w:rPr>
      </w:pPr>
      <w:r>
        <w:rPr>
          <w:rFonts w:ascii="Times New Roman" w:hAnsi="Times New Roman"/>
          <w:b/>
          <w:bCs/>
          <w:color w:val="auto"/>
          <w:sz w:val="52"/>
          <w:szCs w:val="52"/>
        </w:rPr>
        <w:t>建设项目</w:t>
      </w:r>
      <w:r>
        <w:rPr>
          <w:rFonts w:hint="eastAsia" w:ascii="Times New Roman" w:hAnsi="Times New Roman"/>
          <w:b/>
          <w:bCs/>
          <w:color w:val="auto"/>
          <w:sz w:val="52"/>
          <w:szCs w:val="52"/>
        </w:rPr>
        <w:t>生态</w:t>
      </w:r>
      <w:r>
        <w:rPr>
          <w:rFonts w:ascii="Times New Roman" w:hAnsi="Times New Roman"/>
          <w:b/>
          <w:bCs/>
          <w:color w:val="auto"/>
          <w:sz w:val="52"/>
          <w:szCs w:val="52"/>
        </w:rPr>
        <w:t>环境影响报告表</w:t>
      </w:r>
    </w:p>
    <w:p w14:paraId="6203B0DC">
      <w:pPr>
        <w:jc w:val="center"/>
        <w:rPr>
          <w:rFonts w:ascii="Times New Roman" w:hAnsi="Times New Roman"/>
          <w:b/>
          <w:color w:val="auto"/>
          <w:sz w:val="32"/>
          <w:szCs w:val="32"/>
        </w:rPr>
      </w:pPr>
      <w:r>
        <w:rPr>
          <w:rFonts w:ascii="Times New Roman" w:hAnsi="Times New Roman"/>
          <w:b/>
          <w:color w:val="auto"/>
          <w:sz w:val="32"/>
          <w:szCs w:val="32"/>
        </w:rPr>
        <w:t>（生态影响类）</w:t>
      </w:r>
    </w:p>
    <w:p w14:paraId="42A4D013">
      <w:pPr>
        <w:pStyle w:val="15"/>
        <w:jc w:val="center"/>
        <w:rPr>
          <w:color w:val="auto"/>
        </w:rPr>
      </w:pPr>
      <w:r>
        <w:rPr>
          <w:rFonts w:hint="eastAsia"/>
          <w:color w:val="auto"/>
        </w:rPr>
        <w:t>（报批稿）</w:t>
      </w:r>
    </w:p>
    <w:p w14:paraId="47CF2ECF">
      <w:pPr>
        <w:rPr>
          <w:rFonts w:ascii="Times New Roman" w:hAnsi="Times New Roman"/>
          <w:color w:val="auto"/>
        </w:rPr>
      </w:pPr>
    </w:p>
    <w:p w14:paraId="7243A718">
      <w:pPr>
        <w:rPr>
          <w:rFonts w:ascii="Times New Roman" w:hAnsi="Times New Roman"/>
          <w:color w:val="auto"/>
        </w:rPr>
      </w:pPr>
    </w:p>
    <w:p w14:paraId="286E3324">
      <w:pPr>
        <w:rPr>
          <w:rFonts w:ascii="Times New Roman" w:hAnsi="Times New Roman"/>
          <w:color w:val="auto"/>
        </w:rPr>
      </w:pPr>
    </w:p>
    <w:p w14:paraId="26ACA374">
      <w:pPr>
        <w:rPr>
          <w:rFonts w:ascii="Times New Roman" w:hAnsi="Times New Roman"/>
          <w:color w:val="auto"/>
        </w:rPr>
      </w:pPr>
    </w:p>
    <w:p w14:paraId="48075588">
      <w:pPr>
        <w:rPr>
          <w:rFonts w:ascii="Times New Roman" w:hAnsi="Times New Roman"/>
          <w:color w:val="auto"/>
        </w:rPr>
      </w:pPr>
    </w:p>
    <w:p w14:paraId="5C692BAE">
      <w:pPr>
        <w:rPr>
          <w:rFonts w:ascii="Times New Roman" w:hAnsi="Times New Roman"/>
          <w:color w:val="auto"/>
        </w:rPr>
      </w:pPr>
    </w:p>
    <w:p w14:paraId="49BD93EB">
      <w:pPr>
        <w:rPr>
          <w:rFonts w:ascii="Times New Roman" w:hAnsi="Times New Roman"/>
          <w:color w:val="auto"/>
        </w:rPr>
      </w:pPr>
    </w:p>
    <w:p w14:paraId="08E072D2">
      <w:pPr>
        <w:rPr>
          <w:rFonts w:ascii="Times New Roman" w:hAnsi="Times New Roman"/>
          <w:color w:val="auto"/>
        </w:rPr>
      </w:pPr>
    </w:p>
    <w:p w14:paraId="25A18A9A">
      <w:pPr>
        <w:rPr>
          <w:rFonts w:ascii="Times New Roman" w:hAnsi="Times New Roman"/>
          <w:color w:val="auto"/>
        </w:rPr>
      </w:pPr>
    </w:p>
    <w:p w14:paraId="414F0525">
      <w:pPr>
        <w:rPr>
          <w:rFonts w:ascii="Times New Roman" w:hAnsi="Times New Roman"/>
          <w:color w:val="auto"/>
        </w:rPr>
      </w:pPr>
    </w:p>
    <w:p w14:paraId="0F85360F">
      <w:pPr>
        <w:adjustRightInd w:val="0"/>
        <w:snapToGrid w:val="0"/>
        <w:spacing w:line="360" w:lineRule="auto"/>
        <w:ind w:left="2244" w:leftChars="304" w:hanging="1606" w:hangingChars="500"/>
        <w:rPr>
          <w:rFonts w:ascii="Times New Roman" w:hAnsi="Times New Roman"/>
          <w:b/>
          <w:color w:val="auto"/>
          <w:sz w:val="32"/>
          <w:szCs w:val="32"/>
          <w:u w:val="single"/>
        </w:rPr>
      </w:pPr>
      <w:r>
        <w:rPr>
          <w:rFonts w:ascii="Times New Roman" w:hAnsi="Times New Roman"/>
          <w:b/>
          <w:color w:val="auto"/>
          <w:sz w:val="32"/>
          <w:szCs w:val="32"/>
        </w:rPr>
        <w:t>项目名称：</w:t>
      </w:r>
      <w:r>
        <w:rPr>
          <w:rFonts w:hint="eastAsia" w:ascii="Times New Roman" w:hAnsi="Times New Roman"/>
          <w:b/>
          <w:color w:val="auto"/>
          <w:sz w:val="32"/>
          <w:szCs w:val="32"/>
          <w:u w:val="single"/>
        </w:rPr>
        <w:t xml:space="preserve">     </w:t>
      </w:r>
      <w:r>
        <w:rPr>
          <w:rFonts w:hint="eastAsia" w:ascii="Times New Roman" w:hAnsi="Times New Roman"/>
          <w:b/>
          <w:bCs/>
          <w:color w:val="auto"/>
          <w:sz w:val="32"/>
          <w:szCs w:val="32"/>
          <w:u w:val="single"/>
        </w:rPr>
        <w:t xml:space="preserve">六合一至乐业变220kV送出线路工程        </w:t>
      </w:r>
    </w:p>
    <w:p w14:paraId="04779A38">
      <w:pPr>
        <w:adjustRightInd w:val="0"/>
        <w:snapToGrid w:val="0"/>
        <w:spacing w:line="360" w:lineRule="auto"/>
        <w:ind w:firstLine="643" w:firstLineChars="200"/>
        <w:rPr>
          <w:rFonts w:ascii="Times New Roman" w:hAnsi="Times New Roman"/>
          <w:b/>
          <w:color w:val="auto"/>
          <w:sz w:val="32"/>
          <w:szCs w:val="32"/>
        </w:rPr>
      </w:pPr>
      <w:r>
        <w:rPr>
          <w:rFonts w:ascii="Times New Roman" w:hAnsi="Times New Roman"/>
          <w:b/>
          <w:color w:val="auto"/>
          <w:sz w:val="32"/>
          <w:szCs w:val="32"/>
        </w:rPr>
        <w:t>建设单位（盖章）：</w:t>
      </w:r>
      <w:r>
        <w:rPr>
          <w:rFonts w:hint="eastAsia" w:ascii="Times New Roman" w:hAnsi="Times New Roman"/>
          <w:b/>
          <w:color w:val="auto"/>
          <w:spacing w:val="-10"/>
          <w:sz w:val="32"/>
          <w:szCs w:val="32"/>
          <w:u w:val="single"/>
        </w:rPr>
        <w:t>云南华电道成清洁能源有限公司</w:t>
      </w:r>
      <w:r>
        <w:rPr>
          <w:rFonts w:ascii="Times New Roman" w:hAnsi="Times New Roman"/>
          <w:b/>
          <w:color w:val="auto"/>
          <w:spacing w:val="-10"/>
          <w:sz w:val="32"/>
          <w:szCs w:val="32"/>
          <w:u w:val="single"/>
        </w:rPr>
        <w:t xml:space="preserve">  </w:t>
      </w:r>
      <w:r>
        <w:rPr>
          <w:rFonts w:hint="eastAsia" w:ascii="Times New Roman" w:hAnsi="Times New Roman"/>
          <w:b/>
          <w:color w:val="auto"/>
          <w:spacing w:val="-10"/>
          <w:sz w:val="32"/>
          <w:szCs w:val="32"/>
          <w:u w:val="single"/>
        </w:rPr>
        <w:t xml:space="preserve">   </w:t>
      </w:r>
      <w:r>
        <w:rPr>
          <w:rFonts w:ascii="Times New Roman" w:hAnsi="Times New Roman"/>
          <w:b/>
          <w:color w:val="auto"/>
          <w:sz w:val="32"/>
          <w:szCs w:val="32"/>
        </w:rPr>
        <w:t xml:space="preserve"> </w:t>
      </w:r>
    </w:p>
    <w:p w14:paraId="7B6415BB">
      <w:pPr>
        <w:adjustRightInd w:val="0"/>
        <w:snapToGrid w:val="0"/>
        <w:spacing w:line="360" w:lineRule="auto"/>
        <w:ind w:firstLine="643" w:firstLineChars="200"/>
        <w:rPr>
          <w:rFonts w:ascii="Times New Roman" w:hAnsi="Times New Roman"/>
          <w:color w:val="auto"/>
        </w:rPr>
      </w:pPr>
      <w:r>
        <w:rPr>
          <w:rFonts w:ascii="Times New Roman" w:hAnsi="Times New Roman"/>
          <w:b/>
          <w:color w:val="auto"/>
          <w:sz w:val="32"/>
          <w:szCs w:val="32"/>
        </w:rPr>
        <w:t>编制日期：</w:t>
      </w:r>
      <w:r>
        <w:rPr>
          <w:rFonts w:ascii="Times New Roman" w:hAnsi="Times New Roman"/>
          <w:b/>
          <w:color w:val="auto"/>
          <w:sz w:val="32"/>
          <w:szCs w:val="32"/>
          <w:u w:val="single"/>
        </w:rPr>
        <w:t xml:space="preserve">              202</w:t>
      </w:r>
      <w:r>
        <w:rPr>
          <w:rFonts w:hint="eastAsia" w:ascii="Times New Roman" w:hAnsi="Times New Roman"/>
          <w:b/>
          <w:color w:val="auto"/>
          <w:sz w:val="32"/>
          <w:szCs w:val="32"/>
          <w:u w:val="single"/>
        </w:rPr>
        <w:t>6</w:t>
      </w:r>
      <w:r>
        <w:rPr>
          <w:rFonts w:ascii="Times New Roman" w:hAnsi="Times New Roman"/>
          <w:b/>
          <w:color w:val="auto"/>
          <w:sz w:val="32"/>
          <w:szCs w:val="32"/>
          <w:u w:val="single"/>
        </w:rPr>
        <w:t>年</w:t>
      </w:r>
      <w:r>
        <w:rPr>
          <w:rFonts w:hint="eastAsia" w:ascii="Times New Roman" w:hAnsi="Times New Roman"/>
          <w:b/>
          <w:color w:val="auto"/>
          <w:sz w:val="32"/>
          <w:szCs w:val="32"/>
          <w:u w:val="single"/>
          <w:lang w:val="en-US" w:eastAsia="zh-CN"/>
        </w:rPr>
        <w:t>10</w:t>
      </w:r>
      <w:r>
        <w:rPr>
          <w:rFonts w:ascii="Times New Roman" w:hAnsi="Times New Roman"/>
          <w:b/>
          <w:color w:val="auto"/>
          <w:sz w:val="32"/>
          <w:szCs w:val="32"/>
          <w:u w:val="single"/>
        </w:rPr>
        <w:t xml:space="preserve">月                  </w:t>
      </w:r>
    </w:p>
    <w:p w14:paraId="49A29A66">
      <w:pPr>
        <w:rPr>
          <w:rFonts w:ascii="Times New Roman" w:hAnsi="Times New Roman"/>
          <w:color w:val="auto"/>
        </w:rPr>
      </w:pPr>
    </w:p>
    <w:p w14:paraId="7E0A1172">
      <w:pPr>
        <w:rPr>
          <w:rFonts w:ascii="Times New Roman" w:hAnsi="Times New Roman"/>
          <w:color w:val="auto"/>
        </w:rPr>
      </w:pPr>
    </w:p>
    <w:p w14:paraId="634C2CCF">
      <w:pPr>
        <w:rPr>
          <w:rFonts w:ascii="Times New Roman" w:hAnsi="Times New Roman"/>
          <w:color w:val="auto"/>
        </w:rPr>
      </w:pPr>
    </w:p>
    <w:p w14:paraId="7C5FFEB3">
      <w:pPr>
        <w:rPr>
          <w:rFonts w:ascii="Times New Roman" w:hAnsi="Times New Roman"/>
          <w:color w:val="auto"/>
        </w:rPr>
      </w:pPr>
    </w:p>
    <w:p w14:paraId="09BB22C0">
      <w:pPr>
        <w:rPr>
          <w:rFonts w:ascii="Times New Roman" w:hAnsi="Times New Roman"/>
          <w:color w:val="auto"/>
        </w:rPr>
      </w:pPr>
    </w:p>
    <w:p w14:paraId="6B30CDD4">
      <w:pPr>
        <w:rPr>
          <w:rFonts w:ascii="Times New Roman" w:hAnsi="Times New Roman"/>
          <w:color w:val="auto"/>
        </w:rPr>
      </w:pPr>
    </w:p>
    <w:p w14:paraId="4A55330E">
      <w:pPr>
        <w:rPr>
          <w:rFonts w:ascii="Times New Roman" w:hAnsi="Times New Roman"/>
          <w:color w:val="auto"/>
        </w:rPr>
      </w:pPr>
    </w:p>
    <w:p w14:paraId="41946F6F">
      <w:pPr>
        <w:rPr>
          <w:rFonts w:ascii="Times New Roman" w:hAnsi="Times New Roman"/>
          <w:color w:val="auto"/>
        </w:rPr>
      </w:pPr>
    </w:p>
    <w:p w14:paraId="7683DCDF">
      <w:pPr>
        <w:rPr>
          <w:rFonts w:ascii="Times New Roman" w:hAnsi="Times New Roman"/>
          <w:color w:val="auto"/>
        </w:rPr>
      </w:pPr>
    </w:p>
    <w:p w14:paraId="3BBD5843">
      <w:pPr>
        <w:rPr>
          <w:rFonts w:ascii="Times New Roman" w:hAnsi="Times New Roman"/>
          <w:color w:val="auto"/>
        </w:rPr>
      </w:pPr>
    </w:p>
    <w:p w14:paraId="69EFE8EA">
      <w:pPr>
        <w:rPr>
          <w:rFonts w:ascii="Times New Roman" w:hAnsi="Times New Roman"/>
          <w:color w:val="auto"/>
        </w:rPr>
      </w:pPr>
    </w:p>
    <w:p w14:paraId="33C74C66">
      <w:pPr>
        <w:jc w:val="center"/>
        <w:rPr>
          <w:rFonts w:ascii="Times New Roman" w:hAnsi="Times New Roman"/>
          <w:b/>
          <w:color w:val="auto"/>
          <w:sz w:val="36"/>
          <w:szCs w:val="36"/>
        </w:rPr>
      </w:pPr>
      <w:r>
        <w:rPr>
          <w:rFonts w:ascii="Times New Roman" w:hAnsi="Times New Roman"/>
          <w:b/>
          <w:color w:val="auto"/>
          <w:sz w:val="36"/>
          <w:szCs w:val="36"/>
        </w:rPr>
        <w:t>中华人民共和国生态环境部制</w:t>
      </w:r>
    </w:p>
    <w:p w14:paraId="7FCAB466">
      <w:pPr>
        <w:jc w:val="center"/>
        <w:rPr>
          <w:rFonts w:ascii="Times New Roman" w:hAnsi="Times New Roman"/>
          <w:b/>
          <w:color w:val="auto"/>
          <w:sz w:val="28"/>
          <w:szCs w:val="28"/>
        </w:rPr>
        <w:sectPr>
          <w:headerReference r:id="rId3" w:type="default"/>
          <w:pgSz w:w="11906" w:h="16838"/>
          <w:pgMar w:top="1418" w:right="1418" w:bottom="1418" w:left="1418" w:header="794" w:footer="992" w:gutter="0"/>
          <w:pgBorders>
            <w:top w:val="none" w:sz="0" w:space="0"/>
            <w:left w:val="none" w:sz="0" w:space="0"/>
            <w:bottom w:val="none" w:sz="0" w:space="0"/>
            <w:right w:val="none" w:sz="0" w:space="0"/>
          </w:pgBorders>
          <w:pgNumType w:fmt="upperRoman"/>
          <w:cols w:space="425" w:num="1"/>
          <w:titlePg/>
          <w:docGrid w:type="lines" w:linePitch="312" w:charSpace="0"/>
        </w:sectPr>
      </w:pPr>
    </w:p>
    <w:p w14:paraId="1E77BAF9">
      <w:pPr>
        <w:jc w:val="center"/>
        <w:rPr>
          <w:rFonts w:ascii="Times New Roman" w:hAnsi="Times New Roman"/>
          <w:b/>
          <w:color w:val="auto"/>
          <w:sz w:val="28"/>
          <w:szCs w:val="28"/>
        </w:rPr>
      </w:pPr>
      <w:r>
        <w:rPr>
          <w:rFonts w:ascii="Times New Roman" w:hAnsi="Times New Roman"/>
          <w:b/>
          <w:color w:val="auto"/>
          <w:sz w:val="28"/>
          <w:szCs w:val="28"/>
        </w:rPr>
        <w:t>目  录</w:t>
      </w:r>
    </w:p>
    <w:p w14:paraId="724C9721">
      <w:pPr>
        <w:pStyle w:val="19"/>
        <w:tabs>
          <w:tab w:val="right" w:leader="dot" w:pos="9060"/>
        </w:tabs>
        <w:adjustRightInd w:val="0"/>
        <w:snapToGrid w:val="0"/>
        <w:spacing w:line="440" w:lineRule="exact"/>
        <w:ind w:firstLine="240" w:firstLineChars="100"/>
        <w:rPr>
          <w:rFonts w:ascii="Times New Roman" w:hAnsi="Times New Roman"/>
          <w:color w:val="auto"/>
          <w:szCs w:val="21"/>
        </w:rPr>
      </w:pPr>
      <w:r>
        <w:rPr>
          <w:rFonts w:ascii="Times New Roman" w:hAnsi="Times New Roman"/>
          <w:color w:val="auto"/>
          <w:sz w:val="24"/>
          <w:szCs w:val="24"/>
        </w:rPr>
        <w:fldChar w:fldCharType="begin"/>
      </w:r>
      <w:r>
        <w:rPr>
          <w:rFonts w:ascii="Times New Roman" w:hAnsi="Times New Roman"/>
          <w:color w:val="auto"/>
          <w:sz w:val="24"/>
          <w:szCs w:val="24"/>
        </w:rPr>
        <w:instrText xml:space="preserve"> TOC \o "1-1" \h \z \u </w:instrText>
      </w:r>
      <w:r>
        <w:rPr>
          <w:rFonts w:ascii="Times New Roman" w:hAnsi="Times New Roman"/>
          <w:color w:val="auto"/>
          <w:sz w:val="24"/>
          <w:szCs w:val="24"/>
        </w:rPr>
        <w:fldChar w:fldCharType="separate"/>
      </w:r>
      <w:r>
        <w:rPr>
          <w:color w:val="auto"/>
        </w:rPr>
        <w:fldChar w:fldCharType="begin"/>
      </w:r>
      <w:r>
        <w:rPr>
          <w:color w:val="auto"/>
        </w:rPr>
        <w:instrText xml:space="preserve"> HYPERLINK \l "_Toc74062912" </w:instrText>
      </w:r>
      <w:r>
        <w:rPr>
          <w:color w:val="auto"/>
        </w:rPr>
        <w:fldChar w:fldCharType="separate"/>
      </w:r>
      <w:r>
        <w:rPr>
          <w:rStyle w:val="32"/>
          <w:rFonts w:ascii="Times New Roman" w:hAnsi="Times New Roman"/>
          <w:color w:val="auto"/>
          <w:szCs w:val="21"/>
        </w:rPr>
        <w:t>一、建设项目基本情况</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_Toc74062912 \h </w:instrText>
      </w:r>
      <w:r>
        <w:rPr>
          <w:rFonts w:ascii="Times New Roman" w:hAnsi="Times New Roman"/>
          <w:color w:val="auto"/>
          <w:szCs w:val="21"/>
        </w:rPr>
        <w:fldChar w:fldCharType="separate"/>
      </w:r>
      <w:r>
        <w:rPr>
          <w:rFonts w:ascii="Times New Roman" w:hAnsi="Times New Roman"/>
          <w:color w:val="auto"/>
          <w:szCs w:val="21"/>
        </w:rPr>
        <w:t>1</w:t>
      </w:r>
      <w:r>
        <w:rPr>
          <w:rFonts w:ascii="Times New Roman" w:hAnsi="Times New Roman"/>
          <w:color w:val="auto"/>
          <w:szCs w:val="21"/>
        </w:rPr>
        <w:fldChar w:fldCharType="end"/>
      </w:r>
      <w:r>
        <w:rPr>
          <w:rFonts w:ascii="Times New Roman" w:hAnsi="Times New Roman"/>
          <w:color w:val="auto"/>
          <w:szCs w:val="21"/>
        </w:rPr>
        <w:fldChar w:fldCharType="end"/>
      </w:r>
    </w:p>
    <w:p w14:paraId="7F4EC16C">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"_Toc74062913" </w:instrText>
      </w:r>
      <w:r>
        <w:rPr>
          <w:color w:val="auto"/>
        </w:rPr>
        <w:fldChar w:fldCharType="separate"/>
      </w:r>
      <w:r>
        <w:rPr>
          <w:rStyle w:val="32"/>
          <w:rFonts w:ascii="Times New Roman" w:hAnsi="Times New Roman"/>
          <w:color w:val="auto"/>
          <w:szCs w:val="21"/>
        </w:rPr>
        <w:t>二、建设内容</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_Toc74062913 \h </w:instrText>
      </w:r>
      <w:r>
        <w:rPr>
          <w:rFonts w:ascii="Times New Roman" w:hAnsi="Times New Roman"/>
          <w:color w:val="auto"/>
          <w:szCs w:val="21"/>
        </w:rPr>
        <w:fldChar w:fldCharType="separate"/>
      </w:r>
      <w:r>
        <w:rPr>
          <w:rFonts w:ascii="Times New Roman" w:hAnsi="Times New Roman"/>
          <w:color w:val="auto"/>
          <w:szCs w:val="21"/>
        </w:rPr>
        <w:t>42</w:t>
      </w:r>
      <w:r>
        <w:rPr>
          <w:rFonts w:ascii="Times New Roman" w:hAnsi="Times New Roman"/>
          <w:color w:val="auto"/>
          <w:szCs w:val="21"/>
        </w:rPr>
        <w:fldChar w:fldCharType="end"/>
      </w:r>
      <w:r>
        <w:rPr>
          <w:rFonts w:ascii="Times New Roman" w:hAnsi="Times New Roman"/>
          <w:color w:val="auto"/>
          <w:szCs w:val="21"/>
        </w:rPr>
        <w:fldChar w:fldCharType="end"/>
      </w:r>
    </w:p>
    <w:p w14:paraId="0B5F56EE">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"_Toc74062914" </w:instrText>
      </w:r>
      <w:r>
        <w:rPr>
          <w:color w:val="auto"/>
        </w:rPr>
        <w:fldChar w:fldCharType="separate"/>
      </w:r>
      <w:r>
        <w:rPr>
          <w:rStyle w:val="32"/>
          <w:rFonts w:ascii="Times New Roman" w:hAnsi="Times New Roman"/>
          <w:color w:val="auto"/>
          <w:szCs w:val="21"/>
        </w:rPr>
        <w:t>三、生态环境现状、保护目标及评价标准</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_Toc74062914 \h </w:instrText>
      </w:r>
      <w:r>
        <w:rPr>
          <w:rFonts w:ascii="Times New Roman" w:hAnsi="Times New Roman"/>
          <w:color w:val="auto"/>
          <w:szCs w:val="21"/>
        </w:rPr>
        <w:fldChar w:fldCharType="separate"/>
      </w:r>
      <w:r>
        <w:rPr>
          <w:rFonts w:ascii="Times New Roman" w:hAnsi="Times New Roman"/>
          <w:color w:val="auto"/>
          <w:szCs w:val="21"/>
        </w:rPr>
        <w:t>66</w:t>
      </w:r>
      <w:r>
        <w:rPr>
          <w:rFonts w:ascii="Times New Roman" w:hAnsi="Times New Roman"/>
          <w:color w:val="auto"/>
          <w:szCs w:val="21"/>
        </w:rPr>
        <w:fldChar w:fldCharType="end"/>
      </w:r>
      <w:r>
        <w:rPr>
          <w:rFonts w:ascii="Times New Roman" w:hAnsi="Times New Roman"/>
          <w:color w:val="auto"/>
          <w:szCs w:val="21"/>
        </w:rPr>
        <w:fldChar w:fldCharType="end"/>
      </w:r>
    </w:p>
    <w:p w14:paraId="6396A454">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"_Toc74062915" </w:instrText>
      </w:r>
      <w:r>
        <w:rPr>
          <w:color w:val="auto"/>
        </w:rPr>
        <w:fldChar w:fldCharType="separate"/>
      </w:r>
      <w:r>
        <w:rPr>
          <w:rStyle w:val="32"/>
          <w:rFonts w:ascii="Times New Roman" w:hAnsi="Times New Roman"/>
          <w:color w:val="auto"/>
          <w:szCs w:val="21"/>
        </w:rPr>
        <w:t>四、生态环境影响分析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_Toc74062915 \h </w:instrText>
      </w:r>
      <w:r>
        <w:rPr>
          <w:rFonts w:ascii="Times New Roman" w:hAnsi="Times New Roman"/>
          <w:color w:val="auto"/>
          <w:szCs w:val="21"/>
        </w:rPr>
        <w:fldChar w:fldCharType="separate"/>
      </w:r>
      <w:r>
        <w:rPr>
          <w:rFonts w:ascii="Times New Roman" w:hAnsi="Times New Roman"/>
          <w:color w:val="auto"/>
          <w:szCs w:val="21"/>
        </w:rPr>
        <w:t>109</w:t>
      </w:r>
      <w:r>
        <w:rPr>
          <w:rFonts w:ascii="Times New Roman" w:hAnsi="Times New Roman"/>
          <w:color w:val="auto"/>
          <w:szCs w:val="21"/>
        </w:rPr>
        <w:fldChar w:fldCharType="end"/>
      </w:r>
      <w:r>
        <w:rPr>
          <w:rFonts w:ascii="Times New Roman" w:hAnsi="Times New Roman"/>
          <w:color w:val="auto"/>
          <w:szCs w:val="21"/>
        </w:rPr>
        <w:fldChar w:fldCharType="end"/>
      </w:r>
    </w:p>
    <w:p w14:paraId="252B0960">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"_Toc74062916" </w:instrText>
      </w:r>
      <w:r>
        <w:rPr>
          <w:color w:val="auto"/>
        </w:rPr>
        <w:fldChar w:fldCharType="separate"/>
      </w:r>
      <w:r>
        <w:rPr>
          <w:rStyle w:val="32"/>
          <w:rFonts w:ascii="Times New Roman" w:hAnsi="Times New Roman"/>
          <w:color w:val="auto"/>
          <w:szCs w:val="21"/>
        </w:rPr>
        <w:t>五、主要生态环境保护措施</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_Toc74062916 \h </w:instrText>
      </w:r>
      <w:r>
        <w:rPr>
          <w:rFonts w:ascii="Times New Roman" w:hAnsi="Times New Roman"/>
          <w:color w:val="auto"/>
          <w:szCs w:val="21"/>
        </w:rPr>
        <w:fldChar w:fldCharType="separate"/>
      </w:r>
      <w:r>
        <w:rPr>
          <w:rFonts w:ascii="Times New Roman" w:hAnsi="Times New Roman"/>
          <w:color w:val="auto"/>
          <w:szCs w:val="21"/>
        </w:rPr>
        <w:t>138</w:t>
      </w:r>
      <w:r>
        <w:rPr>
          <w:rFonts w:ascii="Times New Roman" w:hAnsi="Times New Roman"/>
          <w:color w:val="auto"/>
          <w:szCs w:val="21"/>
        </w:rPr>
        <w:fldChar w:fldCharType="end"/>
      </w:r>
      <w:r>
        <w:rPr>
          <w:rFonts w:ascii="Times New Roman" w:hAnsi="Times New Roman"/>
          <w:color w:val="auto"/>
          <w:szCs w:val="21"/>
        </w:rPr>
        <w:fldChar w:fldCharType="end"/>
      </w:r>
    </w:p>
    <w:p w14:paraId="7F138010">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"_Toc74062917" </w:instrText>
      </w:r>
      <w:r>
        <w:rPr>
          <w:color w:val="auto"/>
        </w:rPr>
        <w:fldChar w:fldCharType="separate"/>
      </w:r>
      <w:r>
        <w:rPr>
          <w:rStyle w:val="32"/>
          <w:rFonts w:ascii="Times New Roman" w:hAnsi="Times New Roman"/>
          <w:color w:val="auto"/>
          <w:szCs w:val="21"/>
        </w:rPr>
        <w:t>六、生态环境保护措施监督检查清单</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_Toc74062917 \h </w:instrText>
      </w:r>
      <w:r>
        <w:rPr>
          <w:rFonts w:ascii="Times New Roman" w:hAnsi="Times New Roman"/>
          <w:color w:val="auto"/>
          <w:szCs w:val="21"/>
        </w:rPr>
        <w:fldChar w:fldCharType="separate"/>
      </w:r>
      <w:r>
        <w:rPr>
          <w:rFonts w:ascii="Times New Roman" w:hAnsi="Times New Roman"/>
          <w:color w:val="auto"/>
          <w:szCs w:val="21"/>
        </w:rPr>
        <w:t>148</w:t>
      </w:r>
      <w:r>
        <w:rPr>
          <w:rFonts w:ascii="Times New Roman" w:hAnsi="Times New Roman"/>
          <w:color w:val="auto"/>
          <w:szCs w:val="21"/>
        </w:rPr>
        <w:fldChar w:fldCharType="end"/>
      </w:r>
      <w:r>
        <w:rPr>
          <w:rFonts w:ascii="Times New Roman" w:hAnsi="Times New Roman"/>
          <w:color w:val="auto"/>
          <w:szCs w:val="21"/>
        </w:rPr>
        <w:fldChar w:fldCharType="end"/>
      </w:r>
    </w:p>
    <w:p w14:paraId="2A24DE00">
      <w:pPr>
        <w:pStyle w:val="19"/>
        <w:tabs>
          <w:tab w:val="right" w:leader="dot" w:pos="9060"/>
        </w:tabs>
        <w:adjustRightInd w:val="0"/>
        <w:snapToGrid w:val="0"/>
        <w:spacing w:line="440" w:lineRule="exact"/>
        <w:ind w:firstLine="210" w:firstLineChars="100"/>
        <w:rPr>
          <w:rFonts w:ascii="Times New Roman" w:hAnsi="Times New Roman"/>
          <w:color w:val="auto"/>
          <w:szCs w:val="21"/>
        </w:rPr>
      </w:pPr>
      <w:r>
        <w:rPr>
          <w:color w:val="auto"/>
        </w:rPr>
        <w:fldChar w:fldCharType="begin"/>
      </w:r>
      <w:r>
        <w:rPr>
          <w:color w:val="auto"/>
        </w:rPr>
        <w:instrText xml:space="preserve"> HYPERLINK \l "_Toc74062918" </w:instrText>
      </w:r>
      <w:r>
        <w:rPr>
          <w:color w:val="auto"/>
        </w:rPr>
        <w:fldChar w:fldCharType="separate"/>
      </w:r>
      <w:r>
        <w:rPr>
          <w:rStyle w:val="32"/>
          <w:rFonts w:ascii="Times New Roman" w:hAnsi="Times New Roman"/>
          <w:color w:val="auto"/>
          <w:szCs w:val="21"/>
        </w:rPr>
        <w:t>七、结论</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_Toc74062918 \h </w:instrText>
      </w:r>
      <w:r>
        <w:rPr>
          <w:rFonts w:ascii="Times New Roman" w:hAnsi="Times New Roman"/>
          <w:color w:val="auto"/>
          <w:szCs w:val="21"/>
        </w:rPr>
        <w:fldChar w:fldCharType="separate"/>
      </w:r>
      <w:r>
        <w:rPr>
          <w:rFonts w:ascii="Times New Roman" w:hAnsi="Times New Roman"/>
          <w:color w:val="auto"/>
          <w:szCs w:val="21"/>
        </w:rPr>
        <w:t>158</w:t>
      </w:r>
      <w:r>
        <w:rPr>
          <w:rFonts w:ascii="Times New Roman" w:hAnsi="Times New Roman"/>
          <w:color w:val="auto"/>
          <w:szCs w:val="21"/>
        </w:rPr>
        <w:fldChar w:fldCharType="end"/>
      </w:r>
      <w:r>
        <w:rPr>
          <w:rFonts w:ascii="Times New Roman" w:hAnsi="Times New Roman"/>
          <w:color w:val="auto"/>
          <w:szCs w:val="21"/>
        </w:rPr>
        <w:fldChar w:fldCharType="end"/>
      </w:r>
    </w:p>
    <w:p w14:paraId="636566F6">
      <w:pPr>
        <w:adjustRightInd w:val="0"/>
        <w:snapToGrid w:val="0"/>
        <w:rPr>
          <w:rFonts w:ascii="Times New Roman" w:hAnsi="Times New Roman"/>
          <w:color w:val="auto"/>
          <w:sz w:val="24"/>
          <w:szCs w:val="24"/>
        </w:rPr>
      </w:pPr>
      <w:r>
        <w:rPr>
          <w:rFonts w:ascii="Times New Roman" w:hAnsi="Times New Roman"/>
          <w:color w:val="auto"/>
          <w:sz w:val="24"/>
          <w:szCs w:val="24"/>
        </w:rPr>
        <w:fldChar w:fldCharType="end"/>
      </w:r>
    </w:p>
    <w:p w14:paraId="442BD7B7">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==专题==</w:t>
      </w:r>
    </w:p>
    <w:p w14:paraId="03A3C231">
      <w:pPr>
        <w:adjustRightInd w:val="0"/>
        <w:snapToGrid w:val="0"/>
        <w:spacing w:line="440" w:lineRule="exact"/>
        <w:ind w:firstLine="480" w:firstLineChars="200"/>
        <w:rPr>
          <w:rFonts w:ascii="Times New Roman" w:hAnsi="Times New Roman"/>
          <w:color w:val="auto"/>
          <w:kern w:val="0"/>
          <w:sz w:val="24"/>
        </w:rPr>
        <w:sectPr>
          <w:headerReference r:id="rId4" w:type="first"/>
          <w:footerReference r:id="rId6" w:type="first"/>
          <w:footerReference r:id="rId5" w:type="default"/>
          <w:pgSz w:w="11906" w:h="16838"/>
          <w:pgMar w:top="1418" w:right="1418" w:bottom="1418" w:left="1418" w:header="794" w:footer="992" w:gutter="0"/>
          <w:pgBorders>
            <w:top w:val="none" w:sz="0" w:space="0"/>
            <w:left w:val="none" w:sz="0" w:space="0"/>
            <w:bottom w:val="none" w:sz="0" w:space="0"/>
            <w:right w:val="none" w:sz="0" w:space="0"/>
          </w:pgBorders>
          <w:pgNumType w:fmt="upperRoman" w:start="1"/>
          <w:cols w:space="425" w:num="1"/>
          <w:titlePg/>
          <w:docGrid w:type="lines" w:linePitch="312" w:charSpace="0"/>
        </w:sectPr>
      </w:pPr>
      <w:r>
        <w:rPr>
          <w:rFonts w:ascii="Times New Roman" w:hAnsi="Times New Roman"/>
          <w:color w:val="auto"/>
          <w:sz w:val="24"/>
          <w:szCs w:val="24"/>
        </w:rPr>
        <w:t>电磁环境</w:t>
      </w:r>
      <w:r>
        <w:rPr>
          <w:rFonts w:hint="eastAsia" w:ascii="Times New Roman" w:hAnsi="Times New Roman"/>
          <w:color w:val="auto"/>
          <w:sz w:val="24"/>
          <w:szCs w:val="24"/>
        </w:rPr>
        <w:t>影响</w:t>
      </w:r>
      <w:r>
        <w:rPr>
          <w:rFonts w:ascii="Times New Roman" w:hAnsi="Times New Roman"/>
          <w:color w:val="auto"/>
          <w:sz w:val="24"/>
          <w:szCs w:val="24"/>
        </w:rPr>
        <w:t>专题评价</w:t>
      </w:r>
      <w:r>
        <w:rPr>
          <w:rFonts w:hint="eastAsia" w:ascii="Times New Roman" w:hAnsi="Times New Roman"/>
          <w:color w:val="auto"/>
          <w:kern w:val="0"/>
          <w:sz w:val="24"/>
        </w:rPr>
        <w:t>。</w:t>
      </w:r>
    </w:p>
    <w:p w14:paraId="3C5D825B">
      <w:pPr>
        <w:pStyle w:val="3"/>
        <w:spacing w:line="240" w:lineRule="auto"/>
        <w:rPr>
          <w:rFonts w:ascii="Times New Roman" w:hAnsi="Times New Roman"/>
          <w:color w:val="auto"/>
        </w:rPr>
      </w:pPr>
      <w:bookmarkStart w:id="0" w:name="_Toc74062912"/>
      <w:r>
        <w:rPr>
          <w:rFonts w:ascii="Times New Roman" w:hAnsi="Times New Roman"/>
          <w:color w:val="auto"/>
        </w:rPr>
        <w:t>一、建设项目基本情况</w:t>
      </w:r>
      <w:bookmarkEnd w:id="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6"/>
        <w:gridCol w:w="1691"/>
        <w:gridCol w:w="2135"/>
        <w:gridCol w:w="3468"/>
      </w:tblGrid>
      <w:tr w14:paraId="4105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6A5EAB82">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建设项目名称</w:t>
            </w:r>
          </w:p>
        </w:tc>
        <w:tc>
          <w:tcPr>
            <w:tcW w:w="4025" w:type="pct"/>
            <w:gridSpan w:val="3"/>
            <w:tcBorders>
              <w:tl2br w:val="nil"/>
              <w:tr2bl w:val="nil"/>
            </w:tcBorders>
            <w:shd w:val="clear" w:color="auto" w:fill="auto"/>
            <w:vAlign w:val="center"/>
          </w:tcPr>
          <w:p w14:paraId="4CE67AE2">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六合一至乐业变220kV送出线路工程</w:t>
            </w:r>
          </w:p>
        </w:tc>
      </w:tr>
      <w:tr w14:paraId="1EF8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7B2CDF45">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项目代码</w:t>
            </w:r>
          </w:p>
        </w:tc>
        <w:tc>
          <w:tcPr>
            <w:tcW w:w="4025" w:type="pct"/>
            <w:gridSpan w:val="3"/>
            <w:tcBorders>
              <w:tl2br w:val="nil"/>
              <w:tr2bl w:val="nil"/>
            </w:tcBorders>
            <w:shd w:val="clear" w:color="auto" w:fill="auto"/>
            <w:vAlign w:val="center"/>
          </w:tcPr>
          <w:p w14:paraId="037E4A63">
            <w:pPr>
              <w:adjustRightInd w:val="0"/>
              <w:snapToGrid w:val="0"/>
              <w:jc w:val="center"/>
              <w:rPr>
                <w:rFonts w:ascii="Times New Roman" w:hAnsi="Times New Roman"/>
                <w:color w:val="auto"/>
                <w:sz w:val="24"/>
                <w:szCs w:val="24"/>
              </w:rPr>
            </w:pPr>
            <w:r>
              <w:rPr>
                <w:rFonts w:ascii="Times New Roman" w:hAnsi="Times New Roman"/>
                <w:color w:val="auto"/>
                <w:sz w:val="24"/>
                <w:szCs w:val="24"/>
              </w:rPr>
              <w:t>2605-530300-04-01-417549</w:t>
            </w:r>
          </w:p>
        </w:tc>
      </w:tr>
      <w:tr w14:paraId="6992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3CDC8D1A">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建设单位联系人</w:t>
            </w:r>
          </w:p>
        </w:tc>
        <w:tc>
          <w:tcPr>
            <w:tcW w:w="933" w:type="pct"/>
            <w:tcBorders>
              <w:tl2br w:val="nil"/>
              <w:tr2bl w:val="nil"/>
            </w:tcBorders>
            <w:shd w:val="clear" w:color="auto" w:fill="auto"/>
            <w:vAlign w:val="center"/>
          </w:tcPr>
          <w:p w14:paraId="741DE5D9">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张学修</w:t>
            </w:r>
          </w:p>
        </w:tc>
        <w:tc>
          <w:tcPr>
            <w:tcW w:w="1178" w:type="pct"/>
            <w:tcBorders>
              <w:tl2br w:val="nil"/>
              <w:tr2bl w:val="nil"/>
            </w:tcBorders>
            <w:shd w:val="clear" w:color="auto" w:fill="auto"/>
            <w:vAlign w:val="center"/>
          </w:tcPr>
          <w:p w14:paraId="3A07BA02">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联系方式</w:t>
            </w:r>
          </w:p>
        </w:tc>
        <w:tc>
          <w:tcPr>
            <w:tcW w:w="1914" w:type="pct"/>
            <w:tcBorders>
              <w:tl2br w:val="nil"/>
              <w:tr2bl w:val="nil"/>
            </w:tcBorders>
            <w:shd w:val="clear" w:color="auto" w:fill="auto"/>
            <w:vAlign w:val="center"/>
          </w:tcPr>
          <w:p w14:paraId="5577A216">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18</w:t>
            </w:r>
            <w:r>
              <w:rPr>
                <w:rFonts w:hint="eastAsia" w:ascii="Times New Roman" w:hAnsi="Times New Roman"/>
                <w:color w:val="auto"/>
                <w:sz w:val="24"/>
                <w:szCs w:val="24"/>
                <w:lang w:val="en-US" w:eastAsia="zh-CN"/>
              </w:rPr>
              <w:t>******</w:t>
            </w:r>
            <w:r>
              <w:rPr>
                <w:rFonts w:hint="eastAsia" w:ascii="Times New Roman" w:hAnsi="Times New Roman"/>
                <w:color w:val="auto"/>
                <w:sz w:val="24"/>
                <w:szCs w:val="24"/>
              </w:rPr>
              <w:t>58</w:t>
            </w:r>
          </w:p>
        </w:tc>
      </w:tr>
      <w:tr w14:paraId="4077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22C26C86">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建设地点</w:t>
            </w:r>
          </w:p>
        </w:tc>
        <w:tc>
          <w:tcPr>
            <w:tcW w:w="4025" w:type="pct"/>
            <w:gridSpan w:val="3"/>
            <w:tcBorders>
              <w:tl2br w:val="nil"/>
              <w:tr2bl w:val="nil"/>
            </w:tcBorders>
            <w:shd w:val="clear" w:color="auto" w:fill="auto"/>
            <w:vAlign w:val="center"/>
          </w:tcPr>
          <w:p w14:paraId="17CA219B">
            <w:pPr>
              <w:adjustRightInd w:val="0"/>
              <w:snapToGrid w:val="0"/>
              <w:jc w:val="left"/>
              <w:rPr>
                <w:rFonts w:ascii="Times New Roman" w:hAnsi="Times New Roman"/>
                <w:color w:val="auto"/>
                <w:sz w:val="24"/>
                <w:szCs w:val="24"/>
              </w:rPr>
            </w:pPr>
            <w:r>
              <w:rPr>
                <w:rFonts w:ascii="Times New Roman" w:hAnsi="Times New Roman"/>
                <w:color w:val="auto"/>
                <w:sz w:val="24"/>
                <w:szCs w:val="24"/>
              </w:rPr>
              <w:t>云南省（自治区）曲靖市</w:t>
            </w:r>
            <w:r>
              <w:rPr>
                <w:rFonts w:hint="eastAsia" w:ascii="Times New Roman" w:hAnsi="Times New Roman"/>
                <w:color w:val="auto"/>
                <w:sz w:val="24"/>
                <w:szCs w:val="24"/>
              </w:rPr>
              <w:t>会泽县乐业镇境内</w:t>
            </w:r>
          </w:p>
        </w:tc>
      </w:tr>
      <w:tr w14:paraId="081D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5473E74F">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地理坐标</w:t>
            </w:r>
          </w:p>
        </w:tc>
        <w:tc>
          <w:tcPr>
            <w:tcW w:w="4025" w:type="pct"/>
            <w:gridSpan w:val="3"/>
            <w:tcBorders>
              <w:tl2br w:val="nil"/>
              <w:tr2bl w:val="nil"/>
            </w:tcBorders>
            <w:shd w:val="clear" w:color="auto" w:fill="auto"/>
            <w:vAlign w:val="center"/>
          </w:tcPr>
          <w:p w14:paraId="7D7DB011">
            <w:pPr>
              <w:adjustRightInd w:val="0"/>
              <w:snapToGrid w:val="0"/>
              <w:jc w:val="left"/>
              <w:rPr>
                <w:rFonts w:ascii="Times New Roman" w:hAnsi="Times New Roman"/>
                <w:color w:val="auto"/>
                <w:sz w:val="24"/>
                <w:szCs w:val="24"/>
              </w:rPr>
            </w:pP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，坐标为：</w:t>
            </w:r>
          </w:p>
          <w:p w14:paraId="59D86B5E">
            <w:pPr>
              <w:adjustRightInd w:val="0"/>
              <w:snapToGrid w:val="0"/>
              <w:jc w:val="left"/>
              <w:rPr>
                <w:rFonts w:ascii="Times New Roman" w:hAnsi="Times New Roman"/>
                <w:color w:val="auto"/>
                <w:sz w:val="24"/>
                <w:szCs w:val="24"/>
              </w:rPr>
            </w:pPr>
            <w:r>
              <w:rPr>
                <w:rFonts w:hint="eastAsia" w:ascii="Times New Roman" w:hAnsi="Times New Roman"/>
                <w:color w:val="auto"/>
                <w:sz w:val="24"/>
                <w:szCs w:val="24"/>
              </w:rPr>
              <w:t>起点：</w:t>
            </w:r>
            <w:r>
              <w:rPr>
                <w:rFonts w:ascii="Times New Roman" w:hAnsi="Times New Roman"/>
                <w:color w:val="auto"/>
                <w:sz w:val="24"/>
                <w:szCs w:val="24"/>
              </w:rPr>
              <w:t>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26</w:t>
            </w:r>
            <w:r>
              <w:rPr>
                <w:rFonts w:ascii="Times New Roman" w:hAnsi="Times New Roman"/>
                <w:color w:val="auto"/>
                <w:sz w:val="24"/>
                <w:szCs w:val="24"/>
              </w:rPr>
              <w:t>′</w:t>
            </w:r>
            <w:r>
              <w:rPr>
                <w:rFonts w:hint="eastAsia" w:ascii="Times New Roman" w:hAnsi="Times New Roman"/>
                <w:color w:val="auto"/>
                <w:sz w:val="24"/>
                <w:szCs w:val="24"/>
              </w:rPr>
              <w:t>53.437</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35</w:t>
            </w:r>
            <w:r>
              <w:rPr>
                <w:rFonts w:ascii="Times New Roman" w:hAnsi="Times New Roman"/>
                <w:color w:val="auto"/>
                <w:sz w:val="24"/>
                <w:szCs w:val="24"/>
              </w:rPr>
              <w:t>′</w:t>
            </w:r>
            <w:r>
              <w:rPr>
                <w:rFonts w:hint="eastAsia" w:ascii="Times New Roman" w:hAnsi="Times New Roman"/>
                <w:color w:val="auto"/>
                <w:sz w:val="24"/>
                <w:szCs w:val="24"/>
              </w:rPr>
              <w:t>1.042</w:t>
            </w:r>
            <w:r>
              <w:rPr>
                <w:rFonts w:ascii="Times New Roman" w:hAnsi="Times New Roman"/>
                <w:color w:val="auto"/>
                <w:sz w:val="24"/>
                <w:szCs w:val="24"/>
              </w:rPr>
              <w:t>″</w:t>
            </w:r>
            <w:r>
              <w:rPr>
                <w:rFonts w:hint="eastAsia" w:ascii="Times New Roman" w:hAnsi="Times New Roman"/>
                <w:color w:val="auto"/>
                <w:sz w:val="24"/>
                <w:szCs w:val="24"/>
              </w:rPr>
              <w:t>；</w:t>
            </w:r>
          </w:p>
          <w:p w14:paraId="5E9BE444">
            <w:pPr>
              <w:adjustRightInd w:val="0"/>
              <w:snapToGrid w:val="0"/>
              <w:jc w:val="left"/>
              <w:rPr>
                <w:rFonts w:ascii="Times New Roman" w:hAnsi="Times New Roman"/>
                <w:color w:val="auto"/>
                <w:sz w:val="24"/>
                <w:szCs w:val="24"/>
              </w:rPr>
            </w:pPr>
            <w:r>
              <w:rPr>
                <w:rFonts w:hint="eastAsia" w:ascii="Times New Roman" w:hAnsi="Times New Roman"/>
                <w:color w:val="auto"/>
                <w:sz w:val="24"/>
                <w:szCs w:val="24"/>
              </w:rPr>
              <w:t>主要拐点（N12）：</w:t>
            </w:r>
            <w:r>
              <w:rPr>
                <w:rFonts w:ascii="Times New Roman" w:hAnsi="Times New Roman"/>
                <w:color w:val="auto"/>
                <w:sz w:val="24"/>
                <w:szCs w:val="24"/>
              </w:rPr>
              <w:t>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26</w:t>
            </w:r>
            <w:r>
              <w:rPr>
                <w:rFonts w:ascii="Times New Roman" w:hAnsi="Times New Roman"/>
                <w:color w:val="auto"/>
                <w:sz w:val="24"/>
                <w:szCs w:val="24"/>
              </w:rPr>
              <w:t>′</w:t>
            </w:r>
            <w:r>
              <w:rPr>
                <w:rFonts w:hint="eastAsia" w:ascii="Times New Roman" w:hAnsi="Times New Roman"/>
                <w:color w:val="auto"/>
                <w:sz w:val="24"/>
                <w:szCs w:val="24"/>
              </w:rPr>
              <w:t>26.265</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37</w:t>
            </w:r>
            <w:r>
              <w:rPr>
                <w:rFonts w:ascii="Times New Roman" w:hAnsi="Times New Roman"/>
                <w:color w:val="auto"/>
                <w:sz w:val="24"/>
                <w:szCs w:val="24"/>
              </w:rPr>
              <w:t>′</w:t>
            </w:r>
            <w:r>
              <w:rPr>
                <w:rFonts w:hint="eastAsia" w:ascii="Times New Roman" w:hAnsi="Times New Roman"/>
                <w:color w:val="auto"/>
                <w:sz w:val="24"/>
                <w:szCs w:val="24"/>
              </w:rPr>
              <w:t>3.556</w:t>
            </w:r>
            <w:r>
              <w:rPr>
                <w:rFonts w:ascii="Times New Roman" w:hAnsi="Times New Roman"/>
                <w:color w:val="auto"/>
                <w:sz w:val="24"/>
                <w:szCs w:val="24"/>
              </w:rPr>
              <w:t>″</w:t>
            </w:r>
            <w:r>
              <w:rPr>
                <w:rFonts w:hint="eastAsia" w:ascii="Times New Roman" w:hAnsi="Times New Roman"/>
                <w:color w:val="auto"/>
                <w:sz w:val="24"/>
                <w:szCs w:val="24"/>
              </w:rPr>
              <w:t>；</w:t>
            </w:r>
          </w:p>
          <w:p w14:paraId="1D90ECDB">
            <w:pPr>
              <w:adjustRightInd w:val="0"/>
              <w:snapToGrid w:val="0"/>
              <w:jc w:val="left"/>
              <w:rPr>
                <w:rFonts w:ascii="Times New Roman" w:hAnsi="Times New Roman"/>
                <w:color w:val="auto"/>
                <w:sz w:val="24"/>
                <w:szCs w:val="24"/>
              </w:rPr>
            </w:pPr>
            <w:r>
              <w:rPr>
                <w:rFonts w:hint="eastAsia" w:ascii="Times New Roman" w:hAnsi="Times New Roman"/>
                <w:color w:val="auto"/>
                <w:sz w:val="24"/>
                <w:szCs w:val="24"/>
              </w:rPr>
              <w:t>主要拐点（N51）：</w:t>
            </w:r>
            <w:r>
              <w:rPr>
                <w:rFonts w:ascii="Times New Roman" w:hAnsi="Times New Roman"/>
                <w:color w:val="auto"/>
                <w:sz w:val="24"/>
                <w:szCs w:val="24"/>
              </w:rPr>
              <w:t>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31</w:t>
            </w:r>
            <w:r>
              <w:rPr>
                <w:rFonts w:ascii="Times New Roman" w:hAnsi="Times New Roman"/>
                <w:color w:val="auto"/>
                <w:sz w:val="24"/>
                <w:szCs w:val="24"/>
              </w:rPr>
              <w:t>′</w:t>
            </w:r>
            <w:r>
              <w:rPr>
                <w:rFonts w:hint="eastAsia" w:ascii="Times New Roman" w:hAnsi="Times New Roman"/>
                <w:color w:val="auto"/>
                <w:sz w:val="24"/>
                <w:szCs w:val="24"/>
              </w:rPr>
              <w:t>12.661</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42</w:t>
            </w:r>
            <w:r>
              <w:rPr>
                <w:rFonts w:ascii="Times New Roman" w:hAnsi="Times New Roman"/>
                <w:color w:val="auto"/>
                <w:sz w:val="24"/>
                <w:szCs w:val="24"/>
              </w:rPr>
              <w:t>′</w:t>
            </w:r>
            <w:r>
              <w:rPr>
                <w:rFonts w:hint="eastAsia" w:ascii="Times New Roman" w:hAnsi="Times New Roman"/>
                <w:color w:val="auto"/>
                <w:sz w:val="24"/>
                <w:szCs w:val="24"/>
              </w:rPr>
              <w:t>42.596</w:t>
            </w:r>
            <w:r>
              <w:rPr>
                <w:rFonts w:ascii="Times New Roman" w:hAnsi="Times New Roman"/>
                <w:color w:val="auto"/>
                <w:sz w:val="24"/>
                <w:szCs w:val="24"/>
              </w:rPr>
              <w:t>″</w:t>
            </w:r>
            <w:r>
              <w:rPr>
                <w:rFonts w:hint="eastAsia" w:ascii="Times New Roman" w:hAnsi="Times New Roman"/>
                <w:color w:val="auto"/>
                <w:sz w:val="24"/>
                <w:szCs w:val="24"/>
              </w:rPr>
              <w:t>；</w:t>
            </w:r>
          </w:p>
          <w:p w14:paraId="5BDB5377">
            <w:pPr>
              <w:adjustRightInd w:val="0"/>
              <w:snapToGrid w:val="0"/>
              <w:jc w:val="left"/>
              <w:rPr>
                <w:rFonts w:ascii="Times New Roman" w:hAnsi="Times New Roman"/>
                <w:color w:val="auto"/>
              </w:rPr>
            </w:pPr>
            <w:r>
              <w:rPr>
                <w:rFonts w:ascii="Times New Roman" w:hAnsi="Times New Roman"/>
                <w:color w:val="auto"/>
                <w:sz w:val="24"/>
                <w:szCs w:val="24"/>
              </w:rPr>
              <w:t>终点10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32</w:t>
            </w:r>
            <w:r>
              <w:rPr>
                <w:rFonts w:ascii="Times New Roman" w:hAnsi="Times New Roman"/>
                <w:color w:val="auto"/>
                <w:sz w:val="24"/>
                <w:szCs w:val="24"/>
              </w:rPr>
              <w:t>′</w:t>
            </w:r>
            <w:r>
              <w:rPr>
                <w:rFonts w:hint="eastAsia" w:ascii="Times New Roman" w:hAnsi="Times New Roman"/>
                <w:color w:val="auto"/>
                <w:sz w:val="24"/>
                <w:szCs w:val="24"/>
              </w:rPr>
              <w:t>59.253</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43</w:t>
            </w:r>
            <w:r>
              <w:rPr>
                <w:rFonts w:ascii="Times New Roman" w:hAnsi="Times New Roman"/>
                <w:color w:val="auto"/>
                <w:sz w:val="24"/>
                <w:szCs w:val="24"/>
              </w:rPr>
              <w:t>′</w:t>
            </w:r>
            <w:r>
              <w:rPr>
                <w:rFonts w:hint="eastAsia" w:ascii="Times New Roman" w:hAnsi="Times New Roman"/>
                <w:color w:val="auto"/>
                <w:sz w:val="24"/>
                <w:szCs w:val="24"/>
              </w:rPr>
              <w:t>54.543</w:t>
            </w:r>
            <w:r>
              <w:rPr>
                <w:rFonts w:ascii="Times New Roman" w:hAnsi="Times New Roman"/>
                <w:color w:val="auto"/>
                <w:sz w:val="24"/>
                <w:szCs w:val="24"/>
              </w:rPr>
              <w:t>″</w:t>
            </w:r>
            <w:r>
              <w:rPr>
                <w:rFonts w:hint="eastAsia" w:ascii="Times New Roman" w:hAnsi="Times New Roman"/>
                <w:color w:val="auto"/>
                <w:sz w:val="24"/>
                <w:szCs w:val="24"/>
              </w:rPr>
              <w:t>。</w:t>
            </w:r>
          </w:p>
        </w:tc>
      </w:tr>
      <w:tr w14:paraId="613E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7E5F030A">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建设项目行业类别</w:t>
            </w:r>
          </w:p>
        </w:tc>
        <w:tc>
          <w:tcPr>
            <w:tcW w:w="933" w:type="pct"/>
            <w:tcBorders>
              <w:tl2br w:val="nil"/>
              <w:tr2bl w:val="nil"/>
            </w:tcBorders>
            <w:shd w:val="clear" w:color="auto" w:fill="auto"/>
            <w:vAlign w:val="center"/>
          </w:tcPr>
          <w:p w14:paraId="1E049AA9">
            <w:pPr>
              <w:adjustRightInd w:val="0"/>
              <w:snapToGrid w:val="0"/>
              <w:jc w:val="center"/>
              <w:rPr>
                <w:rFonts w:ascii="Times New Roman" w:hAnsi="Times New Roman"/>
                <w:color w:val="auto"/>
                <w:sz w:val="24"/>
                <w:szCs w:val="24"/>
              </w:rPr>
            </w:pPr>
            <w:r>
              <w:rPr>
                <w:rFonts w:ascii="Times New Roman" w:hAnsi="Times New Roman"/>
                <w:color w:val="auto"/>
                <w:sz w:val="24"/>
                <w:szCs w:val="24"/>
              </w:rPr>
              <w:t>五十五、核与辐射 161输变电工程中其他（100千伏以下除外）</w:t>
            </w:r>
          </w:p>
        </w:tc>
        <w:tc>
          <w:tcPr>
            <w:tcW w:w="1178" w:type="pct"/>
            <w:tcBorders>
              <w:tl2br w:val="nil"/>
              <w:tr2bl w:val="nil"/>
            </w:tcBorders>
            <w:shd w:val="clear" w:color="auto" w:fill="auto"/>
            <w:vAlign w:val="center"/>
          </w:tcPr>
          <w:p w14:paraId="31ADFAF8">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用地（用海）面积（m</w:t>
            </w:r>
            <w:r>
              <w:rPr>
                <w:rFonts w:ascii="Times New Roman" w:hAnsi="Times New Roman"/>
                <w:b/>
                <w:color w:val="auto"/>
                <w:sz w:val="24"/>
                <w:szCs w:val="24"/>
                <w:vertAlign w:val="superscript"/>
              </w:rPr>
              <w:t>2</w:t>
            </w:r>
            <w:r>
              <w:rPr>
                <w:rFonts w:ascii="Times New Roman" w:hAnsi="Times New Roman"/>
                <w:b/>
                <w:color w:val="auto"/>
                <w:sz w:val="24"/>
                <w:szCs w:val="24"/>
              </w:rPr>
              <w:t>）/长度（km）</w:t>
            </w:r>
          </w:p>
        </w:tc>
        <w:tc>
          <w:tcPr>
            <w:tcW w:w="1914" w:type="pct"/>
            <w:tcBorders>
              <w:tl2br w:val="nil"/>
              <w:tr2bl w:val="nil"/>
            </w:tcBorders>
            <w:shd w:val="clear" w:color="auto" w:fill="auto"/>
            <w:vAlign w:val="center"/>
          </w:tcPr>
          <w:p w14:paraId="7A81D10F">
            <w:pPr>
              <w:adjustRightInd w:val="0"/>
              <w:snapToGrid w:val="0"/>
              <w:jc w:val="center"/>
              <w:rPr>
                <w:rFonts w:ascii="Times New Roman" w:hAnsi="Times New Roman"/>
                <w:color w:val="auto"/>
                <w:sz w:val="24"/>
                <w:szCs w:val="24"/>
              </w:rPr>
            </w:pPr>
            <w:r>
              <w:rPr>
                <w:rFonts w:ascii="Times New Roman" w:hAnsi="Times New Roman"/>
                <w:color w:val="auto"/>
                <w:sz w:val="24"/>
                <w:szCs w:val="24"/>
              </w:rPr>
              <w:t>项目总占地</w:t>
            </w:r>
            <w:r>
              <w:rPr>
                <w:rFonts w:hint="eastAsia" w:ascii="Times New Roman" w:hAnsi="Times New Roman" w:eastAsia="方正仿宋_GB2312"/>
                <w:color w:val="auto"/>
                <w:sz w:val="24"/>
              </w:rPr>
              <w:t>0.92</w:t>
            </w:r>
            <w:r>
              <w:rPr>
                <w:rFonts w:ascii="Times New Roman" w:hAnsi="Times New Roman" w:eastAsia="方正仿宋_GB2312"/>
                <w:color w:val="auto"/>
                <w:sz w:val="24"/>
              </w:rPr>
              <w:t>hm</w:t>
            </w:r>
            <w:r>
              <w:rPr>
                <w:rFonts w:ascii="Times New Roman" w:hAnsi="Times New Roman" w:eastAsia="方正仿宋_GB2312"/>
                <w:color w:val="auto"/>
                <w:sz w:val="24"/>
                <w:vertAlign w:val="superscript"/>
              </w:rPr>
              <w:t>2</w:t>
            </w:r>
            <w:r>
              <w:rPr>
                <w:rFonts w:ascii="Times New Roman" w:hAnsi="Times New Roman" w:eastAsia="方正仿宋_GB2312"/>
                <w:color w:val="auto"/>
                <w:sz w:val="24"/>
              </w:rPr>
              <w:t>，</w:t>
            </w:r>
            <w:r>
              <w:rPr>
                <w:rFonts w:ascii="Times New Roman" w:hAnsi="Times New Roman"/>
                <w:bCs/>
                <w:color w:val="auto"/>
                <w:sz w:val="24"/>
              </w:rPr>
              <w:t>永久占地0.</w:t>
            </w:r>
            <w:r>
              <w:rPr>
                <w:rFonts w:hint="eastAsia" w:ascii="Times New Roman" w:hAnsi="Times New Roman"/>
                <w:bCs/>
                <w:color w:val="auto"/>
                <w:sz w:val="24"/>
              </w:rPr>
              <w:t>38</w:t>
            </w:r>
            <w:r>
              <w:rPr>
                <w:rFonts w:ascii="Times New Roman" w:hAnsi="Times New Roman"/>
                <w:bCs/>
                <w:color w:val="auto"/>
                <w:sz w:val="24"/>
              </w:rPr>
              <w:t>hm</w:t>
            </w:r>
            <w:r>
              <w:rPr>
                <w:rFonts w:ascii="Times New Roman" w:hAnsi="Times New Roman"/>
                <w:bCs/>
                <w:color w:val="auto"/>
                <w:sz w:val="24"/>
                <w:vertAlign w:val="superscript"/>
              </w:rPr>
              <w:t>2</w:t>
            </w:r>
            <w:r>
              <w:rPr>
                <w:rFonts w:ascii="Times New Roman" w:hAnsi="Times New Roman"/>
                <w:bCs/>
                <w:color w:val="auto"/>
                <w:sz w:val="24"/>
              </w:rPr>
              <w:t>，临时占地0.</w:t>
            </w:r>
            <w:r>
              <w:rPr>
                <w:rFonts w:hint="eastAsia" w:ascii="Times New Roman" w:hAnsi="Times New Roman"/>
                <w:bCs/>
                <w:color w:val="auto"/>
                <w:sz w:val="24"/>
              </w:rPr>
              <w:t>54</w:t>
            </w:r>
            <w:r>
              <w:rPr>
                <w:rFonts w:ascii="Times New Roman" w:hAnsi="Times New Roman"/>
                <w:bCs/>
                <w:color w:val="auto"/>
                <w:sz w:val="24"/>
              </w:rPr>
              <w:t>hm</w:t>
            </w:r>
            <w:r>
              <w:rPr>
                <w:rFonts w:ascii="Times New Roman" w:hAnsi="Times New Roman"/>
                <w:bCs/>
                <w:color w:val="auto"/>
                <w:sz w:val="24"/>
                <w:vertAlign w:val="superscript"/>
              </w:rPr>
              <w:t>2</w:t>
            </w:r>
            <w:r>
              <w:rPr>
                <w:rFonts w:ascii="Times New Roman" w:hAnsi="Times New Roman"/>
                <w:color w:val="auto"/>
                <w:sz w:val="24"/>
              </w:rPr>
              <w:t>。线路长度</w:t>
            </w:r>
            <w:r>
              <w:rPr>
                <w:rFonts w:hint="eastAsia" w:ascii="Times New Roman" w:hAnsi="Times New Roman"/>
                <w:color w:val="auto"/>
                <w:sz w:val="24"/>
              </w:rPr>
              <w:t>22</w:t>
            </w:r>
            <w:r>
              <w:rPr>
                <w:rFonts w:ascii="Times New Roman" w:hAnsi="Times New Roman"/>
                <w:color w:val="auto"/>
                <w:sz w:val="24"/>
              </w:rPr>
              <w:t>km。</w:t>
            </w:r>
          </w:p>
        </w:tc>
      </w:tr>
      <w:tr w14:paraId="78CC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292715B6">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建设性质</w:t>
            </w:r>
          </w:p>
        </w:tc>
        <w:tc>
          <w:tcPr>
            <w:tcW w:w="933" w:type="pct"/>
            <w:tcBorders>
              <w:tl2br w:val="nil"/>
              <w:tr2bl w:val="nil"/>
            </w:tcBorders>
            <w:shd w:val="clear" w:color="auto" w:fill="auto"/>
            <w:vAlign w:val="center"/>
          </w:tcPr>
          <w:p w14:paraId="5B78A3F5">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52"/>
            </w:r>
            <w:r>
              <w:rPr>
                <w:rFonts w:ascii="Times New Roman" w:hAnsi="Times New Roman"/>
                <w:color w:val="auto"/>
                <w:sz w:val="24"/>
                <w:szCs w:val="24"/>
              </w:rPr>
              <w:t>新建（迁建）</w:t>
            </w:r>
          </w:p>
          <w:p w14:paraId="3E36DABA">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改建</w:t>
            </w:r>
          </w:p>
          <w:p w14:paraId="5971DA8D">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扩建</w:t>
            </w:r>
          </w:p>
          <w:p w14:paraId="7FDA29E9">
            <w:pPr>
              <w:adjustRightInd w:val="0"/>
              <w:snapToGrid w:val="0"/>
              <w:jc w:val="left"/>
              <w:rPr>
                <w:rFonts w:ascii="Times New Roman" w:hAnsi="Times New Roman"/>
                <w:b/>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技术改造</w:t>
            </w:r>
          </w:p>
        </w:tc>
        <w:tc>
          <w:tcPr>
            <w:tcW w:w="1178" w:type="pct"/>
            <w:tcBorders>
              <w:tl2br w:val="nil"/>
              <w:tr2bl w:val="nil"/>
            </w:tcBorders>
            <w:shd w:val="clear" w:color="auto" w:fill="auto"/>
            <w:vAlign w:val="center"/>
          </w:tcPr>
          <w:p w14:paraId="6F86D5EA">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建设项目</w:t>
            </w:r>
          </w:p>
          <w:p w14:paraId="22C95F08">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申报情形</w:t>
            </w:r>
          </w:p>
        </w:tc>
        <w:tc>
          <w:tcPr>
            <w:tcW w:w="1914" w:type="pct"/>
            <w:tcBorders>
              <w:tl2br w:val="nil"/>
              <w:tr2bl w:val="nil"/>
            </w:tcBorders>
            <w:shd w:val="clear" w:color="auto" w:fill="auto"/>
            <w:vAlign w:val="center"/>
          </w:tcPr>
          <w:p w14:paraId="224F7479">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52"/>
            </w:r>
            <w:r>
              <w:rPr>
                <w:rFonts w:ascii="Times New Roman" w:hAnsi="Times New Roman"/>
                <w:color w:val="auto"/>
                <w:sz w:val="24"/>
                <w:szCs w:val="24"/>
              </w:rPr>
              <w:t>首次申报项目</w:t>
            </w:r>
          </w:p>
          <w:p w14:paraId="5D341322">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不予批准后再次申报项目</w:t>
            </w:r>
          </w:p>
          <w:p w14:paraId="31CEDCA3">
            <w:pPr>
              <w:adjustRightInd w:val="0"/>
              <w:snapToGrid w:val="0"/>
              <w:jc w:val="left"/>
              <w:rPr>
                <w:rFonts w:ascii="Times New Roman" w:hAnsi="Times New Roman"/>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超五年重新审核项目</w:t>
            </w:r>
          </w:p>
          <w:p w14:paraId="67F33886">
            <w:pPr>
              <w:adjustRightInd w:val="0"/>
              <w:snapToGrid w:val="0"/>
              <w:jc w:val="left"/>
              <w:rPr>
                <w:rFonts w:ascii="Times New Roman" w:hAnsi="Times New Roman"/>
                <w:b/>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重大变动重新报批项目</w:t>
            </w:r>
          </w:p>
        </w:tc>
      </w:tr>
      <w:tr w14:paraId="39D7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4FFF2AE2">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项目审批（核准/备案）部门（选填）</w:t>
            </w:r>
          </w:p>
        </w:tc>
        <w:tc>
          <w:tcPr>
            <w:tcW w:w="933" w:type="pct"/>
            <w:tcBorders>
              <w:tl2br w:val="nil"/>
              <w:tr2bl w:val="nil"/>
            </w:tcBorders>
            <w:shd w:val="clear" w:color="auto" w:fill="auto"/>
            <w:vAlign w:val="center"/>
          </w:tcPr>
          <w:p w14:paraId="0B1D09D4">
            <w:pPr>
              <w:adjustRightInd w:val="0"/>
              <w:snapToGrid w:val="0"/>
              <w:jc w:val="center"/>
              <w:rPr>
                <w:rFonts w:ascii="Times New Roman" w:hAnsi="Times New Roman"/>
                <w:color w:val="auto"/>
                <w:sz w:val="24"/>
                <w:szCs w:val="24"/>
              </w:rPr>
            </w:pPr>
            <w:r>
              <w:rPr>
                <w:rFonts w:ascii="Times New Roman" w:hAnsi="Times New Roman"/>
                <w:color w:val="auto"/>
                <w:sz w:val="24"/>
                <w:szCs w:val="24"/>
              </w:rPr>
              <w:t>曲靖市发展和改革委员会</w:t>
            </w:r>
          </w:p>
        </w:tc>
        <w:tc>
          <w:tcPr>
            <w:tcW w:w="1178" w:type="pct"/>
            <w:tcBorders>
              <w:tl2br w:val="nil"/>
              <w:tr2bl w:val="nil"/>
            </w:tcBorders>
            <w:shd w:val="clear" w:color="auto" w:fill="auto"/>
            <w:vAlign w:val="center"/>
          </w:tcPr>
          <w:p w14:paraId="740EC8CD">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项目审批（核准/备案）文号（选填）</w:t>
            </w:r>
          </w:p>
        </w:tc>
        <w:tc>
          <w:tcPr>
            <w:tcW w:w="1914" w:type="pct"/>
            <w:tcBorders>
              <w:tl2br w:val="nil"/>
              <w:tr2bl w:val="nil"/>
            </w:tcBorders>
            <w:shd w:val="clear" w:color="auto" w:fill="auto"/>
            <w:vAlign w:val="center"/>
          </w:tcPr>
          <w:p w14:paraId="763A68EA">
            <w:pPr>
              <w:adjustRightInd w:val="0"/>
              <w:snapToGrid w:val="0"/>
              <w:jc w:val="center"/>
              <w:rPr>
                <w:rFonts w:ascii="Times New Roman" w:hAnsi="Times New Roman"/>
                <w:color w:val="auto"/>
                <w:sz w:val="24"/>
                <w:szCs w:val="24"/>
              </w:rPr>
            </w:pPr>
            <w:r>
              <w:rPr>
                <w:rFonts w:ascii="Times New Roman" w:hAnsi="Times New Roman"/>
                <w:color w:val="auto"/>
                <w:sz w:val="24"/>
                <w:szCs w:val="24"/>
              </w:rPr>
              <w:t>曲发改基础〔2026〕</w:t>
            </w:r>
            <w:r>
              <w:rPr>
                <w:rFonts w:hint="eastAsia" w:ascii="Times New Roman" w:hAnsi="Times New Roman"/>
                <w:color w:val="auto"/>
                <w:sz w:val="24"/>
                <w:szCs w:val="24"/>
              </w:rPr>
              <w:t>25</w:t>
            </w:r>
            <w:r>
              <w:rPr>
                <w:rFonts w:ascii="Times New Roman" w:hAnsi="Times New Roman"/>
                <w:color w:val="auto"/>
                <w:sz w:val="24"/>
                <w:szCs w:val="24"/>
              </w:rPr>
              <w:t>号</w:t>
            </w:r>
          </w:p>
        </w:tc>
      </w:tr>
      <w:tr w14:paraId="6DE5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4" w:type="pct"/>
            <w:tcBorders>
              <w:tl2br w:val="nil"/>
              <w:tr2bl w:val="nil"/>
            </w:tcBorders>
            <w:shd w:val="clear" w:color="auto" w:fill="auto"/>
            <w:vAlign w:val="center"/>
          </w:tcPr>
          <w:p w14:paraId="27618DA0">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总投资（万元）</w:t>
            </w:r>
          </w:p>
        </w:tc>
        <w:tc>
          <w:tcPr>
            <w:tcW w:w="933" w:type="pct"/>
            <w:tcBorders>
              <w:tl2br w:val="nil"/>
              <w:tr2bl w:val="nil"/>
            </w:tcBorders>
            <w:shd w:val="clear" w:color="auto" w:fill="auto"/>
            <w:vAlign w:val="center"/>
          </w:tcPr>
          <w:p w14:paraId="6483070B">
            <w:pPr>
              <w:adjustRightInd w:val="0"/>
              <w:snapToGrid w:val="0"/>
              <w:jc w:val="center"/>
              <w:rPr>
                <w:rFonts w:ascii="Times New Roman" w:hAnsi="Times New Roman"/>
                <w:color w:val="auto"/>
                <w:sz w:val="24"/>
                <w:szCs w:val="24"/>
              </w:rPr>
            </w:pPr>
            <w:r>
              <w:rPr>
                <w:rFonts w:ascii="Times New Roman" w:hAnsi="Times New Roman"/>
                <w:color w:val="auto"/>
                <w:sz w:val="24"/>
                <w:szCs w:val="24"/>
              </w:rPr>
              <w:t>3291.09</w:t>
            </w:r>
          </w:p>
        </w:tc>
        <w:tc>
          <w:tcPr>
            <w:tcW w:w="1178" w:type="pct"/>
            <w:tcBorders>
              <w:tl2br w:val="nil"/>
              <w:tr2bl w:val="nil"/>
            </w:tcBorders>
            <w:shd w:val="clear" w:color="auto" w:fill="auto"/>
            <w:vAlign w:val="center"/>
          </w:tcPr>
          <w:p w14:paraId="11B21B9F">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环保投资（万元）</w:t>
            </w:r>
          </w:p>
        </w:tc>
        <w:tc>
          <w:tcPr>
            <w:tcW w:w="1914" w:type="pct"/>
            <w:tcBorders>
              <w:tl2br w:val="nil"/>
              <w:tr2bl w:val="nil"/>
            </w:tcBorders>
            <w:shd w:val="clear" w:color="auto" w:fill="auto"/>
            <w:vAlign w:val="center"/>
          </w:tcPr>
          <w:p w14:paraId="78DA6871">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53</w:t>
            </w:r>
          </w:p>
        </w:tc>
      </w:tr>
      <w:tr w14:paraId="2787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2046CF47">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环保投资占比（%）</w:t>
            </w:r>
          </w:p>
        </w:tc>
        <w:tc>
          <w:tcPr>
            <w:tcW w:w="933" w:type="pct"/>
            <w:tcBorders>
              <w:tl2br w:val="nil"/>
              <w:tr2bl w:val="nil"/>
            </w:tcBorders>
            <w:shd w:val="clear" w:color="auto" w:fill="auto"/>
            <w:vAlign w:val="center"/>
          </w:tcPr>
          <w:p w14:paraId="578A9402">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1.61</w:t>
            </w:r>
            <w:r>
              <w:rPr>
                <w:rFonts w:ascii="Times New Roman" w:hAnsi="Times New Roman"/>
                <w:color w:val="auto"/>
                <w:sz w:val="24"/>
                <w:szCs w:val="24"/>
              </w:rPr>
              <w:t>%</w:t>
            </w:r>
          </w:p>
        </w:tc>
        <w:tc>
          <w:tcPr>
            <w:tcW w:w="1178" w:type="pct"/>
            <w:tcBorders>
              <w:tl2br w:val="nil"/>
              <w:tr2bl w:val="nil"/>
            </w:tcBorders>
            <w:shd w:val="clear" w:color="auto" w:fill="auto"/>
            <w:vAlign w:val="center"/>
          </w:tcPr>
          <w:p w14:paraId="7A5CF9EC">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施工工期</w:t>
            </w:r>
          </w:p>
        </w:tc>
        <w:tc>
          <w:tcPr>
            <w:tcW w:w="1914" w:type="pct"/>
            <w:tcBorders>
              <w:tl2br w:val="nil"/>
              <w:tr2bl w:val="nil"/>
            </w:tcBorders>
            <w:shd w:val="clear" w:color="auto" w:fill="auto"/>
            <w:vAlign w:val="center"/>
          </w:tcPr>
          <w:p w14:paraId="5BECD3D6">
            <w:pPr>
              <w:adjustRightInd w:val="0"/>
              <w:snapToGrid w:val="0"/>
              <w:jc w:val="center"/>
              <w:rPr>
                <w:rFonts w:ascii="Times New Roman" w:hAnsi="Times New Roman"/>
                <w:color w:val="auto"/>
                <w:sz w:val="24"/>
                <w:szCs w:val="24"/>
              </w:rPr>
            </w:pPr>
            <w:r>
              <w:rPr>
                <w:rFonts w:hint="eastAsia" w:ascii="Times New Roman" w:hAnsi="Times New Roman"/>
                <w:color w:val="auto"/>
                <w:sz w:val="24"/>
                <w:szCs w:val="24"/>
              </w:rPr>
              <w:t>8</w:t>
            </w:r>
            <w:r>
              <w:rPr>
                <w:rFonts w:ascii="Times New Roman" w:hAnsi="Times New Roman"/>
                <w:color w:val="auto"/>
                <w:sz w:val="24"/>
                <w:szCs w:val="24"/>
              </w:rPr>
              <w:t>月</w:t>
            </w:r>
          </w:p>
        </w:tc>
      </w:tr>
      <w:tr w14:paraId="1D0F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16E131DF">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是否开工建设</w:t>
            </w:r>
          </w:p>
        </w:tc>
        <w:tc>
          <w:tcPr>
            <w:tcW w:w="4025" w:type="pct"/>
            <w:gridSpan w:val="3"/>
            <w:tcBorders>
              <w:tl2br w:val="nil"/>
              <w:tr2bl w:val="nil"/>
            </w:tcBorders>
            <w:shd w:val="clear" w:color="auto" w:fill="auto"/>
            <w:vAlign w:val="center"/>
          </w:tcPr>
          <w:p w14:paraId="5843069C">
            <w:pPr>
              <w:adjustRightInd w:val="0"/>
              <w:snapToGrid w:val="0"/>
              <w:rPr>
                <w:rFonts w:ascii="Times New Roman" w:hAnsi="Times New Roman"/>
                <w:color w:val="auto"/>
                <w:sz w:val="24"/>
                <w:szCs w:val="24"/>
              </w:rPr>
            </w:pPr>
            <w:r>
              <w:rPr>
                <w:rFonts w:ascii="Times New Roman" w:hAnsi="Times New Roman"/>
                <w:color w:val="auto"/>
                <w:sz w:val="24"/>
                <w:szCs w:val="24"/>
              </w:rPr>
              <w:sym w:font="Wingdings 2" w:char="0052"/>
            </w:r>
            <w:r>
              <w:rPr>
                <w:rFonts w:ascii="Times New Roman" w:hAnsi="Times New Roman"/>
                <w:color w:val="auto"/>
                <w:sz w:val="24"/>
                <w:szCs w:val="24"/>
              </w:rPr>
              <w:t>否</w:t>
            </w:r>
          </w:p>
          <w:p w14:paraId="1E617D45">
            <w:pPr>
              <w:adjustRightInd w:val="0"/>
              <w:snapToGrid w:val="0"/>
              <w:rPr>
                <w:rFonts w:ascii="Times New Roman" w:hAnsi="Times New Roman"/>
                <w:color w:val="auto"/>
                <w:sz w:val="24"/>
                <w:szCs w:val="24"/>
              </w:rPr>
            </w:pPr>
            <w:r>
              <w:rPr>
                <w:rFonts w:ascii="Times New Roman" w:hAnsi="Times New Roman"/>
                <w:color w:val="auto"/>
                <w:sz w:val="24"/>
                <w:szCs w:val="24"/>
              </w:rPr>
              <w:sym w:font="Wingdings 2" w:char="00A3"/>
            </w:r>
            <w:r>
              <w:rPr>
                <w:rFonts w:ascii="Times New Roman" w:hAnsi="Times New Roman"/>
                <w:color w:val="auto"/>
                <w:sz w:val="24"/>
                <w:szCs w:val="24"/>
              </w:rPr>
              <w:t>是：</w:t>
            </w:r>
            <w:r>
              <w:rPr>
                <w:rFonts w:ascii="Times New Roman" w:hAnsi="Times New Roman"/>
                <w:color w:val="auto"/>
                <w:sz w:val="24"/>
                <w:szCs w:val="24"/>
                <w:u w:val="single"/>
              </w:rPr>
              <w:t xml:space="preserve">           </w:t>
            </w:r>
          </w:p>
        </w:tc>
      </w:tr>
      <w:tr w14:paraId="7BA8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7565E671">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专项评价设置情况</w:t>
            </w:r>
          </w:p>
        </w:tc>
        <w:tc>
          <w:tcPr>
            <w:tcW w:w="4025" w:type="pct"/>
            <w:gridSpan w:val="3"/>
            <w:tcBorders>
              <w:tl2br w:val="nil"/>
              <w:tr2bl w:val="nil"/>
            </w:tcBorders>
            <w:shd w:val="clear" w:color="auto" w:fill="auto"/>
            <w:vAlign w:val="center"/>
          </w:tcPr>
          <w:p w14:paraId="61466653">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本项目专项评价设置原则表情况见下表。</w:t>
            </w:r>
          </w:p>
          <w:p w14:paraId="64D05FEF">
            <w:pPr>
              <w:autoSpaceDE w:val="0"/>
              <w:autoSpaceDN w:val="0"/>
              <w:adjustRightInd w:val="0"/>
              <w:snapToGrid w:val="0"/>
              <w:jc w:val="center"/>
              <w:rPr>
                <w:rFonts w:ascii="Times New Roman" w:hAnsi="Times New Roman"/>
                <w:b/>
                <w:bCs/>
                <w:color w:val="auto"/>
                <w:spacing w:val="-6"/>
                <w:sz w:val="24"/>
                <w:szCs w:val="24"/>
              </w:rPr>
            </w:pPr>
            <w:r>
              <w:rPr>
                <w:rFonts w:ascii="Times New Roman" w:hAnsi="Times New Roman"/>
                <w:b/>
                <w:bCs/>
                <w:color w:val="auto"/>
                <w:spacing w:val="-6"/>
                <w:sz w:val="24"/>
                <w:szCs w:val="24"/>
              </w:rPr>
              <w:t>表</w:t>
            </w:r>
            <w:r>
              <w:rPr>
                <w:rFonts w:ascii="Times New Roman" w:hAnsi="Times New Roman"/>
                <w:b/>
                <w:bCs/>
                <w:color w:val="auto"/>
                <w:spacing w:val="-4"/>
                <w:sz w:val="24"/>
                <w:szCs w:val="24"/>
              </w:rPr>
              <w:t>1-1  专项评价设置原则表</w:t>
            </w:r>
          </w:p>
          <w:tbl>
            <w:tblPr>
              <w:tblStyle w:val="27"/>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41"/>
              <w:gridCol w:w="3582"/>
              <w:gridCol w:w="1909"/>
              <w:gridCol w:w="745"/>
            </w:tblGrid>
            <w:tr w14:paraId="79D7A7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28FD2F3D">
                  <w:pPr>
                    <w:adjustRightInd w:val="0"/>
                    <w:snapToGrid w:val="0"/>
                    <w:jc w:val="center"/>
                    <w:rPr>
                      <w:rFonts w:ascii="Times New Roman" w:hAnsi="Times New Roman"/>
                      <w:color w:val="auto"/>
                      <w:szCs w:val="21"/>
                    </w:rPr>
                  </w:pPr>
                  <w:r>
                    <w:rPr>
                      <w:rFonts w:ascii="Times New Roman" w:hAnsi="Times New Roman"/>
                      <w:color w:val="auto"/>
                      <w:szCs w:val="21"/>
                    </w:rPr>
                    <w:t>专项评价类别</w:t>
                  </w:r>
                </w:p>
              </w:tc>
              <w:tc>
                <w:tcPr>
                  <w:tcW w:w="2531" w:type="pct"/>
                  <w:tcBorders>
                    <w:tl2br w:val="nil"/>
                    <w:tr2bl w:val="nil"/>
                  </w:tcBorders>
                  <w:shd w:val="clear" w:color="auto" w:fill="auto"/>
                  <w:vAlign w:val="center"/>
                </w:tcPr>
                <w:p w14:paraId="140A01B8">
                  <w:pPr>
                    <w:adjustRightInd w:val="0"/>
                    <w:snapToGrid w:val="0"/>
                    <w:jc w:val="center"/>
                    <w:rPr>
                      <w:rFonts w:ascii="Times New Roman" w:hAnsi="Times New Roman"/>
                      <w:color w:val="auto"/>
                      <w:szCs w:val="21"/>
                    </w:rPr>
                  </w:pPr>
                  <w:r>
                    <w:rPr>
                      <w:rFonts w:ascii="Times New Roman" w:hAnsi="Times New Roman"/>
                      <w:color w:val="auto"/>
                      <w:szCs w:val="21"/>
                    </w:rPr>
                    <w:t>涉及项目类别</w:t>
                  </w:r>
                </w:p>
              </w:tc>
              <w:tc>
                <w:tcPr>
                  <w:tcW w:w="1349" w:type="pct"/>
                  <w:tcBorders>
                    <w:tl2br w:val="nil"/>
                    <w:tr2bl w:val="nil"/>
                  </w:tcBorders>
                  <w:shd w:val="clear" w:color="auto" w:fill="auto"/>
                  <w:vAlign w:val="center"/>
                </w:tcPr>
                <w:p w14:paraId="5EF0990E">
                  <w:pPr>
                    <w:adjustRightInd w:val="0"/>
                    <w:snapToGrid w:val="0"/>
                    <w:jc w:val="center"/>
                    <w:rPr>
                      <w:rFonts w:ascii="Times New Roman" w:hAnsi="Times New Roman"/>
                      <w:color w:val="auto"/>
                      <w:szCs w:val="21"/>
                    </w:rPr>
                  </w:pPr>
                  <w:r>
                    <w:rPr>
                      <w:rFonts w:ascii="Times New Roman" w:hAnsi="Times New Roman"/>
                      <w:color w:val="auto"/>
                      <w:szCs w:val="21"/>
                    </w:rPr>
                    <w:t>本项目专项评价判定</w:t>
                  </w:r>
                </w:p>
              </w:tc>
              <w:tc>
                <w:tcPr>
                  <w:tcW w:w="524" w:type="pct"/>
                  <w:tcBorders>
                    <w:tl2br w:val="nil"/>
                    <w:tr2bl w:val="nil"/>
                  </w:tcBorders>
                  <w:shd w:val="clear" w:color="auto" w:fill="auto"/>
                  <w:vAlign w:val="center"/>
                </w:tcPr>
                <w:p w14:paraId="4F2C842E">
                  <w:pPr>
                    <w:adjustRightInd w:val="0"/>
                    <w:snapToGrid w:val="0"/>
                    <w:jc w:val="center"/>
                    <w:rPr>
                      <w:rFonts w:ascii="Times New Roman" w:hAnsi="Times New Roman"/>
                      <w:color w:val="auto"/>
                      <w:szCs w:val="21"/>
                    </w:rPr>
                  </w:pPr>
                  <w:r>
                    <w:rPr>
                      <w:rFonts w:ascii="Times New Roman" w:hAnsi="Times New Roman"/>
                      <w:color w:val="auto"/>
                      <w:szCs w:val="21"/>
                    </w:rPr>
                    <w:t>设置情况</w:t>
                  </w:r>
                </w:p>
              </w:tc>
            </w:tr>
            <w:tr w14:paraId="5DAD4C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6137906C">
                  <w:pPr>
                    <w:adjustRightInd w:val="0"/>
                    <w:snapToGrid w:val="0"/>
                    <w:jc w:val="center"/>
                    <w:rPr>
                      <w:rFonts w:ascii="Times New Roman" w:hAnsi="Times New Roman"/>
                      <w:color w:val="auto"/>
                      <w:szCs w:val="21"/>
                    </w:rPr>
                  </w:pPr>
                  <w:r>
                    <w:rPr>
                      <w:rFonts w:ascii="Times New Roman" w:hAnsi="Times New Roman"/>
                      <w:color w:val="auto"/>
                      <w:szCs w:val="21"/>
                    </w:rPr>
                    <w:t>地表水</w:t>
                  </w:r>
                </w:p>
              </w:tc>
              <w:tc>
                <w:tcPr>
                  <w:tcW w:w="2531" w:type="pct"/>
                  <w:tcBorders>
                    <w:tl2br w:val="nil"/>
                    <w:tr2bl w:val="nil"/>
                  </w:tcBorders>
                  <w:shd w:val="clear" w:color="auto" w:fill="auto"/>
                  <w:vAlign w:val="center"/>
                </w:tcPr>
                <w:p w14:paraId="2BAC612B">
                  <w:pPr>
                    <w:adjustRightInd w:val="0"/>
                    <w:snapToGrid w:val="0"/>
                    <w:jc w:val="left"/>
                    <w:rPr>
                      <w:rFonts w:ascii="Times New Roman" w:hAnsi="Times New Roman"/>
                      <w:color w:val="auto"/>
                      <w:szCs w:val="21"/>
                    </w:rPr>
                  </w:pPr>
                  <w:r>
                    <w:rPr>
                      <w:rFonts w:ascii="Times New Roman" w:hAnsi="Times New Roman"/>
                      <w:color w:val="auto"/>
                      <w:szCs w:val="21"/>
                    </w:rPr>
                    <w:t>水力发电：引水式发电、涉及调峰发电的项目；人工湖、人工湿地：全部；</w:t>
                  </w:r>
                </w:p>
                <w:p w14:paraId="0F18719C">
                  <w:pPr>
                    <w:adjustRightInd w:val="0"/>
                    <w:snapToGrid w:val="0"/>
                    <w:jc w:val="left"/>
                    <w:rPr>
                      <w:rFonts w:ascii="Times New Roman" w:hAnsi="Times New Roman"/>
                      <w:color w:val="auto"/>
                      <w:szCs w:val="21"/>
                    </w:rPr>
                  </w:pPr>
                  <w:r>
                    <w:rPr>
                      <w:rFonts w:ascii="Times New Roman" w:hAnsi="Times New Roman"/>
                      <w:color w:val="auto"/>
                      <w:szCs w:val="21"/>
                    </w:rPr>
                    <w:t>水库：全部；</w:t>
                  </w:r>
                </w:p>
                <w:p w14:paraId="37CB2FFC">
                  <w:pPr>
                    <w:adjustRightInd w:val="0"/>
                    <w:snapToGrid w:val="0"/>
                    <w:jc w:val="left"/>
                    <w:rPr>
                      <w:rFonts w:ascii="Times New Roman" w:hAnsi="Times New Roman"/>
                      <w:color w:val="auto"/>
                      <w:szCs w:val="21"/>
                    </w:rPr>
                  </w:pPr>
                  <w:r>
                    <w:rPr>
                      <w:rFonts w:ascii="Times New Roman" w:hAnsi="Times New Roman"/>
                      <w:color w:val="auto"/>
                      <w:szCs w:val="21"/>
                    </w:rPr>
                    <w:t>引水工程：全部（配套的管线工程等除外）；</w:t>
                  </w:r>
                </w:p>
                <w:p w14:paraId="08FCA6E0">
                  <w:pPr>
                    <w:adjustRightInd w:val="0"/>
                    <w:snapToGrid w:val="0"/>
                    <w:jc w:val="left"/>
                    <w:rPr>
                      <w:rFonts w:ascii="Times New Roman" w:hAnsi="Times New Roman"/>
                      <w:color w:val="auto"/>
                      <w:szCs w:val="21"/>
                    </w:rPr>
                  </w:pPr>
                  <w:r>
                    <w:rPr>
                      <w:rFonts w:ascii="Times New Roman" w:hAnsi="Times New Roman"/>
                      <w:color w:val="auto"/>
                      <w:szCs w:val="21"/>
                    </w:rPr>
                    <w:t>防洪除涝工程：包含水库的项目；</w:t>
                  </w:r>
                </w:p>
                <w:p w14:paraId="5F9A880F">
                  <w:pPr>
                    <w:adjustRightInd w:val="0"/>
                    <w:snapToGrid w:val="0"/>
                    <w:jc w:val="left"/>
                    <w:rPr>
                      <w:rFonts w:ascii="Times New Roman" w:hAnsi="Times New Roman"/>
                      <w:color w:val="auto"/>
                      <w:szCs w:val="21"/>
                    </w:rPr>
                  </w:pPr>
                  <w:r>
                    <w:rPr>
                      <w:rFonts w:ascii="Times New Roman" w:hAnsi="Times New Roman"/>
                      <w:color w:val="auto"/>
                      <w:szCs w:val="21"/>
                    </w:rPr>
                    <w:t>河湖整治：涉及清淤且底泥存在重金属污染的项目</w:t>
                  </w:r>
                </w:p>
              </w:tc>
              <w:tc>
                <w:tcPr>
                  <w:tcW w:w="1349" w:type="pct"/>
                  <w:tcBorders>
                    <w:tl2br w:val="nil"/>
                    <w:tr2bl w:val="nil"/>
                  </w:tcBorders>
                  <w:shd w:val="clear" w:color="auto" w:fill="auto"/>
                  <w:vAlign w:val="center"/>
                </w:tcPr>
                <w:p w14:paraId="4662997D">
                  <w:pPr>
                    <w:adjustRightInd w:val="0"/>
                    <w:snapToGrid w:val="0"/>
                    <w:jc w:val="center"/>
                    <w:rPr>
                      <w:rFonts w:ascii="Times New Roman" w:hAnsi="Times New Roman"/>
                      <w:color w:val="auto"/>
                      <w:szCs w:val="21"/>
                    </w:rPr>
                  </w:pPr>
                  <w:r>
                    <w:rPr>
                      <w:rFonts w:ascii="Times New Roman" w:hAnsi="Times New Roman"/>
                      <w:color w:val="auto"/>
                      <w:szCs w:val="21"/>
                    </w:rPr>
                    <w:t>本项目为输变电建设项目，不属于需做地表水专项的项目类别</w:t>
                  </w:r>
                </w:p>
              </w:tc>
              <w:tc>
                <w:tcPr>
                  <w:tcW w:w="524" w:type="pct"/>
                  <w:tcBorders>
                    <w:tl2br w:val="nil"/>
                    <w:tr2bl w:val="nil"/>
                  </w:tcBorders>
                  <w:shd w:val="clear" w:color="auto" w:fill="auto"/>
                  <w:vAlign w:val="center"/>
                </w:tcPr>
                <w:p w14:paraId="4FA73BC8">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46FC7A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5C62C38A">
                  <w:pPr>
                    <w:adjustRightInd w:val="0"/>
                    <w:snapToGrid w:val="0"/>
                    <w:jc w:val="center"/>
                    <w:rPr>
                      <w:rFonts w:ascii="Times New Roman" w:hAnsi="Times New Roman"/>
                      <w:color w:val="auto"/>
                      <w:szCs w:val="21"/>
                    </w:rPr>
                  </w:pPr>
                  <w:r>
                    <w:rPr>
                      <w:rFonts w:ascii="Times New Roman" w:hAnsi="Times New Roman"/>
                      <w:color w:val="auto"/>
                      <w:szCs w:val="21"/>
                    </w:rPr>
                    <w:t>地下水</w:t>
                  </w:r>
                </w:p>
              </w:tc>
              <w:tc>
                <w:tcPr>
                  <w:tcW w:w="2531" w:type="pct"/>
                  <w:tcBorders>
                    <w:tl2br w:val="nil"/>
                    <w:tr2bl w:val="nil"/>
                  </w:tcBorders>
                  <w:shd w:val="clear" w:color="auto" w:fill="auto"/>
                  <w:vAlign w:val="center"/>
                </w:tcPr>
                <w:p w14:paraId="53F45E4C">
                  <w:pPr>
                    <w:adjustRightInd w:val="0"/>
                    <w:snapToGrid w:val="0"/>
                    <w:jc w:val="left"/>
                    <w:rPr>
                      <w:rFonts w:ascii="Times New Roman" w:hAnsi="Times New Roman"/>
                      <w:color w:val="auto"/>
                      <w:szCs w:val="21"/>
                    </w:rPr>
                  </w:pPr>
                  <w:r>
                    <w:rPr>
                      <w:rFonts w:ascii="Times New Roman" w:hAnsi="Times New Roman"/>
                      <w:color w:val="auto"/>
                      <w:szCs w:val="21"/>
                    </w:rPr>
                    <w:t>陆地石油和天然气开采：全部；</w:t>
                  </w:r>
                </w:p>
                <w:p w14:paraId="60D2694B">
                  <w:pPr>
                    <w:adjustRightInd w:val="0"/>
                    <w:snapToGrid w:val="0"/>
                    <w:jc w:val="left"/>
                    <w:rPr>
                      <w:rFonts w:ascii="Times New Roman" w:hAnsi="Times New Roman"/>
                      <w:color w:val="auto"/>
                      <w:szCs w:val="21"/>
                    </w:rPr>
                  </w:pPr>
                  <w:r>
                    <w:rPr>
                      <w:rFonts w:ascii="Times New Roman" w:hAnsi="Times New Roman"/>
                      <w:color w:val="auto"/>
                      <w:szCs w:val="21"/>
                    </w:rPr>
                    <w:t>地下水（含矿泉水）开采：全部；</w:t>
                  </w:r>
                </w:p>
                <w:p w14:paraId="031E3A5E">
                  <w:pPr>
                    <w:adjustRightInd w:val="0"/>
                    <w:snapToGrid w:val="0"/>
                    <w:jc w:val="left"/>
                    <w:rPr>
                      <w:rFonts w:ascii="Times New Roman" w:hAnsi="Times New Roman"/>
                      <w:color w:val="auto"/>
                      <w:szCs w:val="21"/>
                    </w:rPr>
                  </w:pPr>
                  <w:r>
                    <w:rPr>
                      <w:rFonts w:ascii="Times New Roman" w:hAnsi="Times New Roman"/>
                      <w:color w:val="auto"/>
                      <w:szCs w:val="21"/>
                    </w:rPr>
                    <w:t>水利、水电、交通等：含</w:t>
                  </w:r>
                  <w:r>
                    <w:rPr>
                      <w:rFonts w:hint="eastAsia" w:ascii="Times New Roman" w:hAnsi="Times New Roman"/>
                      <w:color w:val="auto"/>
                      <w:szCs w:val="21"/>
                    </w:rPr>
                    <w:t>跨越</w:t>
                  </w:r>
                  <w:r>
                    <w:rPr>
                      <w:rFonts w:ascii="Times New Roman" w:hAnsi="Times New Roman"/>
                      <w:color w:val="auto"/>
                      <w:szCs w:val="21"/>
                    </w:rPr>
                    <w:t>可溶岩地层隧道的项目</w:t>
                  </w:r>
                </w:p>
              </w:tc>
              <w:tc>
                <w:tcPr>
                  <w:tcW w:w="1349" w:type="pct"/>
                  <w:tcBorders>
                    <w:tl2br w:val="nil"/>
                    <w:tr2bl w:val="nil"/>
                  </w:tcBorders>
                  <w:shd w:val="clear" w:color="auto" w:fill="auto"/>
                  <w:vAlign w:val="center"/>
                </w:tcPr>
                <w:p w14:paraId="39B1CCA4">
                  <w:pPr>
                    <w:adjustRightInd w:val="0"/>
                    <w:snapToGrid w:val="0"/>
                    <w:jc w:val="center"/>
                    <w:rPr>
                      <w:rFonts w:ascii="Times New Roman" w:hAnsi="Times New Roman"/>
                      <w:color w:val="auto"/>
                      <w:szCs w:val="21"/>
                    </w:rPr>
                  </w:pPr>
                  <w:r>
                    <w:rPr>
                      <w:rFonts w:ascii="Times New Roman" w:hAnsi="Times New Roman"/>
                      <w:color w:val="auto"/>
                      <w:szCs w:val="21"/>
                    </w:rPr>
                    <w:t>本项目为输变电建设项目，不属于需做地下水专项的项目类别</w:t>
                  </w:r>
                </w:p>
              </w:tc>
              <w:tc>
                <w:tcPr>
                  <w:tcW w:w="524" w:type="pct"/>
                  <w:tcBorders>
                    <w:tl2br w:val="nil"/>
                    <w:tr2bl w:val="nil"/>
                  </w:tcBorders>
                  <w:shd w:val="clear" w:color="auto" w:fill="auto"/>
                  <w:vAlign w:val="center"/>
                </w:tcPr>
                <w:p w14:paraId="750474A9">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16B0B5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5EEF5578">
                  <w:pPr>
                    <w:adjustRightInd w:val="0"/>
                    <w:snapToGrid w:val="0"/>
                    <w:jc w:val="center"/>
                    <w:rPr>
                      <w:rFonts w:ascii="Times New Roman" w:hAnsi="Times New Roman"/>
                      <w:color w:val="auto"/>
                      <w:szCs w:val="21"/>
                    </w:rPr>
                  </w:pPr>
                  <w:r>
                    <w:rPr>
                      <w:rFonts w:ascii="Times New Roman" w:hAnsi="Times New Roman"/>
                      <w:color w:val="auto"/>
                      <w:szCs w:val="21"/>
                    </w:rPr>
                    <w:t>生态</w:t>
                  </w:r>
                </w:p>
              </w:tc>
              <w:tc>
                <w:tcPr>
                  <w:tcW w:w="2531" w:type="pct"/>
                  <w:tcBorders>
                    <w:tl2br w:val="nil"/>
                    <w:tr2bl w:val="nil"/>
                  </w:tcBorders>
                  <w:shd w:val="clear" w:color="auto" w:fill="auto"/>
                  <w:vAlign w:val="center"/>
                </w:tcPr>
                <w:p w14:paraId="1EAEB6F6">
                  <w:pPr>
                    <w:adjustRightInd w:val="0"/>
                    <w:snapToGrid w:val="0"/>
                    <w:jc w:val="center"/>
                    <w:rPr>
                      <w:rFonts w:ascii="Times New Roman" w:hAnsi="Times New Roman"/>
                      <w:color w:val="auto"/>
                      <w:szCs w:val="21"/>
                    </w:rPr>
                  </w:pPr>
                  <w:r>
                    <w:rPr>
                      <w:rFonts w:ascii="Times New Roman" w:hAnsi="Times New Roman"/>
                      <w:color w:val="auto"/>
                      <w:szCs w:val="21"/>
                    </w:rPr>
                    <w:t>涉及环境敏感区（不包括饮用水水源保护区，以居住、医疗卫生、文化教育、科研、行政办公为主要功能的区域，以及文物保护单位）的项目</w:t>
                  </w:r>
                </w:p>
              </w:tc>
              <w:tc>
                <w:tcPr>
                  <w:tcW w:w="1349" w:type="pct"/>
                  <w:tcBorders>
                    <w:tl2br w:val="nil"/>
                    <w:tr2bl w:val="nil"/>
                  </w:tcBorders>
                  <w:shd w:val="clear" w:color="auto" w:fill="auto"/>
                  <w:vAlign w:val="center"/>
                </w:tcPr>
                <w:p w14:paraId="2FADB118">
                  <w:pPr>
                    <w:widowControl/>
                    <w:autoSpaceDE w:val="0"/>
                    <w:autoSpaceDN w:val="0"/>
                    <w:adjustRightInd w:val="0"/>
                    <w:snapToGrid w:val="0"/>
                    <w:jc w:val="center"/>
                    <w:rPr>
                      <w:rFonts w:ascii="Times New Roman" w:hAnsi="Times New Roman"/>
                      <w:color w:val="auto"/>
                      <w:szCs w:val="21"/>
                    </w:rPr>
                  </w:pPr>
                  <w:r>
                    <w:rPr>
                      <w:rFonts w:ascii="Times New Roman" w:hAnsi="Times New Roman"/>
                      <w:color w:val="auto"/>
                      <w:kern w:val="0"/>
                      <w:szCs w:val="21"/>
                      <w:lang w:bidi="ar"/>
                    </w:rPr>
                    <w:t>《建设项目环境影响评价分类管理名录》中针对该类项目所列的敏感区为：（一）国家公园、自然保护区、风景名胜区、世界文化和自然遗产地、海洋特别保护区、饮用水水源保护区；（三）以居住、医疗卫生、文化教育、科研、行政办公等为主要功能的区域。根据相关部门的查询结果，项目不涉及上述生态敏感区。</w:t>
                  </w:r>
                </w:p>
              </w:tc>
              <w:tc>
                <w:tcPr>
                  <w:tcW w:w="524" w:type="pct"/>
                  <w:tcBorders>
                    <w:tl2br w:val="nil"/>
                    <w:tr2bl w:val="nil"/>
                  </w:tcBorders>
                  <w:shd w:val="clear" w:color="auto" w:fill="auto"/>
                  <w:vAlign w:val="center"/>
                </w:tcPr>
                <w:p w14:paraId="356FA243">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41C6E8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1423CBE8">
                  <w:pPr>
                    <w:adjustRightInd w:val="0"/>
                    <w:snapToGrid w:val="0"/>
                    <w:jc w:val="center"/>
                    <w:rPr>
                      <w:rFonts w:ascii="Times New Roman" w:hAnsi="Times New Roman"/>
                      <w:color w:val="auto"/>
                      <w:szCs w:val="21"/>
                    </w:rPr>
                  </w:pPr>
                  <w:r>
                    <w:rPr>
                      <w:rFonts w:ascii="Times New Roman" w:hAnsi="Times New Roman"/>
                      <w:color w:val="auto"/>
                      <w:szCs w:val="21"/>
                    </w:rPr>
                    <w:t>大气</w:t>
                  </w:r>
                </w:p>
              </w:tc>
              <w:tc>
                <w:tcPr>
                  <w:tcW w:w="2531" w:type="pct"/>
                  <w:tcBorders>
                    <w:tl2br w:val="nil"/>
                    <w:tr2bl w:val="nil"/>
                  </w:tcBorders>
                  <w:shd w:val="clear" w:color="auto" w:fill="auto"/>
                  <w:vAlign w:val="center"/>
                </w:tcPr>
                <w:p w14:paraId="3C52321D">
                  <w:pPr>
                    <w:adjustRightInd w:val="0"/>
                    <w:snapToGrid w:val="0"/>
                    <w:jc w:val="left"/>
                    <w:rPr>
                      <w:rFonts w:ascii="Times New Roman" w:hAnsi="Times New Roman"/>
                      <w:color w:val="auto"/>
                      <w:szCs w:val="21"/>
                    </w:rPr>
                  </w:pPr>
                  <w:r>
                    <w:rPr>
                      <w:rFonts w:ascii="Times New Roman" w:hAnsi="Times New Roman"/>
                      <w:color w:val="auto"/>
                      <w:szCs w:val="21"/>
                    </w:rPr>
                    <w:t>油气、液体化工码头：全部；</w:t>
                  </w:r>
                </w:p>
                <w:p w14:paraId="38594A2B">
                  <w:pPr>
                    <w:adjustRightInd w:val="0"/>
                    <w:snapToGrid w:val="0"/>
                    <w:jc w:val="left"/>
                    <w:rPr>
                      <w:rFonts w:ascii="Times New Roman" w:hAnsi="Times New Roman"/>
                      <w:color w:val="auto"/>
                      <w:szCs w:val="21"/>
                    </w:rPr>
                  </w:pPr>
                  <w:r>
                    <w:rPr>
                      <w:rFonts w:ascii="Times New Roman" w:hAnsi="Times New Roman"/>
                      <w:color w:val="auto"/>
                      <w:szCs w:val="21"/>
                    </w:rPr>
                    <w:t>干散货（含煤炭、矿石）、件杂、多用途、通用码头：涉及粉尘、挥发性有机物排放的项目</w:t>
                  </w:r>
                </w:p>
              </w:tc>
              <w:tc>
                <w:tcPr>
                  <w:tcW w:w="1349" w:type="pct"/>
                  <w:tcBorders>
                    <w:tl2br w:val="nil"/>
                    <w:tr2bl w:val="nil"/>
                  </w:tcBorders>
                  <w:shd w:val="clear" w:color="auto" w:fill="auto"/>
                  <w:vAlign w:val="center"/>
                </w:tcPr>
                <w:p w14:paraId="547F1FF9">
                  <w:pPr>
                    <w:adjustRightInd w:val="0"/>
                    <w:snapToGrid w:val="0"/>
                    <w:jc w:val="center"/>
                    <w:rPr>
                      <w:rFonts w:ascii="Times New Roman" w:hAnsi="Times New Roman"/>
                      <w:color w:val="auto"/>
                      <w:szCs w:val="21"/>
                    </w:rPr>
                  </w:pPr>
                  <w:r>
                    <w:rPr>
                      <w:rFonts w:ascii="Times New Roman" w:hAnsi="Times New Roman"/>
                      <w:color w:val="auto"/>
                      <w:szCs w:val="21"/>
                    </w:rPr>
                    <w:t>本项目为输变电建设项目，不属于需做大气专项的项目类别</w:t>
                  </w:r>
                </w:p>
              </w:tc>
              <w:tc>
                <w:tcPr>
                  <w:tcW w:w="524" w:type="pct"/>
                  <w:tcBorders>
                    <w:tl2br w:val="nil"/>
                    <w:tr2bl w:val="nil"/>
                  </w:tcBorders>
                  <w:shd w:val="clear" w:color="auto" w:fill="auto"/>
                  <w:vAlign w:val="center"/>
                </w:tcPr>
                <w:p w14:paraId="2BFA70D2">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571937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06C6EA69">
                  <w:pPr>
                    <w:adjustRightInd w:val="0"/>
                    <w:snapToGrid w:val="0"/>
                    <w:jc w:val="center"/>
                    <w:rPr>
                      <w:rFonts w:ascii="Times New Roman" w:hAnsi="Times New Roman"/>
                      <w:color w:val="auto"/>
                      <w:szCs w:val="21"/>
                    </w:rPr>
                  </w:pPr>
                  <w:r>
                    <w:rPr>
                      <w:rFonts w:ascii="Times New Roman" w:hAnsi="Times New Roman"/>
                      <w:color w:val="auto"/>
                      <w:szCs w:val="21"/>
                    </w:rPr>
                    <w:t>噪声</w:t>
                  </w:r>
                </w:p>
              </w:tc>
              <w:tc>
                <w:tcPr>
                  <w:tcW w:w="2531" w:type="pct"/>
                  <w:tcBorders>
                    <w:tl2br w:val="nil"/>
                    <w:tr2bl w:val="nil"/>
                  </w:tcBorders>
                  <w:shd w:val="clear" w:color="auto" w:fill="auto"/>
                  <w:vAlign w:val="center"/>
                </w:tcPr>
                <w:p w14:paraId="181B779E">
                  <w:pPr>
                    <w:adjustRightInd w:val="0"/>
                    <w:snapToGrid w:val="0"/>
                    <w:jc w:val="left"/>
                    <w:rPr>
                      <w:rFonts w:ascii="Times New Roman" w:hAnsi="Times New Roman"/>
                      <w:color w:val="auto"/>
                      <w:szCs w:val="21"/>
                    </w:rPr>
                  </w:pPr>
                  <w:r>
                    <w:rPr>
                      <w:rFonts w:ascii="Times New Roman" w:hAnsi="Times New Roman"/>
                      <w:color w:val="auto"/>
                      <w:szCs w:val="21"/>
                    </w:rPr>
                    <w:t>公路、铁路、机场等交通运输业涉及环境敏感区（以居住、医疗卫生、文化教育、科研、行政办公为主要功能的区域）的项目；</w:t>
                  </w:r>
                </w:p>
                <w:p w14:paraId="70C8A816">
                  <w:pPr>
                    <w:adjustRightInd w:val="0"/>
                    <w:snapToGrid w:val="0"/>
                    <w:jc w:val="left"/>
                    <w:rPr>
                      <w:rFonts w:ascii="Times New Roman" w:hAnsi="Times New Roman"/>
                      <w:color w:val="auto"/>
                      <w:szCs w:val="21"/>
                    </w:rPr>
                  </w:pPr>
                  <w:r>
                    <w:rPr>
                      <w:rFonts w:ascii="Times New Roman" w:hAnsi="Times New Roman"/>
                      <w:color w:val="auto"/>
                      <w:szCs w:val="21"/>
                    </w:rPr>
                    <w:t>城市道路（不含维护，不含支路、人行天桥、人行地道）：全部</w:t>
                  </w:r>
                </w:p>
              </w:tc>
              <w:tc>
                <w:tcPr>
                  <w:tcW w:w="1349" w:type="pct"/>
                  <w:tcBorders>
                    <w:tl2br w:val="nil"/>
                    <w:tr2bl w:val="nil"/>
                  </w:tcBorders>
                  <w:shd w:val="clear" w:color="auto" w:fill="auto"/>
                  <w:vAlign w:val="center"/>
                </w:tcPr>
                <w:p w14:paraId="5CE53CF7">
                  <w:pPr>
                    <w:adjustRightInd w:val="0"/>
                    <w:snapToGrid w:val="0"/>
                    <w:jc w:val="center"/>
                    <w:rPr>
                      <w:rFonts w:ascii="Times New Roman" w:hAnsi="Times New Roman"/>
                      <w:color w:val="auto"/>
                      <w:szCs w:val="21"/>
                    </w:rPr>
                  </w:pPr>
                  <w:r>
                    <w:rPr>
                      <w:rFonts w:ascii="Times New Roman" w:hAnsi="Times New Roman"/>
                      <w:color w:val="auto"/>
                      <w:szCs w:val="21"/>
                    </w:rPr>
                    <w:t>本项目为输变电建设项目，不属于需做噪声专项的项目类别</w:t>
                  </w:r>
                </w:p>
              </w:tc>
              <w:tc>
                <w:tcPr>
                  <w:tcW w:w="524" w:type="pct"/>
                  <w:tcBorders>
                    <w:tl2br w:val="nil"/>
                    <w:tr2bl w:val="nil"/>
                  </w:tcBorders>
                  <w:shd w:val="clear" w:color="auto" w:fill="auto"/>
                  <w:vAlign w:val="center"/>
                </w:tcPr>
                <w:p w14:paraId="6160BC00">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53311A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4" w:type="pct"/>
                  <w:tcBorders>
                    <w:tl2br w:val="nil"/>
                    <w:tr2bl w:val="nil"/>
                  </w:tcBorders>
                  <w:shd w:val="clear" w:color="auto" w:fill="auto"/>
                  <w:vAlign w:val="center"/>
                </w:tcPr>
                <w:p w14:paraId="7D823B9B">
                  <w:pPr>
                    <w:adjustRightInd w:val="0"/>
                    <w:snapToGrid w:val="0"/>
                    <w:jc w:val="center"/>
                    <w:rPr>
                      <w:rFonts w:ascii="Times New Roman" w:hAnsi="Times New Roman"/>
                      <w:color w:val="auto"/>
                      <w:szCs w:val="21"/>
                    </w:rPr>
                  </w:pPr>
                  <w:r>
                    <w:rPr>
                      <w:rFonts w:ascii="Times New Roman" w:hAnsi="Times New Roman"/>
                      <w:color w:val="auto"/>
                      <w:szCs w:val="21"/>
                    </w:rPr>
                    <w:t>环境风险</w:t>
                  </w:r>
                </w:p>
              </w:tc>
              <w:tc>
                <w:tcPr>
                  <w:tcW w:w="2531" w:type="pct"/>
                  <w:tcBorders>
                    <w:tl2br w:val="nil"/>
                    <w:tr2bl w:val="nil"/>
                  </w:tcBorders>
                  <w:shd w:val="clear" w:color="auto" w:fill="auto"/>
                  <w:vAlign w:val="center"/>
                </w:tcPr>
                <w:p w14:paraId="0835AD56">
                  <w:pPr>
                    <w:adjustRightInd w:val="0"/>
                    <w:snapToGrid w:val="0"/>
                    <w:jc w:val="left"/>
                    <w:rPr>
                      <w:rFonts w:ascii="Times New Roman" w:hAnsi="Times New Roman"/>
                      <w:color w:val="auto"/>
                      <w:szCs w:val="21"/>
                    </w:rPr>
                  </w:pPr>
                  <w:r>
                    <w:rPr>
                      <w:rFonts w:ascii="Times New Roman" w:hAnsi="Times New Roman"/>
                      <w:color w:val="auto"/>
                      <w:szCs w:val="21"/>
                    </w:rPr>
                    <w:t>石油和天然气开采：全部；</w:t>
                  </w:r>
                </w:p>
                <w:p w14:paraId="0E4771D2">
                  <w:pPr>
                    <w:adjustRightInd w:val="0"/>
                    <w:snapToGrid w:val="0"/>
                    <w:jc w:val="left"/>
                    <w:rPr>
                      <w:rFonts w:ascii="Times New Roman" w:hAnsi="Times New Roman"/>
                      <w:color w:val="auto"/>
                      <w:szCs w:val="21"/>
                    </w:rPr>
                  </w:pPr>
                  <w:r>
                    <w:rPr>
                      <w:rFonts w:ascii="Times New Roman" w:hAnsi="Times New Roman"/>
                      <w:color w:val="auto"/>
                      <w:szCs w:val="21"/>
                    </w:rPr>
                    <w:t>油气、液体化工码头：全部；</w:t>
                  </w:r>
                </w:p>
                <w:p w14:paraId="65E633E4">
                  <w:pPr>
                    <w:adjustRightInd w:val="0"/>
                    <w:snapToGrid w:val="0"/>
                    <w:jc w:val="left"/>
                    <w:rPr>
                      <w:rFonts w:ascii="Times New Roman" w:hAnsi="Times New Roman"/>
                      <w:color w:val="auto"/>
                      <w:szCs w:val="21"/>
                    </w:rPr>
                  </w:pPr>
                  <w:r>
                    <w:rPr>
                      <w:rFonts w:ascii="Times New Roman" w:hAnsi="Times New Roman"/>
                      <w:color w:val="auto"/>
                      <w:szCs w:val="21"/>
                    </w:rPr>
                    <w:t>原油、成品油、天然气管线（不含城镇天然气管线、企业厂区内管线），危险化学品输送管线（不含企业厂区内管线）：全部</w:t>
                  </w:r>
                </w:p>
              </w:tc>
              <w:tc>
                <w:tcPr>
                  <w:tcW w:w="1349" w:type="pct"/>
                  <w:tcBorders>
                    <w:tl2br w:val="nil"/>
                    <w:tr2bl w:val="nil"/>
                  </w:tcBorders>
                  <w:shd w:val="clear" w:color="auto" w:fill="auto"/>
                  <w:vAlign w:val="center"/>
                </w:tcPr>
                <w:p w14:paraId="4B61B148">
                  <w:pPr>
                    <w:adjustRightInd w:val="0"/>
                    <w:snapToGrid w:val="0"/>
                    <w:jc w:val="center"/>
                    <w:rPr>
                      <w:rFonts w:ascii="Times New Roman" w:hAnsi="Times New Roman"/>
                      <w:color w:val="auto"/>
                      <w:szCs w:val="21"/>
                    </w:rPr>
                  </w:pPr>
                  <w:r>
                    <w:rPr>
                      <w:rFonts w:ascii="Times New Roman" w:hAnsi="Times New Roman"/>
                      <w:color w:val="auto"/>
                      <w:szCs w:val="21"/>
                    </w:rPr>
                    <w:t>本项目为输变电建设项目，不属于需做环境风险专项的项目类别</w:t>
                  </w:r>
                </w:p>
              </w:tc>
              <w:tc>
                <w:tcPr>
                  <w:tcW w:w="524" w:type="pct"/>
                  <w:tcBorders>
                    <w:tl2br w:val="nil"/>
                    <w:tr2bl w:val="nil"/>
                  </w:tcBorders>
                  <w:shd w:val="clear" w:color="auto" w:fill="auto"/>
                  <w:vAlign w:val="center"/>
                </w:tcPr>
                <w:p w14:paraId="7DDAEFDE">
                  <w:pPr>
                    <w:adjustRightInd w:val="0"/>
                    <w:snapToGrid w:val="0"/>
                    <w:jc w:val="center"/>
                    <w:rPr>
                      <w:rFonts w:ascii="Times New Roman" w:hAnsi="Times New Roman"/>
                      <w:color w:val="auto"/>
                      <w:szCs w:val="21"/>
                    </w:rPr>
                  </w:pPr>
                  <w:r>
                    <w:rPr>
                      <w:rFonts w:ascii="Times New Roman" w:hAnsi="Times New Roman"/>
                      <w:color w:val="auto"/>
                      <w:szCs w:val="21"/>
                    </w:rPr>
                    <w:t>不设置</w:t>
                  </w:r>
                </w:p>
              </w:tc>
            </w:tr>
            <w:tr w14:paraId="3C7255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000" w:type="pct"/>
                  <w:gridSpan w:val="4"/>
                  <w:tcBorders>
                    <w:tl2br w:val="nil"/>
                    <w:tr2bl w:val="nil"/>
                  </w:tcBorders>
                  <w:shd w:val="clear" w:color="auto" w:fill="auto"/>
                  <w:vAlign w:val="center"/>
                </w:tcPr>
                <w:p w14:paraId="1DC8D3CE">
                  <w:pPr>
                    <w:adjustRightInd w:val="0"/>
                    <w:snapToGrid w:val="0"/>
                    <w:jc w:val="left"/>
                    <w:rPr>
                      <w:rFonts w:ascii="Times New Roman" w:hAnsi="Times New Roman"/>
                      <w:color w:val="auto"/>
                      <w:szCs w:val="21"/>
                    </w:rPr>
                  </w:pPr>
                  <w:r>
                    <w:rPr>
                      <w:rFonts w:ascii="Times New Roman" w:hAnsi="Times New Roman"/>
                      <w:color w:val="auto"/>
                      <w:sz w:val="22"/>
                    </w:rPr>
                    <w:t>注：“涉及环境敏感区”是指建设项目位于、穿（跨）越（无害化通过的除外）环境敏感区，或环境影响范围涵盖环境敏感区。环境敏感区是指《建设项目环境影响评价分类管理名录》中针对该类项目所列的敏感区。</w:t>
                  </w:r>
                </w:p>
              </w:tc>
            </w:tr>
          </w:tbl>
          <w:p w14:paraId="0943733E">
            <w:pPr>
              <w:adjustRightInd w:val="0"/>
              <w:snapToGrid w:val="0"/>
              <w:spacing w:line="440" w:lineRule="exact"/>
              <w:ind w:firstLine="480" w:firstLineChars="200"/>
              <w:rPr>
                <w:rFonts w:ascii="Times New Roman" w:hAnsi="Times New Roman"/>
                <w:color w:val="auto"/>
              </w:rPr>
            </w:pPr>
            <w:r>
              <w:rPr>
                <w:rFonts w:ascii="Times New Roman" w:hAnsi="Times New Roman"/>
                <w:color w:val="auto"/>
                <w:sz w:val="24"/>
              </w:rPr>
              <w:t>但根据《环境影响评价技术导则  输变电》（HJ24-2020）相关要求，本报告设电磁环境影响专题评价。</w:t>
            </w:r>
          </w:p>
        </w:tc>
      </w:tr>
      <w:tr w14:paraId="5DB2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12E85634">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规划情况</w:t>
            </w:r>
          </w:p>
        </w:tc>
        <w:tc>
          <w:tcPr>
            <w:tcW w:w="4025" w:type="pct"/>
            <w:gridSpan w:val="3"/>
            <w:tcBorders>
              <w:tl2br w:val="nil"/>
              <w:tr2bl w:val="nil"/>
            </w:tcBorders>
            <w:shd w:val="clear" w:color="auto" w:fill="auto"/>
            <w:vAlign w:val="center"/>
          </w:tcPr>
          <w:p w14:paraId="763FC475">
            <w:pPr>
              <w:adjustRightInd w:val="0"/>
              <w:snapToGrid w:val="0"/>
              <w:spacing w:line="440" w:lineRule="exact"/>
              <w:jc w:val="left"/>
              <w:rPr>
                <w:rFonts w:ascii="Times New Roman" w:hAnsi="Times New Roman"/>
                <w:b/>
                <w:bCs/>
                <w:color w:val="auto"/>
                <w:sz w:val="24"/>
                <w:szCs w:val="24"/>
              </w:rPr>
            </w:pPr>
            <w:r>
              <w:rPr>
                <w:rFonts w:ascii="Times New Roman" w:hAnsi="Times New Roman"/>
                <w:b/>
                <w:bCs/>
                <w:color w:val="auto"/>
                <w:sz w:val="24"/>
                <w:szCs w:val="24"/>
              </w:rPr>
              <w:t>1、云南省绿色能源发展“十四五”规划</w:t>
            </w:r>
          </w:p>
          <w:p w14:paraId="0760A5DB">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规划名称：《云南省绿色能源发展“十四五”规划》。</w:t>
            </w:r>
          </w:p>
          <w:p w14:paraId="21C78506">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审批机关：云南省人民政府办公厅。</w:t>
            </w:r>
          </w:p>
          <w:p w14:paraId="7E46EF13">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审批文件</w:t>
            </w:r>
            <w:r>
              <w:rPr>
                <w:rFonts w:hint="eastAsia" w:ascii="Times New Roman" w:hAnsi="Times New Roman"/>
                <w:color w:val="auto"/>
                <w:sz w:val="24"/>
                <w:szCs w:val="24"/>
              </w:rPr>
              <w:t>名称</w:t>
            </w:r>
            <w:r>
              <w:rPr>
                <w:rFonts w:ascii="Times New Roman" w:hAnsi="Times New Roman"/>
                <w:color w:val="auto"/>
                <w:sz w:val="24"/>
                <w:szCs w:val="24"/>
              </w:rPr>
              <w:t>：云南省人民政府办公厅关于印发云南省绿色能源发展“十四五”规划的通知。</w:t>
            </w:r>
          </w:p>
          <w:p w14:paraId="024E9914">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审批文号：云政办发〔2022〕99号。</w:t>
            </w:r>
          </w:p>
          <w:p w14:paraId="1C533A68">
            <w:pPr>
              <w:adjustRightInd w:val="0"/>
              <w:snapToGrid w:val="0"/>
              <w:spacing w:line="440" w:lineRule="exact"/>
              <w:jc w:val="left"/>
              <w:rPr>
                <w:rFonts w:ascii="Times New Roman" w:hAnsi="Times New Roman"/>
                <w:b/>
                <w:bCs/>
                <w:color w:val="auto"/>
                <w:sz w:val="24"/>
                <w:szCs w:val="24"/>
              </w:rPr>
            </w:pPr>
            <w:r>
              <w:rPr>
                <w:rFonts w:ascii="Times New Roman" w:hAnsi="Times New Roman"/>
                <w:b/>
                <w:bCs/>
                <w:color w:val="auto"/>
                <w:sz w:val="24"/>
                <w:szCs w:val="24"/>
              </w:rPr>
              <w:t>2、曲靖市绿色能源发展“十四五”规划</w:t>
            </w:r>
          </w:p>
          <w:p w14:paraId="3FF46CB8">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规划名称：《</w:t>
            </w:r>
            <w:r>
              <w:rPr>
                <w:rFonts w:hint="eastAsia" w:ascii="Times New Roman" w:hAnsi="Times New Roman"/>
                <w:color w:val="auto"/>
                <w:sz w:val="24"/>
                <w:szCs w:val="24"/>
              </w:rPr>
              <w:t>曲靖市</w:t>
            </w:r>
            <w:r>
              <w:rPr>
                <w:rFonts w:ascii="Times New Roman" w:hAnsi="Times New Roman"/>
                <w:color w:val="auto"/>
                <w:sz w:val="24"/>
                <w:szCs w:val="24"/>
              </w:rPr>
              <w:t>绿色能源发展“十四五”规划》。</w:t>
            </w:r>
          </w:p>
          <w:p w14:paraId="1EFB9D85">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审批机关：曲靖市人民政府办公室。</w:t>
            </w:r>
          </w:p>
          <w:p w14:paraId="35D6C684">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审批文件</w:t>
            </w:r>
            <w:r>
              <w:rPr>
                <w:rFonts w:hint="eastAsia" w:ascii="Times New Roman" w:hAnsi="Times New Roman"/>
                <w:color w:val="auto"/>
                <w:sz w:val="24"/>
                <w:szCs w:val="24"/>
              </w:rPr>
              <w:t>名称</w:t>
            </w:r>
            <w:r>
              <w:rPr>
                <w:rFonts w:ascii="Times New Roman" w:hAnsi="Times New Roman"/>
                <w:color w:val="auto"/>
                <w:sz w:val="24"/>
                <w:szCs w:val="24"/>
              </w:rPr>
              <w:t>：曲靖市人民政府办公室关于印发曲靖市绿色能源发展“十四五”规划的通知。</w:t>
            </w:r>
          </w:p>
          <w:p w14:paraId="0B8A8F92">
            <w:pPr>
              <w:adjustRightInd w:val="0"/>
              <w:snapToGrid w:val="0"/>
              <w:spacing w:line="440" w:lineRule="exact"/>
              <w:jc w:val="left"/>
              <w:rPr>
                <w:rFonts w:ascii="Times New Roman" w:hAnsi="Times New Roman"/>
                <w:color w:val="auto"/>
                <w:sz w:val="24"/>
                <w:szCs w:val="24"/>
              </w:rPr>
            </w:pPr>
            <w:r>
              <w:rPr>
                <w:rFonts w:ascii="Times New Roman" w:hAnsi="Times New Roman"/>
                <w:color w:val="auto"/>
                <w:sz w:val="24"/>
                <w:szCs w:val="24"/>
              </w:rPr>
              <w:t>审批文号：曲政办发〔2023〕28号。</w:t>
            </w:r>
          </w:p>
        </w:tc>
      </w:tr>
      <w:tr w14:paraId="3C03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266A1497">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规划环境影响评价情况</w:t>
            </w:r>
          </w:p>
        </w:tc>
        <w:tc>
          <w:tcPr>
            <w:tcW w:w="4025" w:type="pct"/>
            <w:gridSpan w:val="3"/>
            <w:tcBorders>
              <w:tl2br w:val="nil"/>
              <w:tr2bl w:val="nil"/>
            </w:tcBorders>
            <w:shd w:val="clear" w:color="auto" w:fill="auto"/>
            <w:vAlign w:val="center"/>
          </w:tcPr>
          <w:p w14:paraId="4EA4B1F5">
            <w:pPr>
              <w:adjustRightInd w:val="0"/>
              <w:snapToGrid w:val="0"/>
              <w:spacing w:line="440" w:lineRule="exact"/>
              <w:jc w:val="left"/>
              <w:rPr>
                <w:rFonts w:ascii="Times New Roman" w:hAnsi="Times New Roman"/>
                <w:color w:val="auto"/>
                <w:sz w:val="24"/>
                <w:szCs w:val="24"/>
              </w:rPr>
            </w:pPr>
            <w:r>
              <w:rPr>
                <w:rFonts w:hint="eastAsia" w:ascii="Times New Roman" w:hAnsi="Times New Roman"/>
                <w:color w:val="auto"/>
                <w:sz w:val="24"/>
                <w:szCs w:val="24"/>
              </w:rPr>
              <w:t>1、</w:t>
            </w:r>
            <w:r>
              <w:rPr>
                <w:rFonts w:ascii="Times New Roman" w:hAnsi="Times New Roman"/>
                <w:color w:val="auto"/>
                <w:sz w:val="24"/>
                <w:szCs w:val="24"/>
              </w:rPr>
              <w:t>《云南省绿色能源发展</w:t>
            </w:r>
            <w:r>
              <w:rPr>
                <w:rFonts w:hint="eastAsia" w:ascii="Times New Roman" w:hAnsi="Times New Roman"/>
                <w:color w:val="auto"/>
                <w:sz w:val="24"/>
                <w:szCs w:val="24"/>
              </w:rPr>
              <w:t>“</w:t>
            </w:r>
            <w:r>
              <w:rPr>
                <w:rFonts w:ascii="Times New Roman" w:hAnsi="Times New Roman"/>
                <w:color w:val="auto"/>
                <w:sz w:val="24"/>
                <w:szCs w:val="24"/>
              </w:rPr>
              <w:t>十四五</w:t>
            </w:r>
            <w:r>
              <w:rPr>
                <w:rFonts w:hint="eastAsia" w:ascii="Times New Roman" w:hAnsi="Times New Roman"/>
                <w:color w:val="auto"/>
                <w:sz w:val="24"/>
                <w:szCs w:val="24"/>
              </w:rPr>
              <w:t>”</w:t>
            </w:r>
            <w:r>
              <w:rPr>
                <w:rFonts w:ascii="Times New Roman" w:hAnsi="Times New Roman"/>
                <w:color w:val="auto"/>
                <w:sz w:val="24"/>
                <w:szCs w:val="24"/>
              </w:rPr>
              <w:t>规划》环境影响篇章（第六章）</w:t>
            </w:r>
            <w:r>
              <w:rPr>
                <w:rFonts w:hint="eastAsia" w:ascii="Times New Roman" w:hAnsi="Times New Roman"/>
                <w:color w:val="auto"/>
                <w:sz w:val="24"/>
                <w:szCs w:val="24"/>
              </w:rPr>
              <w:t>；</w:t>
            </w:r>
          </w:p>
          <w:p w14:paraId="1F4BDA53">
            <w:pPr>
              <w:adjustRightInd w:val="0"/>
              <w:snapToGrid w:val="0"/>
              <w:spacing w:line="440" w:lineRule="exact"/>
              <w:jc w:val="left"/>
              <w:rPr>
                <w:color w:val="auto"/>
              </w:rPr>
            </w:pPr>
            <w:r>
              <w:rPr>
                <w:rFonts w:hint="eastAsia" w:ascii="Times New Roman" w:hAnsi="Times New Roman"/>
                <w:color w:val="auto"/>
                <w:sz w:val="24"/>
                <w:szCs w:val="24"/>
              </w:rPr>
              <w:t>2、《曲靖市绿色能源发展“十四五”规划》</w:t>
            </w:r>
            <w:r>
              <w:rPr>
                <w:rFonts w:ascii="Times New Roman" w:hAnsi="Times New Roman"/>
                <w:color w:val="auto"/>
                <w:sz w:val="24"/>
                <w:szCs w:val="24"/>
              </w:rPr>
              <w:t>环境影响篇章（第六章）</w:t>
            </w:r>
            <w:r>
              <w:rPr>
                <w:rFonts w:hint="eastAsia" w:ascii="Times New Roman" w:hAnsi="Times New Roman"/>
                <w:color w:val="auto"/>
                <w:sz w:val="24"/>
                <w:szCs w:val="24"/>
              </w:rPr>
              <w:t>；</w:t>
            </w:r>
          </w:p>
        </w:tc>
      </w:tr>
      <w:tr w14:paraId="15FC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6868C29B">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规划及规划环境影响评价符合性分析</w:t>
            </w:r>
          </w:p>
        </w:tc>
        <w:tc>
          <w:tcPr>
            <w:tcW w:w="4025" w:type="pct"/>
            <w:gridSpan w:val="3"/>
            <w:tcBorders>
              <w:tl2br w:val="nil"/>
              <w:tr2bl w:val="nil"/>
            </w:tcBorders>
            <w:shd w:val="clear" w:color="auto" w:fill="auto"/>
            <w:vAlign w:val="center"/>
          </w:tcPr>
          <w:p w14:paraId="15FE974B">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1、与《云南省绿色能源发展“十四五”规划》的符合性</w:t>
            </w:r>
          </w:p>
          <w:p w14:paraId="62FEC9B2">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（1）《云南省绿色能源发展“十四五”规划》概况</w:t>
            </w:r>
          </w:p>
          <w:p w14:paraId="638CAD5E">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云南省绿色能源发展“十四五”规划发展思路要求：保供应。做足电源、做强电网、做优煤炭、做大油气，积极推进水电开发，加快布局“风光水火储”多能互补基地，加大煤田地质勘探力度，推进油气开发，丰富能源供应品种，推动多能互补协调发展，化解电力、电量“双缺”主要矛盾及系统风险，保障能源供需平衡，增强能源供应链产业链稳定安全。</w:t>
            </w:r>
          </w:p>
          <w:p w14:paraId="26E3EB15">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发展目标：着力打造绿色能源强省、“一基地三示范一枢纽”，即：建设国家清洁能源基地、创建新型电力系统先行示范、绿色能源和绿色制造融合发展示范、绿色能源试点示范，打造国际区域性绿色能源枢纽。到“十四五”末，加快规划建设新型能源体系取得显著成效，重塑全省绿色能源新优势，千亿级能源优势产业效应发挥更加明显，完成构建高质量现代能源产业体系框架，绿色能源基地建设步入快车道，基本建成国家清洁能源基地，新型电力系统初具雏形，统筹近期、中期与远期关系，打出“扩绿、建新、降碳、减量、转型、节能、升级、改革、合作”组合拳，完成能源碳达峰阶段性目标，形成较为完整的绿色制造产业链、高端绿色制造产业集群和云南跨境电力交换的骨干网络，推进国际能源合作，绿色能源成为云南标志性品牌，主要指标全国领先，云南能源在全国和全省的地位作用进一步巩固提升</w:t>
            </w:r>
            <w:r>
              <w:rPr>
                <w:rFonts w:hint="eastAsia" w:ascii="Times New Roman" w:hAnsi="Times New Roman"/>
                <w:bCs/>
                <w:color w:val="auto"/>
                <w:sz w:val="24"/>
                <w:szCs w:val="24"/>
              </w:rPr>
              <w:t>，让</w:t>
            </w:r>
            <w:r>
              <w:rPr>
                <w:rFonts w:ascii="Times New Roman" w:hAnsi="Times New Roman"/>
                <w:bCs/>
                <w:color w:val="auto"/>
                <w:sz w:val="24"/>
                <w:szCs w:val="24"/>
              </w:rPr>
              <w:t>人民群众从能源普遍服务中获得更多实惠，助力加快建设能源强国，为全省经济社会高质量发展提供重要支撑和保障。</w:t>
            </w:r>
          </w:p>
          <w:p w14:paraId="10BE48BE">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重点任务：（1）分时序快节奏推进电源建设，强化电源保障，协调发展各类清洁能源。提前谋划，深入挖掘水电开发潜力；创新开发模式，加快布局风电、光伏等新能源，积极布局“风光水火储”多能互补基地建设；积极探索，研究发展燃气发电，有序推进其他类型电源。到2025年，全省电源装机容量超过1.6亿千瓦。（2）围绕产业发展布局，优化电力生产、输电通道建设布局，形成“四横四纵五环三中心”的骨干网架。保障重点产业发展，加强中东部南北向输电通道布局，研究推动跨区域互联互济。支撑大规模新能源接入，加强新能源富集地区送出通道建设。落实乡村振兴、边境小康村和新型城镇化建设要求，加强配网建设，消除电网薄弱环节，打造高可靠性的城市供电示范区。推进智能电网建设，提高电网调节性、灵活性，提高电网安全可靠稳定水平，促进能源就地消纳。持续巩固提升农村电网，提高农村电气化水平等。</w:t>
            </w:r>
          </w:p>
          <w:p w14:paraId="6EF958C4">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《规划》实施环境影响分析评价：</w:t>
            </w:r>
          </w:p>
          <w:p w14:paraId="6ECF5CC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“十四五”时期，《规划》项目开发建设对环境的主要影响有：火电建设运行会产生烟尘、二氧化硫、氮氧化物、二氧化碳等大气污染物，可能对生态环境产生负面影响。</w:t>
            </w:r>
          </w:p>
          <w:p w14:paraId="2427F938">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油气管道建设及石油炼化项目，发生管道和设备破坏等事故将使油气大量外泄，对周围土壤、植被、水体等造成污染和损害，引发火灾、爆炸和</w:t>
            </w:r>
            <w:r>
              <w:rPr>
                <w:rFonts w:hint="eastAsia" w:ascii="Times New Roman" w:hAnsi="Times New Roman"/>
                <w:bCs/>
                <w:color w:val="auto"/>
                <w:sz w:val="24"/>
                <w:szCs w:val="24"/>
              </w:rPr>
              <w:t>泄漏</w:t>
            </w:r>
            <w:r>
              <w:rPr>
                <w:rFonts w:ascii="Times New Roman" w:hAnsi="Times New Roman"/>
                <w:bCs/>
                <w:color w:val="auto"/>
                <w:sz w:val="24"/>
                <w:szCs w:val="24"/>
              </w:rPr>
              <w:t>等环境风险。水电、新能源项目开发和送出工程，可能对环境敏感区产生影响，可能带来上下游水文泥沙情势变化，可能对水生生物及陆生生物造成一定影响。总体来看，在能源重大项目具体推进过程中采取相应的预防措施和生态环境保护策略基本可以避免实施《规划》产生的环境负面影响。同时，《规划</w:t>
            </w:r>
            <w:r>
              <w:rPr>
                <w:rFonts w:hint="eastAsia" w:ascii="Times New Roman" w:hAnsi="Times New Roman"/>
                <w:bCs/>
                <w:color w:val="auto"/>
                <w:sz w:val="24"/>
                <w:szCs w:val="24"/>
              </w:rPr>
              <w:t>》的</w:t>
            </w:r>
            <w:r>
              <w:rPr>
                <w:rFonts w:ascii="Times New Roman" w:hAnsi="Times New Roman"/>
                <w:bCs/>
                <w:color w:val="auto"/>
                <w:sz w:val="24"/>
                <w:szCs w:val="24"/>
              </w:rPr>
              <w:t>实施可推动云南能源资源有效利用和清洁低碳发展，促进经济发展与生态环境更加平衡协调。按照《规划环境影响评价技术导则总纲》的有关要求，根据规划的环境影响分析结果，拟采取以下对策措施：</w:t>
            </w:r>
          </w:p>
          <w:p w14:paraId="2C909D9B">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（一）发挥《规划》的指导约束作用</w:t>
            </w:r>
          </w:p>
          <w:p w14:paraId="42FB08FE">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发挥能源规划及规划环评的指导约束作用，合理规划项目布局，避让自然保护区、风景名胜区等各类自然保护地和集中居民区等环境敏感区，采取工程和生态保护措施，减少树木采伐，及时进行生态修复，降低生态影响。</w:t>
            </w:r>
          </w:p>
          <w:p w14:paraId="3394CF44">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（二）严格各类能源开发生产的过程控制</w:t>
            </w:r>
          </w:p>
          <w:p w14:paraId="6EE0391E">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做好项目建设涉及的自然生态环境保护工作，注意避让生态环境敏感区和脆弱区。加强施工准备、筹建和施工过程中的环境保护。提高电网运行安全稳定水平，降低电磁环境影响。制定矿区生态综合整治目标，严格控制施工占地。加强油气管网运营与环境保护。</w:t>
            </w:r>
          </w:p>
          <w:p w14:paraId="2AFC36CD">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（三）严格落实能源消费总量和强度“双控”机制</w:t>
            </w:r>
          </w:p>
          <w:p w14:paraId="28CF168A">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继续贯彻落实国家能源消费总量和强度“双控”要求，调整能源需求结构，加强节能和需求侧管理，推进生产、流通、消费各环节循环经济发展。健全法律法规和标准体系，加强监测能力建设。实施全面节能行动方案，逐步构建以企业为主体、政府引导、全社会共同参与的合理用能、科学用能、节约用能的长效机制。</w:t>
            </w:r>
          </w:p>
          <w:p w14:paraId="2BA06B39">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（四）加强能源发展的环境管理</w:t>
            </w:r>
          </w:p>
          <w:p w14:paraId="443E414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建立覆盖全社会的能源环境监管体制，明确各部门监管职责，完善监管标准、监管规则和监管程序，形成规范有序、公开透明的监管体系。开展项目环境保护工作阶段性检查和验收工作，适时开展环境影响回顾性评价和后评价，注重主要环境影响复核和环境保护措施效果分析，及时调整补充相应环保措施。</w:t>
            </w:r>
          </w:p>
          <w:p w14:paraId="235BE76A">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本项目为输变电工程，项目的建设满足、做足电源、做强电网的发展思路要求，可以加快打造绿色能源强省、“一基地三示范一枢纽”，即：建设国家清洁能源基地、创建新型电力系统先行示范、绿色能源和绿色制造融合发展示范、绿色能源试点示范，打造国际区域性绿色能源枢纽的进程，此外，项目属于优化电力生产、输电通道建设布局。本项目选址不涉及自然保护区、风景名胜区、集中居民区、水源保护区等环境敏感区。本环评针对项目施工和运营提出的生态环境防治措施，最低限度降低生态环境影响，不会对周边环境造成较大影响，采取本环评提出的措施后项目对陆生生物的影响较小，项目的建设符合《云南省绿色能源发展“十四五”规划》的要求。</w:t>
            </w:r>
          </w:p>
          <w:p w14:paraId="17C98914">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（2）</w:t>
            </w:r>
            <w:r>
              <w:rPr>
                <w:rFonts w:ascii="Times New Roman" w:hAnsi="Times New Roman"/>
                <w:b/>
                <w:color w:val="auto"/>
                <w:sz w:val="24"/>
                <w:szCs w:val="24"/>
              </w:rPr>
              <w:t>与《云南省绿色能源发展“十四五”规划》环境影响篇章符合性分析</w:t>
            </w:r>
          </w:p>
          <w:p w14:paraId="299C8741">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云南省人民政府办公厅于2023年1月4日下发了《云南省人民政府办公厅关于印发云南省绿色能源发展“十四五”规划的通知》，项目与该规划中第六章“环境影响分析与国土空间规划衔接性评价”符合性分析见下表：</w:t>
            </w:r>
          </w:p>
          <w:p w14:paraId="74FD8AEC">
            <w:pPr>
              <w:jc w:val="center"/>
              <w:rPr>
                <w:rFonts w:ascii="Times New Roman" w:hAnsi="Times New Roman"/>
                <w:b/>
                <w:bCs/>
                <w:color w:val="auto"/>
                <w:szCs w:val="21"/>
              </w:rPr>
            </w:pPr>
            <w:r>
              <w:rPr>
                <w:rFonts w:ascii="Times New Roman" w:hAnsi="Times New Roman"/>
                <w:b/>
                <w:bCs/>
                <w:color w:val="auto"/>
                <w:szCs w:val="21"/>
              </w:rPr>
              <w:t>表1-2  项目与《云南省绿色能源发展“十四五”规划》环境影响篇章的符合性</w:t>
            </w:r>
          </w:p>
          <w:tbl>
            <w:tblPr>
              <w:tblStyle w:val="2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51" w:type="dxa"/>
                <w:bottom w:w="0" w:type="dxa"/>
                <w:right w:w="51" w:type="dxa"/>
              </w:tblCellMar>
            </w:tblPr>
            <w:tblGrid>
              <w:gridCol w:w="2176"/>
              <w:gridCol w:w="4190"/>
              <w:gridCol w:w="709"/>
            </w:tblGrid>
            <w:tr w14:paraId="76FA71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537" w:type="pct"/>
                  <w:tcBorders>
                    <w:tl2br w:val="nil"/>
                    <w:tr2bl w:val="nil"/>
                  </w:tcBorders>
                  <w:shd w:val="clear" w:color="auto" w:fill="auto"/>
                  <w:vAlign w:val="center"/>
                </w:tcPr>
                <w:p w14:paraId="3DC7766C">
                  <w:pPr>
                    <w:jc w:val="center"/>
                    <w:rPr>
                      <w:rFonts w:ascii="Times New Roman" w:hAnsi="Times New Roman"/>
                      <w:b/>
                      <w:bCs/>
                      <w:color w:val="auto"/>
                      <w:szCs w:val="21"/>
                    </w:rPr>
                  </w:pPr>
                  <w:r>
                    <w:rPr>
                      <w:rFonts w:ascii="Times New Roman" w:hAnsi="Times New Roman"/>
                      <w:b/>
                      <w:bCs/>
                      <w:color w:val="auto"/>
                      <w:szCs w:val="21"/>
                    </w:rPr>
                    <w:t>规划要求</w:t>
                  </w:r>
                </w:p>
              </w:tc>
              <w:tc>
                <w:tcPr>
                  <w:tcW w:w="2960" w:type="pct"/>
                  <w:tcBorders>
                    <w:tl2br w:val="nil"/>
                    <w:tr2bl w:val="nil"/>
                  </w:tcBorders>
                  <w:shd w:val="clear" w:color="auto" w:fill="auto"/>
                  <w:vAlign w:val="center"/>
                </w:tcPr>
                <w:p w14:paraId="2816DC49">
                  <w:pPr>
                    <w:jc w:val="center"/>
                    <w:rPr>
                      <w:rFonts w:ascii="Times New Roman" w:hAnsi="Times New Roman"/>
                      <w:b/>
                      <w:bCs/>
                      <w:color w:val="auto"/>
                      <w:szCs w:val="21"/>
                    </w:rPr>
                  </w:pPr>
                  <w:r>
                    <w:rPr>
                      <w:rFonts w:ascii="Times New Roman" w:hAnsi="Times New Roman"/>
                      <w:b/>
                      <w:bCs/>
                      <w:color w:val="auto"/>
                      <w:szCs w:val="21"/>
                    </w:rPr>
                    <w:t>项目情况</w:t>
                  </w:r>
                </w:p>
              </w:tc>
              <w:tc>
                <w:tcPr>
                  <w:tcW w:w="501" w:type="pct"/>
                  <w:tcBorders>
                    <w:tl2br w:val="nil"/>
                    <w:tr2bl w:val="nil"/>
                  </w:tcBorders>
                  <w:shd w:val="clear" w:color="auto" w:fill="auto"/>
                  <w:vAlign w:val="center"/>
                </w:tcPr>
                <w:p w14:paraId="100DA833">
                  <w:pPr>
                    <w:jc w:val="center"/>
                    <w:rPr>
                      <w:rFonts w:ascii="Times New Roman" w:hAnsi="Times New Roman"/>
                      <w:b/>
                      <w:bCs/>
                      <w:color w:val="auto"/>
                      <w:szCs w:val="21"/>
                    </w:rPr>
                  </w:pPr>
                  <w:r>
                    <w:rPr>
                      <w:rFonts w:ascii="Times New Roman" w:hAnsi="Times New Roman"/>
                      <w:b/>
                      <w:bCs/>
                      <w:color w:val="auto"/>
                      <w:szCs w:val="21"/>
                    </w:rPr>
                    <w:t>相符性</w:t>
                  </w:r>
                </w:p>
              </w:tc>
            </w:tr>
            <w:tr w14:paraId="2701FE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537" w:type="pct"/>
                  <w:tcBorders>
                    <w:tl2br w:val="nil"/>
                    <w:tr2bl w:val="nil"/>
                  </w:tcBorders>
                  <w:shd w:val="clear" w:color="auto" w:fill="auto"/>
                  <w:vAlign w:val="center"/>
                </w:tcPr>
                <w:p w14:paraId="00E279C7">
                  <w:pPr>
                    <w:jc w:val="center"/>
                    <w:rPr>
                      <w:rFonts w:ascii="Times New Roman" w:hAnsi="Times New Roman"/>
                      <w:color w:val="auto"/>
                      <w:szCs w:val="21"/>
                    </w:rPr>
                  </w:pPr>
                  <w:r>
                    <w:rPr>
                      <w:rFonts w:ascii="Times New Roman" w:hAnsi="Times New Roman"/>
                      <w:color w:val="auto"/>
                      <w:szCs w:val="21"/>
                    </w:rPr>
                    <w:t>合理规划项目布局，避让自然保护区、风景名胜区等各类自然保护地和集中居民区等环境敏感区，采取工程和生态保护措施，减少树木采伐，及时进行生态修复，降低生态影响。</w:t>
                  </w:r>
                </w:p>
              </w:tc>
              <w:tc>
                <w:tcPr>
                  <w:tcW w:w="2960" w:type="pct"/>
                  <w:tcBorders>
                    <w:tl2br w:val="nil"/>
                    <w:tr2bl w:val="nil"/>
                  </w:tcBorders>
                  <w:shd w:val="clear" w:color="auto" w:fill="auto"/>
                  <w:vAlign w:val="center"/>
                </w:tcPr>
                <w:p w14:paraId="0B667514">
                  <w:pPr>
                    <w:jc w:val="center"/>
                    <w:rPr>
                      <w:rFonts w:ascii="Times New Roman" w:hAnsi="Times New Roman"/>
                      <w:color w:val="auto"/>
                      <w:szCs w:val="21"/>
                    </w:rPr>
                  </w:pPr>
                  <w:r>
                    <w:rPr>
                      <w:rFonts w:ascii="Times New Roman" w:hAnsi="Times New Roman"/>
                      <w:color w:val="auto"/>
                      <w:szCs w:val="21"/>
                    </w:rPr>
                    <w:t>根据会泽县各局查询意见及会泽县相关敏感区资料核对，项目不涉及</w:t>
                  </w:r>
                  <w:r>
                    <w:rPr>
                      <w:rFonts w:hint="eastAsia" w:ascii="Times New Roman" w:hAnsi="Times New Roman"/>
                      <w:color w:val="auto"/>
                      <w:szCs w:val="21"/>
                    </w:rPr>
                    <w:t>占用</w:t>
                  </w:r>
                  <w:r>
                    <w:rPr>
                      <w:rFonts w:ascii="Times New Roman" w:hAnsi="Times New Roman"/>
                      <w:color w:val="auto"/>
                      <w:szCs w:val="21"/>
                    </w:rPr>
                    <w:t>国家公园、自然保护区、森林公园、风景名胜区、草原公园等各类自然保护地</w:t>
                  </w:r>
                  <w:r>
                    <w:rPr>
                      <w:rFonts w:hint="eastAsia" w:ascii="Times New Roman" w:hAnsi="Times New Roman"/>
                      <w:color w:val="auto"/>
                      <w:szCs w:val="21"/>
                    </w:rPr>
                    <w:t>等；根据核对，</w:t>
                  </w:r>
                  <w:r>
                    <w:rPr>
                      <w:rFonts w:hint="eastAsia"/>
                      <w:color w:val="auto"/>
                      <w:sz w:val="22"/>
                      <w:szCs w:val="21"/>
                    </w:rPr>
                    <w:t>线路不可避让占用基本农田</w:t>
                  </w:r>
                  <w:r>
                    <w:rPr>
                      <w:rFonts w:hint="eastAsia" w:ascii="Times New Roman" w:hAnsi="Times New Roman"/>
                      <w:color w:val="auto"/>
                      <w:szCs w:val="21"/>
                    </w:rPr>
                    <w:t>0.238hm</w:t>
                  </w:r>
                  <w:r>
                    <w:rPr>
                      <w:rFonts w:hint="eastAsia" w:ascii="Times New Roman" w:hAnsi="Times New Roman"/>
                      <w:color w:val="auto"/>
                      <w:szCs w:val="21"/>
                      <w:vertAlign w:val="superscript"/>
                    </w:rPr>
                    <w:t>2</w:t>
                  </w:r>
                  <w:r>
                    <w:rPr>
                      <w:rFonts w:ascii="Times New Roman" w:hAnsi="Times New Roman"/>
                      <w:color w:val="auto"/>
                      <w:szCs w:val="21"/>
                    </w:rPr>
                    <w:t>，</w:t>
                  </w:r>
                  <w:r>
                    <w:rPr>
                      <w:rFonts w:hint="eastAsia" w:ascii="Times New Roman" w:hAnsi="Times New Roman"/>
                      <w:color w:val="auto"/>
                      <w:szCs w:val="21"/>
                    </w:rPr>
                    <w:t>于2026年8月20日取得会泽县自然资源局关于六合一至乐业变220kV送出线路工程占用永久基本农田不可避让的情况说明，符合《永久基本农田保护红线管理办法》的要求</w:t>
                  </w:r>
                </w:p>
              </w:tc>
              <w:tc>
                <w:tcPr>
                  <w:tcW w:w="501" w:type="pct"/>
                  <w:tcBorders>
                    <w:tl2br w:val="nil"/>
                    <w:tr2bl w:val="nil"/>
                  </w:tcBorders>
                  <w:shd w:val="clear" w:color="auto" w:fill="auto"/>
                  <w:vAlign w:val="center"/>
                </w:tcPr>
                <w:p w14:paraId="74A63311">
                  <w:pPr>
                    <w:jc w:val="center"/>
                    <w:rPr>
                      <w:rFonts w:ascii="Times New Roman" w:hAnsi="Times New Roman"/>
                      <w:color w:val="auto"/>
                      <w:szCs w:val="21"/>
                    </w:rPr>
                  </w:pPr>
                  <w:r>
                    <w:rPr>
                      <w:rFonts w:ascii="Times New Roman" w:hAnsi="Times New Roman"/>
                      <w:color w:val="auto"/>
                      <w:szCs w:val="21"/>
                    </w:rPr>
                    <w:t>符合</w:t>
                  </w:r>
                </w:p>
              </w:tc>
            </w:tr>
            <w:tr w14:paraId="0528A5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537" w:type="pct"/>
                  <w:tcBorders>
                    <w:tl2br w:val="nil"/>
                    <w:tr2bl w:val="nil"/>
                  </w:tcBorders>
                  <w:shd w:val="clear" w:color="auto" w:fill="auto"/>
                  <w:vAlign w:val="center"/>
                </w:tcPr>
                <w:p w14:paraId="1287F64D">
                  <w:pPr>
                    <w:jc w:val="center"/>
                    <w:rPr>
                      <w:rFonts w:ascii="Times New Roman" w:hAnsi="Times New Roman"/>
                      <w:color w:val="auto"/>
                      <w:szCs w:val="21"/>
                    </w:rPr>
                  </w:pPr>
                  <w:r>
                    <w:rPr>
                      <w:rFonts w:ascii="Times New Roman" w:hAnsi="Times New Roman"/>
                      <w:color w:val="auto"/>
                      <w:szCs w:val="21"/>
                    </w:rPr>
                    <w:t>做好项目建设涉及的自然生态环境保护工作，注意避让生态环境敏感区和脆弱区。加强施工准备、筹建和施工过程中的环境保护。提高电网运行安全稳定</w:t>
                  </w:r>
                  <w:r>
                    <w:rPr>
                      <w:rFonts w:hint="eastAsia" w:ascii="Times New Roman" w:hAnsi="Times New Roman"/>
                      <w:color w:val="auto"/>
                      <w:szCs w:val="21"/>
                    </w:rPr>
                    <w:t>水平</w:t>
                  </w:r>
                  <w:r>
                    <w:rPr>
                      <w:rFonts w:ascii="Times New Roman" w:hAnsi="Times New Roman"/>
                      <w:color w:val="auto"/>
                      <w:szCs w:val="21"/>
                    </w:rPr>
                    <w:t>，降低电磁环境影响。</w:t>
                  </w:r>
                </w:p>
              </w:tc>
              <w:tc>
                <w:tcPr>
                  <w:tcW w:w="2960" w:type="pct"/>
                  <w:tcBorders>
                    <w:tl2br w:val="nil"/>
                    <w:tr2bl w:val="nil"/>
                  </w:tcBorders>
                  <w:shd w:val="clear" w:color="auto" w:fill="auto"/>
                  <w:vAlign w:val="center"/>
                </w:tcPr>
                <w:p w14:paraId="0500AA83">
                  <w:pPr>
                    <w:jc w:val="center"/>
                    <w:rPr>
                      <w:rFonts w:ascii="Times New Roman" w:hAnsi="Times New Roman"/>
                      <w:color w:val="auto"/>
                      <w:szCs w:val="21"/>
                    </w:rPr>
                  </w:pPr>
                  <w:r>
                    <w:rPr>
                      <w:rFonts w:ascii="Times New Roman" w:hAnsi="Times New Roman"/>
                      <w:color w:val="auto"/>
                      <w:szCs w:val="21"/>
                    </w:rPr>
                    <w:t>根据会泽县各局查询意见、项目选址踏勘、生态调查及会泽县相关敏感区资料核对，项目选址区域不涉及自然保护区、国家公园、风景名胜区、文物古迹、湿地保护区、饮用水水源保护区、集中式饮用水水源地、生物多样性保护区域、特殊生态环境及特有物种保护区域、鸟类迁徙重要通道及其栖息地、民俗保护区等生态保护红线和生态敏感区域。</w:t>
                  </w:r>
                </w:p>
              </w:tc>
              <w:tc>
                <w:tcPr>
                  <w:tcW w:w="501" w:type="pct"/>
                  <w:tcBorders>
                    <w:tl2br w:val="nil"/>
                    <w:tr2bl w:val="nil"/>
                  </w:tcBorders>
                  <w:shd w:val="clear" w:color="auto" w:fill="auto"/>
                  <w:vAlign w:val="center"/>
                </w:tcPr>
                <w:p w14:paraId="059A2275">
                  <w:pPr>
                    <w:jc w:val="center"/>
                    <w:rPr>
                      <w:rFonts w:ascii="Times New Roman" w:hAnsi="Times New Roman"/>
                      <w:color w:val="auto"/>
                      <w:szCs w:val="21"/>
                    </w:rPr>
                  </w:pPr>
                  <w:r>
                    <w:rPr>
                      <w:rFonts w:ascii="Times New Roman" w:hAnsi="Times New Roman"/>
                      <w:color w:val="auto"/>
                      <w:szCs w:val="21"/>
                    </w:rPr>
                    <w:t>符合</w:t>
                  </w:r>
                </w:p>
              </w:tc>
            </w:tr>
            <w:tr w14:paraId="313985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537" w:type="pct"/>
                  <w:tcBorders>
                    <w:tl2br w:val="nil"/>
                    <w:tr2bl w:val="nil"/>
                  </w:tcBorders>
                  <w:shd w:val="clear" w:color="auto" w:fill="auto"/>
                  <w:vAlign w:val="center"/>
                </w:tcPr>
                <w:p w14:paraId="0356159B">
                  <w:pPr>
                    <w:jc w:val="center"/>
                    <w:rPr>
                      <w:rFonts w:ascii="Times New Roman" w:hAnsi="Times New Roman"/>
                      <w:color w:val="auto"/>
                      <w:szCs w:val="21"/>
                    </w:rPr>
                  </w:pPr>
                  <w:r>
                    <w:rPr>
                      <w:rFonts w:ascii="Times New Roman" w:hAnsi="Times New Roman"/>
                      <w:color w:val="auto"/>
                      <w:szCs w:val="21"/>
                    </w:rPr>
                    <w:t>严格落实国土空间规划管控要求，尽量避让生态保护红线、耕地和永久基本农田。</w:t>
                  </w:r>
                </w:p>
              </w:tc>
              <w:tc>
                <w:tcPr>
                  <w:tcW w:w="2960" w:type="pct"/>
                  <w:tcBorders>
                    <w:tl2br w:val="nil"/>
                    <w:tr2bl w:val="nil"/>
                  </w:tcBorders>
                  <w:shd w:val="clear" w:color="auto" w:fill="auto"/>
                  <w:vAlign w:val="center"/>
                </w:tcPr>
                <w:p w14:paraId="188795C1">
                  <w:pPr>
                    <w:jc w:val="center"/>
                    <w:rPr>
                      <w:rFonts w:ascii="Times New Roman" w:hAnsi="Times New Roman"/>
                      <w:color w:val="auto"/>
                      <w:szCs w:val="21"/>
                    </w:rPr>
                  </w:pPr>
                  <w:r>
                    <w:rPr>
                      <w:rFonts w:hint="eastAsia"/>
                      <w:color w:val="auto"/>
                      <w:sz w:val="22"/>
                      <w:szCs w:val="21"/>
                    </w:rPr>
                    <w:t>根据查询资料，项目用地范围不涉及占用生态保护红线，受自然条件等因素限制，线路不可避让占用基本农田，对照《永久基本农田保护红线管理办法》，项目线路确实难以避让基本农田，且采取了有效节地措施，本项目塔基的占用基本农田是合规、允许的</w:t>
                  </w:r>
                </w:p>
              </w:tc>
              <w:tc>
                <w:tcPr>
                  <w:tcW w:w="501" w:type="pct"/>
                  <w:tcBorders>
                    <w:tl2br w:val="nil"/>
                    <w:tr2bl w:val="nil"/>
                  </w:tcBorders>
                  <w:shd w:val="clear" w:color="auto" w:fill="auto"/>
                  <w:vAlign w:val="center"/>
                </w:tcPr>
                <w:p w14:paraId="2488DAAB">
                  <w:pPr>
                    <w:jc w:val="center"/>
                    <w:rPr>
                      <w:rFonts w:ascii="Times New Roman" w:hAnsi="Times New Roman"/>
                      <w:color w:val="auto"/>
                      <w:szCs w:val="21"/>
                    </w:rPr>
                  </w:pPr>
                  <w:r>
                    <w:rPr>
                      <w:rFonts w:ascii="Times New Roman" w:hAnsi="Times New Roman"/>
                      <w:color w:val="auto"/>
                      <w:szCs w:val="21"/>
                    </w:rPr>
                    <w:t>符合</w:t>
                  </w:r>
                </w:p>
              </w:tc>
            </w:tr>
          </w:tbl>
          <w:p w14:paraId="06C43063">
            <w:pPr>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szCs w:val="24"/>
              </w:rPr>
              <w:t>综上，项目建设</w:t>
            </w:r>
            <w:r>
              <w:rPr>
                <w:rFonts w:hint="eastAsia" w:ascii="Times New Roman" w:hAnsi="Times New Roman"/>
                <w:color w:val="auto"/>
                <w:sz w:val="24"/>
                <w:szCs w:val="24"/>
              </w:rPr>
              <w:t>符合</w:t>
            </w:r>
            <w:r>
              <w:rPr>
                <w:rFonts w:ascii="Times New Roman" w:hAnsi="Times New Roman"/>
                <w:color w:val="auto"/>
                <w:sz w:val="24"/>
                <w:szCs w:val="24"/>
              </w:rPr>
              <w:t>《云南省绿色能源发展“十四五”规划》环境影响篇章相关要求。</w:t>
            </w:r>
          </w:p>
          <w:p w14:paraId="2F80FD1D">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2</w:t>
            </w:r>
            <w:r>
              <w:rPr>
                <w:rFonts w:ascii="Times New Roman" w:hAnsi="Times New Roman"/>
                <w:b/>
                <w:color w:val="auto"/>
                <w:sz w:val="24"/>
                <w:szCs w:val="24"/>
              </w:rPr>
              <w:t>、与《曲靖市绿色能源发展“十四五”规划》的符合性分析</w:t>
            </w:r>
          </w:p>
          <w:p w14:paraId="027B0F64">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（1）《曲靖市绿色能源发展“十四五”规划》概况</w:t>
            </w:r>
          </w:p>
          <w:p w14:paraId="460A183D">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2023年5月10日，曲靖市人民政府办公室关于印发曲靖市绿色能源发展“十四五”规划的通知（曲政办发〔2023〕28号），规划发展目标为着力打造绿色能源强市，到“十四五”末，煤炭转型升级取得重大进展，产业结构更加优化，科技装备水平显著提升，实现集约、安全、高效、绿色、低碳发展；火电可持续发展能力不断增强，风电、光伏等清洁能源开发建设取得重大进展，打造成为云南省乃至西南重要的新能源基地；电网布局更加优化，构建形成覆盖城乡的安全、智能、高效、可靠、绿色智能电网；天然气网络及基础设施建设加快推进，形成布局合理、科学储配、辐射周边的天然气输送网络体系，基本实现多能互补格局。</w:t>
            </w:r>
          </w:p>
          <w:p w14:paraId="0C50BCC0">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到2025年，预计全市能源生产总量4444万吨标准煤，地区能源消费总量1674.93万吨标准煤，非化石能源消费占比达21%；原煤产量达到5000万吨/年；电力总装机2357万千瓦，可再生能源装机1447万千瓦以上；天然气储气能力达1900万立方米。</w:t>
            </w:r>
          </w:p>
          <w:p w14:paraId="1065BB0A">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展望2035年，曲靖高质量现代化能源体系基本确立，煤炭产业实现稳定、高效发展，建成西南重要能源基地，打造成“光伏之都”核心区，形成以非化石能源为主导的能源供给体系，能源产业链更加完备，科技创新显著增强，能源产业成为全市第一大支柱产业，全面带动全市经济社会发展，充分满足人民对美好生活的用能需求。</w:t>
            </w:r>
          </w:p>
          <w:p w14:paraId="29C52555">
            <w:pPr>
              <w:adjustRightInd w:val="0"/>
              <w:snapToGrid w:val="0"/>
              <w:spacing w:line="440" w:lineRule="exact"/>
              <w:ind w:firstLine="482" w:firstLineChars="200"/>
              <w:rPr>
                <w:rFonts w:ascii="Times New Roman" w:hAnsi="Times New Roman"/>
                <w:bCs/>
                <w:color w:val="auto"/>
                <w:sz w:val="24"/>
                <w:szCs w:val="24"/>
              </w:rPr>
            </w:pPr>
            <w:r>
              <w:rPr>
                <w:rFonts w:ascii="Times New Roman" w:hAnsi="Times New Roman"/>
                <w:b/>
                <w:color w:val="auto"/>
                <w:sz w:val="24"/>
                <w:szCs w:val="24"/>
              </w:rPr>
              <w:t>强化电网建设。</w:t>
            </w:r>
            <w:r>
              <w:rPr>
                <w:rFonts w:ascii="Times New Roman" w:hAnsi="Times New Roman"/>
                <w:bCs/>
                <w:color w:val="auto"/>
                <w:sz w:val="24"/>
                <w:szCs w:val="24"/>
              </w:rPr>
              <w:t>“十四五”期间，曲靖电网规划建设500千伏西山变、喜平变扩建第三台主变工程、龙海变扩建第三台主变工程、500千伏铜都开关站扩建变电站工程，新增500千伏变电容量600万千伏安；至2025年，500千伏变电总容量达到1450万千伏安，500千伏变电容量充足，能够满足经开区、工业园区项目新增大用户负荷供电的要求。输电线路方面，500千伏变电站220千伏出线均采用2×300平方毫米以上导线截面，并对原有的一些导线进行并线改造，主网输电能力得到增强。曲靖电网经过“十四五”期间主网架的规划建设，当500千伏或220千伏变电站在发生主变N—1或线路N—1故障时，其所供负荷均可由近区电网支援供电，不需采取措施，可保证供电。主要变电站均采用双回链式或有联络的环网供电结构，保证电网的供电可靠性。到2025年，曲靖电网供电可靠性均可满足要求。通过曲靖电网“十四五”规划方案的实施，规划电网能够满足599号令对于电网运行风险控制的要求，保障曲靖电网的安全稳定运行，为曲靖社会经济的发展保驾护航。</w:t>
            </w:r>
          </w:p>
          <w:p w14:paraId="0B35F849">
            <w:pPr>
              <w:adjustRightInd w:val="0"/>
              <w:snapToGrid w:val="0"/>
              <w:spacing w:line="440" w:lineRule="exact"/>
              <w:ind w:firstLine="482" w:firstLineChars="200"/>
              <w:rPr>
                <w:rFonts w:ascii="Times New Roman" w:hAnsi="Times New Roman"/>
                <w:bCs/>
                <w:color w:val="auto"/>
                <w:sz w:val="24"/>
                <w:szCs w:val="24"/>
              </w:rPr>
            </w:pPr>
            <w:r>
              <w:rPr>
                <w:rFonts w:ascii="Times New Roman" w:hAnsi="Times New Roman"/>
                <w:b/>
                <w:color w:val="auto"/>
                <w:sz w:val="24"/>
                <w:szCs w:val="24"/>
              </w:rPr>
              <w:t>加强电源电网建设</w:t>
            </w:r>
            <w:r>
              <w:rPr>
                <w:rFonts w:hint="eastAsia" w:ascii="Times New Roman" w:hAnsi="Times New Roman"/>
                <w:b/>
                <w:color w:val="auto"/>
                <w:sz w:val="24"/>
                <w:szCs w:val="24"/>
              </w:rPr>
              <w:t>：</w:t>
            </w:r>
            <w:r>
              <w:rPr>
                <w:rFonts w:hint="eastAsia" w:ascii="Times New Roman" w:hAnsi="Times New Roman"/>
                <w:bCs/>
                <w:color w:val="auto"/>
                <w:sz w:val="24"/>
                <w:szCs w:val="24"/>
              </w:rPr>
              <w:t>（一）为适应曲靖市整体经济社会发展、满足重点工业园区建设及新增负荷供电，规划新建及改扩建500千伏变电站3座，新增主变容量400万千伏安，新建输电线路175公里；新建及改扩建220千伏变电站6座，新增主变容量183万千伏安，新建输电线路683公里。新建及改扩建110千伏变电站27座，容量148万千伏安，新建输电线路760公里；新建及改扩建35千伏变电站38座，容量31万千伏安新建输电线路695公里。（</w:t>
            </w:r>
            <w:r>
              <w:rPr>
                <w:rFonts w:hint="eastAsia" w:ascii="Times New Roman" w:hAnsi="Times New Roman"/>
                <w:bCs/>
                <w:color w:val="auto"/>
                <w:sz w:val="24"/>
                <w:szCs w:val="24"/>
                <w:lang w:val="en-US" w:eastAsia="zh-CN"/>
              </w:rPr>
              <w:t>二</w:t>
            </w:r>
            <w:r>
              <w:rPr>
                <w:rFonts w:hint="eastAsia" w:ascii="Times New Roman" w:hAnsi="Times New Roman"/>
                <w:bCs/>
                <w:color w:val="auto"/>
                <w:sz w:val="24"/>
                <w:szCs w:val="24"/>
              </w:rPr>
              <w:t>）加强配电网项目规划建设。巩固拓展脱贫攻坚成果同乡村振兴有效衔接，夯实乡村电网基础，提升乡村电网供电能力和供电质量。到2025年，新建及改造电缆线路60.80公里，架空线路1936.61公里，新建及改造智能中压开关站19个，新建及改造智能自动化开关739台，新建及改造配变3243台，容量471.18兆伏安，低压线路4328.88公里。到2025年底，全市乡村供电可靠率达99.891%，用户年均停电时间9.5小时。</w:t>
            </w:r>
          </w:p>
          <w:p w14:paraId="3082CA28">
            <w:pPr>
              <w:adjustRightInd w:val="0"/>
              <w:snapToGrid w:val="0"/>
              <w:spacing w:line="440" w:lineRule="exact"/>
              <w:ind w:firstLine="482" w:firstLineChars="200"/>
              <w:rPr>
                <w:rFonts w:ascii="Times New Roman" w:hAnsi="Times New Roman"/>
                <w:bCs/>
                <w:color w:val="auto"/>
                <w:sz w:val="24"/>
                <w:szCs w:val="24"/>
              </w:rPr>
            </w:pPr>
            <w:r>
              <w:rPr>
                <w:rFonts w:ascii="Times New Roman" w:hAnsi="Times New Roman"/>
                <w:b/>
                <w:color w:val="auto"/>
                <w:sz w:val="24"/>
                <w:szCs w:val="24"/>
              </w:rPr>
              <w:t>打造绿色能源示范基地</w:t>
            </w:r>
            <w:r>
              <w:rPr>
                <w:rFonts w:hint="eastAsia" w:ascii="Times New Roman" w:hAnsi="Times New Roman"/>
                <w:b/>
                <w:color w:val="auto"/>
                <w:sz w:val="24"/>
                <w:szCs w:val="24"/>
              </w:rPr>
              <w:t>：</w:t>
            </w:r>
            <w:r>
              <w:rPr>
                <w:rFonts w:ascii="Times New Roman" w:hAnsi="Times New Roman"/>
                <w:bCs/>
                <w:color w:val="auto"/>
                <w:sz w:val="24"/>
                <w:szCs w:val="24"/>
              </w:rPr>
              <w:t>（一）积极推进风电、光伏新能源项目建设。按照“能开全开、能开尽开、依法依规、科学有序”的原则，全面有序开发利用新能源。强化要素支撑和服务保障，优化项目设计方案，做实做细项目前期，协调加快项目手续办理、接网工程和并网消纳，加快推进394万千瓦的10个风电基地项目、542.4万千瓦的56个地面集中式光伏项目、39.7万千瓦的3个整县屋顶分布式光伏试点项目建设，到2025年，力争实现全容量并网发电。为适应大规模风电、光伏清洁能源接入电网，避免负荷较大波动的不利影响，综合电网接入条件，规划构建曲靖风光火一体化综合能源基地，配套光伏容量240万千瓦、风电装机容量52万千瓦，通过现有火电机组负荷调节改造及配套一定比例电储能等技术方式，促进风电、光伏新能源项目安全、可靠、有序发展。选择工业负荷规模大、新能源资源条件好的工业园区，规划园区级源网荷储一体化项目，配套光伏容量50万千瓦、风电装机容量18万千瓦。</w:t>
            </w:r>
          </w:p>
          <w:p w14:paraId="24923ED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本工程建设主要为满足</w:t>
            </w:r>
            <w:r>
              <w:rPr>
                <w:rFonts w:hint="eastAsia" w:ascii="Times New Roman" w:hAnsi="Times New Roman"/>
                <w:color w:val="auto"/>
                <w:sz w:val="24"/>
                <w:szCs w:val="24"/>
              </w:rPr>
              <w:t>六合一光伏项目</w:t>
            </w:r>
            <w:r>
              <w:rPr>
                <w:rFonts w:ascii="Times New Roman" w:hAnsi="Times New Roman"/>
                <w:color w:val="auto"/>
                <w:sz w:val="24"/>
                <w:szCs w:val="24"/>
              </w:rPr>
              <w:t>新能源的装机电力送出和消纳。</w:t>
            </w:r>
            <w:r>
              <w:rPr>
                <w:rFonts w:hint="eastAsia" w:ascii="Times New Roman" w:hAnsi="Times New Roman"/>
                <w:color w:val="auto"/>
                <w:sz w:val="24"/>
                <w:szCs w:val="24"/>
              </w:rPr>
              <w:t>项目已纳入</w:t>
            </w:r>
            <w:r>
              <w:rPr>
                <w:rFonts w:hint="eastAsia" w:ascii="Times New Roman" w:hAnsi="Times New Roman"/>
                <w:color w:val="auto"/>
                <w:kern w:val="0"/>
                <w:sz w:val="24"/>
              </w:rPr>
              <w:t>《云南省能源局关于切实做好2022年新能源项目投产并网有关工作的通知》（云能源电〔2022〕176）中云南省2022年新能源项目投产并网项目清单“10乐业镇六合村委会六合村二期光伏项目（复合型光伏发电项目）、11乐业镇六合村一期光伏项目（复合型光伏发电项目）”，</w:t>
            </w:r>
            <w:r>
              <w:rPr>
                <w:rFonts w:ascii="Times New Roman" w:hAnsi="Times New Roman"/>
                <w:color w:val="auto"/>
                <w:sz w:val="24"/>
                <w:szCs w:val="24"/>
              </w:rPr>
              <w:t>项目的建设有利于缓解</w:t>
            </w:r>
            <w:r>
              <w:rPr>
                <w:rFonts w:hint="eastAsia" w:ascii="Times New Roman" w:hAnsi="Times New Roman"/>
                <w:color w:val="auto"/>
                <w:sz w:val="24"/>
                <w:szCs w:val="24"/>
              </w:rPr>
              <w:t>曲靖市、会泽县</w:t>
            </w:r>
            <w:r>
              <w:rPr>
                <w:rFonts w:ascii="Times New Roman" w:hAnsi="Times New Roman"/>
                <w:color w:val="auto"/>
                <w:sz w:val="24"/>
                <w:szCs w:val="24"/>
              </w:rPr>
              <w:t>电力供需矛盾，提高云南省电力保障能力，改善全省以水电为主的</w:t>
            </w:r>
            <w:r>
              <w:rPr>
                <w:rFonts w:hint="eastAsia" w:ascii="Times New Roman" w:hAnsi="Times New Roman"/>
                <w:color w:val="auto"/>
                <w:sz w:val="24"/>
                <w:szCs w:val="24"/>
              </w:rPr>
              <w:t>能源</w:t>
            </w:r>
            <w:r>
              <w:rPr>
                <w:rFonts w:ascii="Times New Roman" w:hAnsi="Times New Roman"/>
                <w:color w:val="auto"/>
                <w:sz w:val="24"/>
                <w:szCs w:val="24"/>
              </w:rPr>
              <w:t>结构。因此，</w:t>
            </w:r>
            <w:r>
              <w:rPr>
                <w:rFonts w:ascii="Times New Roman" w:hAnsi="Times New Roman"/>
                <w:bCs/>
                <w:color w:val="auto"/>
                <w:sz w:val="24"/>
                <w:szCs w:val="24"/>
              </w:rPr>
              <w:t>项目的建设符合《</w:t>
            </w:r>
            <w:r>
              <w:rPr>
                <w:rFonts w:hint="eastAsia" w:ascii="Times New Roman" w:hAnsi="Times New Roman"/>
                <w:bCs/>
                <w:color w:val="auto"/>
                <w:sz w:val="24"/>
                <w:szCs w:val="24"/>
              </w:rPr>
              <w:t>曲靖市</w:t>
            </w:r>
            <w:r>
              <w:rPr>
                <w:rFonts w:ascii="Times New Roman" w:hAnsi="Times New Roman"/>
                <w:bCs/>
                <w:color w:val="auto"/>
                <w:sz w:val="24"/>
                <w:szCs w:val="24"/>
              </w:rPr>
              <w:t>绿色能源发展“十四五”规划》的要求</w:t>
            </w:r>
            <w:r>
              <w:rPr>
                <w:rFonts w:ascii="Times New Roman" w:hAnsi="Times New Roman"/>
                <w:color w:val="auto"/>
                <w:sz w:val="24"/>
                <w:szCs w:val="24"/>
              </w:rPr>
              <w:t>。</w:t>
            </w:r>
          </w:p>
          <w:p w14:paraId="1982986D">
            <w:pPr>
              <w:adjustRightInd w:val="0"/>
              <w:snapToGrid w:val="0"/>
              <w:jc w:val="center"/>
              <w:rPr>
                <w:b/>
                <w:bCs/>
                <w:color w:val="auto"/>
              </w:rPr>
            </w:pPr>
            <w:r>
              <w:rPr>
                <w:color w:val="auto"/>
                <w:sz w:val="28"/>
              </w:rPr>
              <mc:AlternateContent>
                <mc:Choice Requires="wps">
                  <w:drawing>
                    <wp:anchor distT="0" distB="0" distL="114300" distR="114300" simplePos="0" relativeHeight="251659264" behindDoc="0" locked="0" layoutInCell="1" allowOverlap="1">
                      <wp:simplePos x="0" y="0"/>
                      <wp:positionH relativeFrom="column">
                        <wp:posOffset>-23495</wp:posOffset>
                      </wp:positionH>
                      <wp:positionV relativeFrom="paragraph">
                        <wp:posOffset>1261110</wp:posOffset>
                      </wp:positionV>
                      <wp:extent cx="4541520" cy="514985"/>
                      <wp:effectExtent l="9525" t="9525" r="20955" b="27940"/>
                      <wp:wrapNone/>
                      <wp:docPr id="4" name="文本框 48"/>
                      <wp:cNvGraphicFramePr/>
                      <a:graphic xmlns:a="http://schemas.openxmlformats.org/drawingml/2006/main">
                        <a:graphicData uri="http://schemas.microsoft.com/office/word/2010/wordprocessingShape">
                          <wps:wsp>
                            <wps:cNvSpPr txBox="1"/>
                            <wps:spPr>
                              <a:xfrm>
                                <a:off x="1238885" y="2101850"/>
                                <a:ext cx="5238750" cy="514985"/>
                              </a:xfrm>
                              <a:prstGeom prst="rect">
                                <a:avLst/>
                              </a:prstGeom>
                              <a:noFill/>
                              <a:ln w="19050" cap="flat" cmpd="sng">
                                <a:solidFill>
                                  <a:srgbClr val="FF0000"/>
                                </a:solidFill>
                                <a:prstDash val="solid"/>
                                <a:miter/>
                                <a:headEnd type="none" w="med" len="med"/>
                                <a:tailEnd type="none" w="med" len="med"/>
                              </a:ln>
                              <a:effectLst/>
                            </wps:spPr>
                            <wps:txbx>
                              <w:txbxContent>
                                <w:p w14:paraId="1D2702CD"/>
                              </w:txbxContent>
                            </wps:txbx>
                            <wps:bodyPr upright="1"/>
                          </wps:wsp>
                        </a:graphicData>
                      </a:graphic>
                    </wp:anchor>
                  </w:drawing>
                </mc:Choice>
                <mc:Fallback>
                  <w:pict>
                    <v:shape id="文本框 48" o:spid="_x0000_s1026" o:spt="202" type="#_x0000_t202" style="position:absolute;left:0pt;margin-left:-1.85pt;margin-top:99.3pt;height:40.55pt;width:357.6pt;z-index:251659264;mso-width-relative:page;mso-height-relative:page;" filled="f" stroked="t" coordsize="21600,21600" o:gfxdata="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jI9KSNsAAAAKAQAA&#10;DwAAAAAAAAABACAAAAAiAAAAZHJzL2Rvd25yZXYueG1sUEsBAhQAFAAAAAgAh07iQDlUEsMWAgAA&#10;KQQAAA4AAAAAAAAAAQAgAAAAKgEAAGRycy9lMm9Eb2MueG1sUEsFBgAAAAAGAAYAWQEAALIFAAAA&#10;AA==&#10;">
                      <v:fill on="f" focussize="0,0"/>
                      <v:stroke weight="1.5pt" color="#FF0000" joinstyle="miter"/>
                      <v:imagedata o:title=""/>
                      <o:lock v:ext="edit" aspectratio="f"/>
                      <v:textbox>
                        <w:txbxContent>
                          <w:p w14:paraId="1D2702CD"/>
                        </w:txbxContent>
                      </v:textbox>
                    </v:shape>
                  </w:pict>
                </mc:Fallback>
              </mc:AlternateContent>
            </w:r>
            <w:r>
              <w:rPr>
                <w:color w:val="auto"/>
              </w:rPr>
              <w:drawing>
                <wp:inline distT="0" distB="0" distL="114300" distR="114300">
                  <wp:extent cx="4562475" cy="3324225"/>
                  <wp:effectExtent l="0" t="0" r="9525" b="9525"/>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pic:cNvPicPr>
                            <a:picLocks noChangeAspect="1"/>
                          </pic:cNvPicPr>
                        </pic:nvPicPr>
                        <pic:blipFill>
                          <a:blip r:embed="rId13"/>
                          <a:stretch>
                            <a:fillRect/>
                          </a:stretch>
                        </pic:blipFill>
                        <pic:spPr>
                          <a:xfrm>
                            <a:off x="0" y="0"/>
                            <a:ext cx="4562475" cy="3324225"/>
                          </a:xfrm>
                          <a:prstGeom prst="rect">
                            <a:avLst/>
                          </a:prstGeom>
                          <a:noFill/>
                          <a:ln>
                            <a:noFill/>
                          </a:ln>
                        </pic:spPr>
                      </pic:pic>
                    </a:graphicData>
                  </a:graphic>
                </wp:inline>
              </w:drawing>
            </w:r>
          </w:p>
          <w:p w14:paraId="421E55E7">
            <w:pPr>
              <w:adjustRightInd w:val="0"/>
              <w:snapToGrid w:val="0"/>
              <w:jc w:val="center"/>
              <w:rPr>
                <w:rFonts w:ascii="Times New Roman" w:hAnsi="Times New Roman"/>
                <w:b/>
                <w:bCs/>
                <w:color w:val="auto"/>
                <w:sz w:val="24"/>
                <w:szCs w:val="24"/>
              </w:rPr>
            </w:pPr>
            <w:r>
              <w:rPr>
                <w:rFonts w:hint="eastAsia" w:ascii="Times New Roman" w:hAnsi="Times New Roman"/>
                <w:b/>
                <w:bCs/>
                <w:color w:val="auto"/>
                <w:kern w:val="0"/>
                <w:sz w:val="24"/>
              </w:rPr>
              <w:t>图1-1  云南省2022年新能源项目投产并网项目清单</w:t>
            </w:r>
          </w:p>
          <w:p w14:paraId="20D263A0">
            <w:pPr>
              <w:adjustRightInd w:val="0"/>
              <w:snapToGrid w:val="0"/>
              <w:jc w:val="center"/>
              <w:rPr>
                <w:rFonts w:ascii="Times New Roman" w:hAnsi="Times New Roman"/>
                <w:b/>
                <w:bCs/>
                <w:color w:val="auto"/>
                <w:sz w:val="24"/>
                <w:szCs w:val="24"/>
              </w:rPr>
            </w:pPr>
            <w:r>
              <w:rPr>
                <w:color w:val="auto"/>
              </w:rPr>
              <w:object>
                <v:shape id="_x0000_i1025" o:spt="75" type="#_x0000_t75" style="height:310.5pt;width:360pt;" o:ole="t" filled="f" o:preferrelative="t" stroked="f" coordsize="21600,21600">
                  <v:path/>
                  <v:fill on="f" focussize="0,0"/>
                  <v:stroke on="f" joinstyle="miter"/>
                  <v:imagedata r:id="rId15" o:title=""/>
                  <o:lock v:ext="edit" aspectratio="f"/>
                  <w10:wrap type="none"/>
                  <w10:anchorlock/>
                </v:shape>
                <o:OLEObject Type="Embed" ProgID="Visio.Drawing.15" ShapeID="_x0000_i1025" DrawAspect="Content" ObjectID="_1468075725" r:id="rId14">
                  <o:LockedField>false</o:LockedField>
                </o:OLEObject>
              </w:object>
            </w:r>
            <w:r>
              <w:rPr>
                <w:rFonts w:ascii="Times New Roman" w:hAnsi="Times New Roman"/>
                <w:b/>
                <w:bCs/>
                <w:color w:val="auto"/>
                <w:sz w:val="24"/>
                <w:szCs w:val="24"/>
              </w:rPr>
              <w:t>图1-</w:t>
            </w:r>
            <w:r>
              <w:rPr>
                <w:rFonts w:hint="eastAsia" w:ascii="Times New Roman" w:hAnsi="Times New Roman"/>
                <w:b/>
                <w:bCs/>
                <w:color w:val="auto"/>
                <w:sz w:val="24"/>
                <w:szCs w:val="24"/>
              </w:rPr>
              <w:t>2</w:t>
            </w:r>
            <w:r>
              <w:rPr>
                <w:rFonts w:ascii="Times New Roman" w:hAnsi="Times New Roman"/>
                <w:b/>
                <w:bCs/>
                <w:color w:val="auto"/>
                <w:sz w:val="24"/>
                <w:szCs w:val="24"/>
              </w:rPr>
              <w:t xml:space="preserve">  工程接入系统方案电网规划图</w:t>
            </w:r>
          </w:p>
          <w:p w14:paraId="4244A965">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（2）</w:t>
            </w:r>
            <w:r>
              <w:rPr>
                <w:rFonts w:ascii="Times New Roman" w:hAnsi="Times New Roman"/>
                <w:b/>
                <w:color w:val="auto"/>
                <w:sz w:val="24"/>
                <w:szCs w:val="24"/>
              </w:rPr>
              <w:t>与《曲靖市绿色能源发展“十四五”规划》环境影响篇章符合性分析</w:t>
            </w:r>
          </w:p>
          <w:p w14:paraId="5F23715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曲靖市人民政府办公室</w:t>
            </w:r>
            <w:r>
              <w:rPr>
                <w:rFonts w:hint="eastAsia" w:ascii="Times New Roman" w:hAnsi="Times New Roman"/>
                <w:color w:val="auto"/>
                <w:sz w:val="24"/>
                <w:szCs w:val="24"/>
              </w:rPr>
              <w:t>于2023年5月10日</w:t>
            </w:r>
            <w:r>
              <w:rPr>
                <w:rFonts w:ascii="Times New Roman" w:hAnsi="Times New Roman"/>
                <w:color w:val="auto"/>
                <w:sz w:val="24"/>
                <w:szCs w:val="24"/>
              </w:rPr>
              <w:t>关于印发曲靖市绿色能源发展“十四五”规划的通知</w:t>
            </w:r>
            <w:r>
              <w:rPr>
                <w:rFonts w:hint="eastAsia" w:ascii="Times New Roman" w:hAnsi="Times New Roman"/>
                <w:color w:val="auto"/>
                <w:sz w:val="24"/>
                <w:szCs w:val="24"/>
              </w:rPr>
              <w:t>（</w:t>
            </w:r>
            <w:r>
              <w:rPr>
                <w:rFonts w:ascii="Times New Roman" w:hAnsi="Times New Roman"/>
                <w:color w:val="auto"/>
                <w:sz w:val="24"/>
                <w:szCs w:val="24"/>
              </w:rPr>
              <w:t>曲政办发〔2023〕28号</w:t>
            </w:r>
            <w:r>
              <w:rPr>
                <w:rFonts w:hint="eastAsia" w:ascii="Times New Roman" w:hAnsi="Times New Roman"/>
                <w:color w:val="auto"/>
                <w:sz w:val="24"/>
                <w:szCs w:val="24"/>
              </w:rPr>
              <w:t>），</w:t>
            </w:r>
            <w:r>
              <w:rPr>
                <w:rFonts w:ascii="Times New Roman" w:hAnsi="Times New Roman"/>
                <w:color w:val="auto"/>
                <w:sz w:val="24"/>
                <w:szCs w:val="24"/>
              </w:rPr>
              <w:t>项目与该规划中第六章“环境影响分析与相关规划的衔接性分析”符合性分析见下表：</w:t>
            </w:r>
          </w:p>
          <w:p w14:paraId="6DBFF4CA">
            <w:pPr>
              <w:jc w:val="center"/>
              <w:rPr>
                <w:rFonts w:ascii="Times New Roman" w:hAnsi="Times New Roman"/>
                <w:b/>
                <w:bCs/>
                <w:color w:val="auto"/>
                <w:szCs w:val="21"/>
              </w:rPr>
            </w:pPr>
            <w:r>
              <w:rPr>
                <w:rFonts w:ascii="Times New Roman" w:hAnsi="Times New Roman"/>
                <w:b/>
                <w:bCs/>
                <w:color w:val="auto"/>
                <w:szCs w:val="21"/>
              </w:rPr>
              <w:t>表1-</w:t>
            </w:r>
            <w:r>
              <w:rPr>
                <w:rFonts w:hint="eastAsia" w:ascii="Times New Roman" w:hAnsi="Times New Roman"/>
                <w:b/>
                <w:bCs/>
                <w:color w:val="auto"/>
                <w:szCs w:val="21"/>
              </w:rPr>
              <w:t>3</w:t>
            </w:r>
            <w:r>
              <w:rPr>
                <w:rFonts w:ascii="Times New Roman" w:hAnsi="Times New Roman"/>
                <w:b/>
                <w:bCs/>
                <w:color w:val="auto"/>
                <w:szCs w:val="21"/>
              </w:rPr>
              <w:t xml:space="preserve">  项目与《曲靖市绿色能源发展“十四五”规划》环境影响篇章的符合性</w:t>
            </w:r>
          </w:p>
          <w:tbl>
            <w:tblPr>
              <w:tblStyle w:val="2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51" w:type="dxa"/>
                <w:bottom w:w="0" w:type="dxa"/>
                <w:right w:w="51" w:type="dxa"/>
              </w:tblCellMar>
            </w:tblPr>
            <w:tblGrid>
              <w:gridCol w:w="3658"/>
              <w:gridCol w:w="2708"/>
              <w:gridCol w:w="709"/>
            </w:tblGrid>
            <w:tr w14:paraId="6B7925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781ECF95">
                  <w:pPr>
                    <w:jc w:val="center"/>
                    <w:rPr>
                      <w:rFonts w:ascii="Times New Roman" w:hAnsi="Times New Roman"/>
                      <w:b/>
                      <w:bCs/>
                      <w:color w:val="auto"/>
                      <w:szCs w:val="21"/>
                    </w:rPr>
                  </w:pPr>
                  <w:r>
                    <w:rPr>
                      <w:rFonts w:ascii="Times New Roman" w:hAnsi="Times New Roman"/>
                      <w:b/>
                      <w:bCs/>
                      <w:color w:val="auto"/>
                      <w:szCs w:val="21"/>
                    </w:rPr>
                    <w:t>规划要求</w:t>
                  </w:r>
                </w:p>
              </w:tc>
              <w:tc>
                <w:tcPr>
                  <w:tcW w:w="1914" w:type="pct"/>
                  <w:tcBorders>
                    <w:tl2br w:val="nil"/>
                    <w:tr2bl w:val="nil"/>
                  </w:tcBorders>
                  <w:shd w:val="clear" w:color="auto" w:fill="auto"/>
                  <w:vAlign w:val="center"/>
                </w:tcPr>
                <w:p w14:paraId="510E7E0A">
                  <w:pPr>
                    <w:jc w:val="center"/>
                    <w:rPr>
                      <w:rFonts w:ascii="Times New Roman" w:hAnsi="Times New Roman"/>
                      <w:b/>
                      <w:bCs/>
                      <w:color w:val="auto"/>
                      <w:szCs w:val="21"/>
                    </w:rPr>
                  </w:pPr>
                  <w:r>
                    <w:rPr>
                      <w:rFonts w:ascii="Times New Roman" w:hAnsi="Times New Roman"/>
                      <w:b/>
                      <w:bCs/>
                      <w:color w:val="auto"/>
                      <w:szCs w:val="21"/>
                    </w:rPr>
                    <w:t>项目情况</w:t>
                  </w:r>
                </w:p>
              </w:tc>
              <w:tc>
                <w:tcPr>
                  <w:tcW w:w="501" w:type="pct"/>
                  <w:tcBorders>
                    <w:tl2br w:val="nil"/>
                    <w:tr2bl w:val="nil"/>
                  </w:tcBorders>
                  <w:shd w:val="clear" w:color="auto" w:fill="auto"/>
                  <w:vAlign w:val="center"/>
                </w:tcPr>
                <w:p w14:paraId="340629AA">
                  <w:pPr>
                    <w:jc w:val="center"/>
                    <w:rPr>
                      <w:rFonts w:ascii="Times New Roman" w:hAnsi="Times New Roman"/>
                      <w:b/>
                      <w:bCs/>
                      <w:color w:val="auto"/>
                      <w:szCs w:val="21"/>
                    </w:rPr>
                  </w:pPr>
                  <w:r>
                    <w:rPr>
                      <w:rFonts w:ascii="Times New Roman" w:hAnsi="Times New Roman"/>
                      <w:b/>
                      <w:bCs/>
                      <w:color w:val="auto"/>
                      <w:szCs w:val="21"/>
                    </w:rPr>
                    <w:t>相符性</w:t>
                  </w:r>
                </w:p>
              </w:tc>
            </w:tr>
            <w:tr w14:paraId="07FBE9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218ED903">
                  <w:pPr>
                    <w:jc w:val="center"/>
                    <w:rPr>
                      <w:rFonts w:ascii="Times New Roman" w:hAnsi="Times New Roman"/>
                      <w:color w:val="auto"/>
                      <w:szCs w:val="21"/>
                    </w:rPr>
                  </w:pPr>
                  <w:r>
                    <w:rPr>
                      <w:rFonts w:ascii="Times New Roman" w:hAnsi="Times New Roman"/>
                      <w:color w:val="auto"/>
                      <w:szCs w:val="21"/>
                    </w:rPr>
                    <w:t>在充分分析曲靖市资源、生态和环境承载力的基础和前提下，本规划形成的相关能源发展布局、重点任务和重大工程符合法律法规、政策要求，与云南省国民经济与社会发展规划纲要、国家能源专项规划等上位规划保持一致，与生态文明、国土空间、乡村振兴、工业产业等规划，以及节能减排、生态环境保护、战略性新兴产业等专项规划相衔接，与生态保护红线和重大政策战略相适应。从生态环境保护上看，本规划强调能源发展和环境保护并重，加强对大气、水环境、土壤的保护，与建设生态文明建设排头兵方向一致。从节能减排的角度看，本规划以节能减排、优化结构、保障安全为重点，强化能源可持续发展观念。</w:t>
                  </w:r>
                </w:p>
              </w:tc>
              <w:tc>
                <w:tcPr>
                  <w:tcW w:w="1914" w:type="pct"/>
                  <w:tcBorders>
                    <w:tl2br w:val="nil"/>
                    <w:tr2bl w:val="nil"/>
                  </w:tcBorders>
                  <w:shd w:val="clear" w:color="auto" w:fill="auto"/>
                  <w:vAlign w:val="center"/>
                </w:tcPr>
                <w:p w14:paraId="0027FC9E">
                  <w:pPr>
                    <w:jc w:val="center"/>
                    <w:rPr>
                      <w:rFonts w:ascii="Times New Roman" w:hAnsi="Times New Roman"/>
                      <w:color w:val="auto"/>
                      <w:szCs w:val="21"/>
                    </w:rPr>
                  </w:pPr>
                  <w:r>
                    <w:rPr>
                      <w:rFonts w:hint="eastAsia" w:ascii="Times New Roman" w:hAnsi="Times New Roman"/>
                      <w:color w:val="auto"/>
                      <w:szCs w:val="21"/>
                    </w:rPr>
                    <w:t>本项目符合相关规划，符合国土空间规划；</w:t>
                  </w:r>
                  <w:r>
                    <w:rPr>
                      <w:rFonts w:ascii="Times New Roman" w:hAnsi="Times New Roman"/>
                      <w:color w:val="auto"/>
                      <w:szCs w:val="21"/>
                    </w:rPr>
                    <w:t>根据会泽县各局查询意见、项目选址踏勘及会泽县相关敏感区资料核对，项目占地类型为</w:t>
                  </w:r>
                  <w:r>
                    <w:rPr>
                      <w:rFonts w:hint="eastAsia" w:ascii="Times New Roman" w:hAnsi="Times New Roman"/>
                      <w:color w:val="auto"/>
                      <w:szCs w:val="21"/>
                    </w:rPr>
                    <w:t>林地、耕地、草地</w:t>
                  </w:r>
                  <w:r>
                    <w:rPr>
                      <w:rFonts w:ascii="Times New Roman" w:hAnsi="Times New Roman"/>
                      <w:color w:val="auto"/>
                      <w:szCs w:val="21"/>
                    </w:rPr>
                    <w:t>，项目选址不涉及国家公园、自然保护区、森林公园、风景名胜区、草原公园等各类自然保护地、天然林</w:t>
                  </w:r>
                  <w:r>
                    <w:rPr>
                      <w:rFonts w:hint="eastAsia" w:ascii="Times New Roman" w:hAnsi="Times New Roman"/>
                      <w:color w:val="auto"/>
                      <w:szCs w:val="21"/>
                    </w:rPr>
                    <w:t>，</w:t>
                  </w:r>
                  <w:r>
                    <w:rPr>
                      <w:rFonts w:hint="eastAsia"/>
                      <w:color w:val="auto"/>
                      <w:sz w:val="22"/>
                      <w:szCs w:val="21"/>
                    </w:rPr>
                    <w:t>线路不可避让占用基本农田</w:t>
                  </w:r>
                  <w:r>
                    <w:rPr>
                      <w:rFonts w:hint="eastAsia" w:ascii="Times New Roman" w:hAnsi="Times New Roman"/>
                      <w:color w:val="auto"/>
                      <w:szCs w:val="21"/>
                    </w:rPr>
                    <w:t>0.238hm</w:t>
                  </w:r>
                  <w:r>
                    <w:rPr>
                      <w:rFonts w:hint="eastAsia" w:ascii="Times New Roman" w:hAnsi="Times New Roman"/>
                      <w:color w:val="auto"/>
                      <w:szCs w:val="21"/>
                      <w:vertAlign w:val="superscript"/>
                    </w:rPr>
                    <w:t>2</w:t>
                  </w:r>
                  <w:r>
                    <w:rPr>
                      <w:rFonts w:ascii="Times New Roman" w:hAnsi="Times New Roman"/>
                      <w:color w:val="auto"/>
                      <w:szCs w:val="21"/>
                    </w:rPr>
                    <w:t>，</w:t>
                  </w:r>
                  <w:r>
                    <w:rPr>
                      <w:rFonts w:hint="eastAsia" w:ascii="Times New Roman" w:hAnsi="Times New Roman"/>
                      <w:color w:val="auto"/>
                      <w:szCs w:val="21"/>
                    </w:rPr>
                    <w:t>于2026年8月20日取得会泽县自然资源局关于六合一至乐业变220kV送出线路工程占用永久基本农田不可避让的情况说明，符合《永久基本农田保护红线管理办法》的要求；运营期无废气、废水产生</w:t>
                  </w:r>
                </w:p>
              </w:tc>
              <w:tc>
                <w:tcPr>
                  <w:tcW w:w="501" w:type="pct"/>
                  <w:tcBorders>
                    <w:tl2br w:val="nil"/>
                    <w:tr2bl w:val="nil"/>
                  </w:tcBorders>
                  <w:shd w:val="clear" w:color="auto" w:fill="auto"/>
                  <w:vAlign w:val="center"/>
                </w:tcPr>
                <w:p w14:paraId="1912F98A">
                  <w:pPr>
                    <w:jc w:val="center"/>
                    <w:rPr>
                      <w:rFonts w:ascii="Times New Roman" w:hAnsi="Times New Roman"/>
                      <w:color w:val="auto"/>
                      <w:szCs w:val="21"/>
                    </w:rPr>
                  </w:pPr>
                  <w:r>
                    <w:rPr>
                      <w:rFonts w:ascii="Times New Roman" w:hAnsi="Times New Roman"/>
                      <w:color w:val="auto"/>
                      <w:szCs w:val="21"/>
                    </w:rPr>
                    <w:t>符合</w:t>
                  </w:r>
                </w:p>
              </w:tc>
            </w:tr>
            <w:tr w14:paraId="7E01B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662DDEA3">
                  <w:pPr>
                    <w:jc w:val="center"/>
                    <w:rPr>
                      <w:rFonts w:ascii="Times New Roman" w:hAnsi="Times New Roman"/>
                      <w:color w:val="auto"/>
                      <w:szCs w:val="21"/>
                    </w:rPr>
                  </w:pPr>
                  <w:r>
                    <w:rPr>
                      <w:rFonts w:ascii="Times New Roman" w:hAnsi="Times New Roman"/>
                      <w:color w:val="auto"/>
                      <w:szCs w:val="21"/>
                    </w:rPr>
                    <w:t>“十四五”时期，相关规划项目开发建设对环境的主要影响有：火电建设运行可能产生烟尘、二氧化硫、氮氧化物、二氧化碳等大气污染物，对生态环境产生负面影响。油气管道建设及石油炼化项目，发生管道和设备破坏等事故将使油气大量外泄，对周围土壤、植被、水体等造成污染和损害，引发火灾、爆炸和</w:t>
                  </w:r>
                  <w:r>
                    <w:rPr>
                      <w:rFonts w:hint="eastAsia" w:ascii="Times New Roman" w:hAnsi="Times New Roman"/>
                      <w:color w:val="auto"/>
                      <w:szCs w:val="21"/>
                    </w:rPr>
                    <w:t>泄漏</w:t>
                  </w:r>
                  <w:r>
                    <w:rPr>
                      <w:rFonts w:ascii="Times New Roman" w:hAnsi="Times New Roman"/>
                      <w:color w:val="auto"/>
                      <w:szCs w:val="21"/>
                    </w:rPr>
                    <w:t>等环境风险。水电、新能源项目开发和送出工程，可能对环境敏感区产生影响，可能带来上下游水文泥沙情势变化，可能对水生生物及陆生生物造成一定影响。</w:t>
                  </w:r>
                </w:p>
              </w:tc>
              <w:tc>
                <w:tcPr>
                  <w:tcW w:w="1914" w:type="pct"/>
                  <w:tcBorders>
                    <w:tl2br w:val="nil"/>
                    <w:tr2bl w:val="nil"/>
                  </w:tcBorders>
                  <w:shd w:val="clear" w:color="auto" w:fill="auto"/>
                  <w:vAlign w:val="center"/>
                </w:tcPr>
                <w:p w14:paraId="08C2FD73">
                  <w:pPr>
                    <w:jc w:val="center"/>
                    <w:rPr>
                      <w:rFonts w:ascii="Times New Roman" w:hAnsi="Times New Roman"/>
                      <w:color w:val="auto"/>
                      <w:szCs w:val="21"/>
                    </w:rPr>
                  </w:pPr>
                  <w:r>
                    <w:rPr>
                      <w:rFonts w:hint="eastAsia" w:ascii="Times New Roman" w:hAnsi="Times New Roman"/>
                      <w:color w:val="auto"/>
                      <w:szCs w:val="21"/>
                    </w:rPr>
                    <w:t>项目不属于火电建设项目，属于输变电送出工程，对陆生生物影响有限，采取生态保护措施后影响可接受</w:t>
                  </w:r>
                </w:p>
              </w:tc>
              <w:tc>
                <w:tcPr>
                  <w:tcW w:w="501" w:type="pct"/>
                  <w:tcBorders>
                    <w:tl2br w:val="nil"/>
                    <w:tr2bl w:val="nil"/>
                  </w:tcBorders>
                  <w:shd w:val="clear" w:color="auto" w:fill="auto"/>
                  <w:vAlign w:val="center"/>
                </w:tcPr>
                <w:p w14:paraId="3B81CF7D">
                  <w:pPr>
                    <w:jc w:val="center"/>
                    <w:rPr>
                      <w:rFonts w:ascii="Times New Roman" w:hAnsi="Times New Roman"/>
                      <w:color w:val="auto"/>
                      <w:szCs w:val="21"/>
                    </w:rPr>
                  </w:pPr>
                  <w:r>
                    <w:rPr>
                      <w:rFonts w:ascii="Times New Roman" w:hAnsi="Times New Roman"/>
                      <w:color w:val="auto"/>
                      <w:szCs w:val="21"/>
                    </w:rPr>
                    <w:t>符合</w:t>
                  </w:r>
                </w:p>
              </w:tc>
            </w:tr>
            <w:tr w14:paraId="35D251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22BFEFB4">
                  <w:pPr>
                    <w:jc w:val="center"/>
                    <w:rPr>
                      <w:rFonts w:ascii="Times New Roman" w:hAnsi="Times New Roman"/>
                      <w:color w:val="auto"/>
                      <w:szCs w:val="21"/>
                    </w:rPr>
                  </w:pPr>
                  <w:r>
                    <w:rPr>
                      <w:rFonts w:ascii="Times New Roman" w:hAnsi="Times New Roman"/>
                      <w:color w:val="auto"/>
                      <w:szCs w:val="21"/>
                    </w:rPr>
                    <w:t>发挥规划的指导约束作用。发挥能源规划及规划环评的指导约束作用，合理规划项目布局，避让自然资源保护区、风景名胜区等各类资源保护地、集中居民区等环境敏感区，采取工程和生态保护措施，减少树木采伐，及时进行生态修复，降低生态影响。</w:t>
                  </w:r>
                </w:p>
              </w:tc>
              <w:tc>
                <w:tcPr>
                  <w:tcW w:w="1914" w:type="pct"/>
                  <w:tcBorders>
                    <w:tl2br w:val="nil"/>
                    <w:tr2bl w:val="nil"/>
                  </w:tcBorders>
                  <w:shd w:val="clear" w:color="auto" w:fill="auto"/>
                  <w:vAlign w:val="center"/>
                </w:tcPr>
                <w:p w14:paraId="385B9526">
                  <w:pPr>
                    <w:jc w:val="center"/>
                    <w:rPr>
                      <w:color w:val="auto"/>
                      <w:sz w:val="22"/>
                    </w:rPr>
                  </w:pPr>
                  <w:r>
                    <w:rPr>
                      <w:rFonts w:ascii="Times New Roman" w:hAnsi="Times New Roman"/>
                      <w:color w:val="auto"/>
                      <w:szCs w:val="21"/>
                    </w:rPr>
                    <w:t>根据会泽县各局查询意见、项目选址踏勘、生态调查及会泽县相关敏感区资料核对，项目选址区域不涉及自然保护区、风景名胜区等各类资源保护地、集中居民区等环境敏感区，</w:t>
                  </w:r>
                  <w:r>
                    <w:rPr>
                      <w:rFonts w:hint="eastAsia" w:ascii="Times New Roman" w:hAnsi="Times New Roman"/>
                      <w:color w:val="auto"/>
                      <w:szCs w:val="21"/>
                    </w:rPr>
                    <w:t>本次评价提出生态保护措施，施工结束后恢复植被，降低生态影响</w:t>
                  </w:r>
                </w:p>
              </w:tc>
              <w:tc>
                <w:tcPr>
                  <w:tcW w:w="501" w:type="pct"/>
                  <w:tcBorders>
                    <w:tl2br w:val="nil"/>
                    <w:tr2bl w:val="nil"/>
                  </w:tcBorders>
                  <w:shd w:val="clear" w:color="auto" w:fill="auto"/>
                  <w:vAlign w:val="center"/>
                </w:tcPr>
                <w:p w14:paraId="2C759498">
                  <w:pPr>
                    <w:jc w:val="center"/>
                    <w:rPr>
                      <w:rFonts w:ascii="Times New Roman" w:hAnsi="Times New Roman"/>
                      <w:color w:val="auto"/>
                      <w:szCs w:val="21"/>
                    </w:rPr>
                  </w:pPr>
                  <w:r>
                    <w:rPr>
                      <w:rFonts w:ascii="Times New Roman" w:hAnsi="Times New Roman"/>
                      <w:color w:val="auto"/>
                      <w:szCs w:val="21"/>
                    </w:rPr>
                    <w:t>符合</w:t>
                  </w:r>
                </w:p>
              </w:tc>
            </w:tr>
            <w:tr w14:paraId="660210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607F2485">
                  <w:pPr>
                    <w:jc w:val="center"/>
                    <w:rPr>
                      <w:rFonts w:ascii="Times New Roman" w:hAnsi="Times New Roman"/>
                      <w:color w:val="auto"/>
                      <w:szCs w:val="21"/>
                    </w:rPr>
                  </w:pPr>
                  <w:r>
                    <w:rPr>
                      <w:rFonts w:ascii="Times New Roman" w:hAnsi="Times New Roman"/>
                      <w:color w:val="auto"/>
                      <w:szCs w:val="21"/>
                    </w:rPr>
                    <w:t>（二）严格各类能源开发生产的过程控制。做好项目建设涉及的生物多样性保护工作，注意避让环境敏感区。加强施工准备、筹建和施工过程中的环境保护。提高电网运行安全稳定水平，降低电磁环境影响。制定矿区生态综合整治目标，严格控制施工占地。加强油气管网生产运营与环境保护。</w:t>
                  </w:r>
                </w:p>
              </w:tc>
              <w:tc>
                <w:tcPr>
                  <w:tcW w:w="1914" w:type="pct"/>
                  <w:tcBorders>
                    <w:tl2br w:val="nil"/>
                    <w:tr2bl w:val="nil"/>
                  </w:tcBorders>
                  <w:shd w:val="clear" w:color="auto" w:fill="auto"/>
                  <w:vAlign w:val="center"/>
                </w:tcPr>
                <w:p w14:paraId="08A8F1BD">
                  <w:pPr>
                    <w:jc w:val="center"/>
                    <w:rPr>
                      <w:color w:val="auto"/>
                      <w:sz w:val="22"/>
                      <w:szCs w:val="21"/>
                    </w:rPr>
                  </w:pPr>
                  <w:r>
                    <w:rPr>
                      <w:rFonts w:hint="eastAsia"/>
                      <w:color w:val="auto"/>
                      <w:sz w:val="22"/>
                      <w:szCs w:val="21"/>
                    </w:rPr>
                    <w:t>根据查询资料，项目已避让环境敏感区，受自然条件等因素限制，线路不可避让占用基本农田</w:t>
                  </w:r>
                  <w:r>
                    <w:rPr>
                      <w:rFonts w:hint="eastAsia" w:ascii="Times New Roman" w:hAnsi="Times New Roman"/>
                      <w:color w:val="auto"/>
                      <w:szCs w:val="21"/>
                    </w:rPr>
                    <w:t>0.238hm</w:t>
                  </w:r>
                  <w:r>
                    <w:rPr>
                      <w:rFonts w:hint="eastAsia" w:ascii="Times New Roman" w:hAnsi="Times New Roman"/>
                      <w:color w:val="auto"/>
                      <w:szCs w:val="21"/>
                      <w:vertAlign w:val="superscript"/>
                    </w:rPr>
                    <w:t>2</w:t>
                  </w:r>
                  <w:r>
                    <w:rPr>
                      <w:rFonts w:ascii="Times New Roman" w:hAnsi="Times New Roman"/>
                      <w:color w:val="auto"/>
                      <w:szCs w:val="21"/>
                    </w:rPr>
                    <w:t>，</w:t>
                  </w:r>
                  <w:r>
                    <w:rPr>
                      <w:rFonts w:hint="eastAsia" w:ascii="Times New Roman" w:hAnsi="Times New Roman"/>
                      <w:color w:val="auto"/>
                      <w:szCs w:val="21"/>
                    </w:rPr>
                    <w:t>于2026年8月20日取得会泽县自然资源局关于六合一至乐业变220kV送出线路工程占用永久基本农田不可避让的情况说明，符合《永久基本农田保护红线管理办法》的要求</w:t>
                  </w:r>
                </w:p>
              </w:tc>
              <w:tc>
                <w:tcPr>
                  <w:tcW w:w="501" w:type="pct"/>
                  <w:tcBorders>
                    <w:tl2br w:val="nil"/>
                    <w:tr2bl w:val="nil"/>
                  </w:tcBorders>
                  <w:shd w:val="clear" w:color="auto" w:fill="auto"/>
                  <w:vAlign w:val="center"/>
                </w:tcPr>
                <w:p w14:paraId="544E96F5">
                  <w:pPr>
                    <w:jc w:val="center"/>
                    <w:rPr>
                      <w:rFonts w:ascii="Times New Roman" w:hAnsi="Times New Roman"/>
                      <w:color w:val="auto"/>
                      <w:szCs w:val="21"/>
                    </w:rPr>
                  </w:pPr>
                  <w:r>
                    <w:rPr>
                      <w:rFonts w:hint="eastAsia" w:ascii="Times New Roman" w:hAnsi="Times New Roman"/>
                      <w:color w:val="auto"/>
                      <w:szCs w:val="21"/>
                    </w:rPr>
                    <w:t>符合</w:t>
                  </w:r>
                </w:p>
              </w:tc>
            </w:tr>
            <w:tr w14:paraId="6F5414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jc w:val="center"/>
              </w:trPr>
              <w:tc>
                <w:tcPr>
                  <w:tcW w:w="2584" w:type="pct"/>
                  <w:tcBorders>
                    <w:tl2br w:val="nil"/>
                    <w:tr2bl w:val="nil"/>
                  </w:tcBorders>
                  <w:shd w:val="clear" w:color="auto" w:fill="auto"/>
                  <w:vAlign w:val="center"/>
                </w:tcPr>
                <w:p w14:paraId="784B02C6">
                  <w:pPr>
                    <w:jc w:val="center"/>
                    <w:rPr>
                      <w:rFonts w:ascii="Times New Roman" w:hAnsi="Times New Roman"/>
                      <w:color w:val="auto"/>
                      <w:szCs w:val="21"/>
                    </w:rPr>
                  </w:pPr>
                  <w:r>
                    <w:rPr>
                      <w:rFonts w:ascii="Times New Roman" w:hAnsi="Times New Roman"/>
                      <w:color w:val="auto"/>
                      <w:szCs w:val="21"/>
                    </w:rPr>
                    <w:t>（四）加强能源发展的环境管理。建立覆盖全社会的能源环境监管体制，明确各部门监管职责，完善监管标准、监管规则和监管程序，形成规范有序、公开透明的监管体系。开展项目环境保护工作阶段性检查和验收工作，适时开展环境影响回顾性评价和后评价，注重主要环境影响复核和环境保护措施效果分析，及时调整补充相应环保措施。</w:t>
                  </w:r>
                </w:p>
              </w:tc>
              <w:tc>
                <w:tcPr>
                  <w:tcW w:w="1914" w:type="pct"/>
                  <w:tcBorders>
                    <w:tl2br w:val="nil"/>
                    <w:tr2bl w:val="nil"/>
                  </w:tcBorders>
                  <w:shd w:val="clear" w:color="auto" w:fill="auto"/>
                  <w:vAlign w:val="center"/>
                </w:tcPr>
                <w:p w14:paraId="70B66D9F">
                  <w:pPr>
                    <w:jc w:val="center"/>
                    <w:rPr>
                      <w:color w:val="auto"/>
                      <w:sz w:val="22"/>
                      <w:szCs w:val="21"/>
                    </w:rPr>
                  </w:pPr>
                  <w:r>
                    <w:rPr>
                      <w:rFonts w:hint="eastAsia"/>
                      <w:color w:val="auto"/>
                      <w:sz w:val="22"/>
                      <w:szCs w:val="21"/>
                    </w:rPr>
                    <w:t>本项目按照要求开展环境影响评价工作，按相关法律法规要求开展验收工作，确保环境保护措施效果落实</w:t>
                  </w:r>
                </w:p>
              </w:tc>
              <w:tc>
                <w:tcPr>
                  <w:tcW w:w="501" w:type="pct"/>
                  <w:tcBorders>
                    <w:tl2br w:val="nil"/>
                    <w:tr2bl w:val="nil"/>
                  </w:tcBorders>
                  <w:shd w:val="clear" w:color="auto" w:fill="auto"/>
                  <w:vAlign w:val="center"/>
                </w:tcPr>
                <w:p w14:paraId="21986B2B">
                  <w:pPr>
                    <w:jc w:val="center"/>
                    <w:rPr>
                      <w:rFonts w:ascii="Times New Roman" w:hAnsi="Times New Roman"/>
                      <w:color w:val="auto"/>
                      <w:szCs w:val="21"/>
                    </w:rPr>
                  </w:pPr>
                </w:p>
              </w:tc>
            </w:tr>
          </w:tbl>
          <w:p w14:paraId="07A6684E">
            <w:pPr>
              <w:adjustRightInd w:val="0"/>
              <w:snapToGrid w:val="0"/>
              <w:spacing w:line="440" w:lineRule="exact"/>
              <w:ind w:firstLine="480" w:firstLineChars="200"/>
              <w:rPr>
                <w:color w:val="auto"/>
              </w:rPr>
            </w:pPr>
            <w:r>
              <w:rPr>
                <w:rFonts w:ascii="Times New Roman" w:hAnsi="Times New Roman"/>
                <w:color w:val="auto"/>
                <w:sz w:val="24"/>
                <w:szCs w:val="24"/>
              </w:rPr>
              <w:t>综上，项目建设</w:t>
            </w:r>
            <w:r>
              <w:rPr>
                <w:rFonts w:hint="eastAsia" w:ascii="Times New Roman" w:hAnsi="Times New Roman"/>
                <w:color w:val="auto"/>
                <w:sz w:val="24"/>
                <w:szCs w:val="24"/>
              </w:rPr>
              <w:t>符合</w:t>
            </w:r>
            <w:r>
              <w:rPr>
                <w:rFonts w:ascii="Times New Roman" w:hAnsi="Times New Roman"/>
                <w:color w:val="auto"/>
                <w:sz w:val="24"/>
                <w:szCs w:val="24"/>
              </w:rPr>
              <w:t>《曲靖市绿色能源发展“十四五”规划》环境影响篇章相关要求。</w:t>
            </w:r>
          </w:p>
        </w:tc>
      </w:tr>
      <w:tr w14:paraId="558E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Borders>
              <w:tl2br w:val="nil"/>
              <w:tr2bl w:val="nil"/>
            </w:tcBorders>
            <w:shd w:val="clear" w:color="auto" w:fill="auto"/>
            <w:vAlign w:val="center"/>
          </w:tcPr>
          <w:p w14:paraId="083A8471">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其他符合性分析</w:t>
            </w:r>
          </w:p>
        </w:tc>
        <w:tc>
          <w:tcPr>
            <w:tcW w:w="4025" w:type="pct"/>
            <w:gridSpan w:val="3"/>
            <w:tcBorders>
              <w:tl2br w:val="nil"/>
              <w:tr2bl w:val="nil"/>
            </w:tcBorders>
            <w:shd w:val="clear" w:color="auto" w:fill="auto"/>
          </w:tcPr>
          <w:p w14:paraId="47F79F11">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1、产业政策相符性分析</w:t>
            </w:r>
          </w:p>
          <w:p w14:paraId="019E3BF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属于输变电工程建设项目。根据《产业结构调整指导目录（2024年本）》，电力行业中“电网改造与建设，增量配电网建设”是该目录中鼓励发展的项目，本项目属于电力行业中“电网改造与建设，增量配电网建设”项目。</w:t>
            </w:r>
          </w:p>
          <w:p w14:paraId="2E6F8F68">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因此，本项目建设符合国家相关产业政策的要求。</w:t>
            </w:r>
          </w:p>
          <w:p w14:paraId="08DD5B5B">
            <w:pPr>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2</w:t>
            </w:r>
            <w:r>
              <w:rPr>
                <w:rFonts w:ascii="Times New Roman" w:hAnsi="Times New Roman"/>
                <w:b/>
                <w:color w:val="auto"/>
                <w:sz w:val="24"/>
                <w:szCs w:val="24"/>
              </w:rPr>
              <w:t>、与电网规划的符合性分析</w:t>
            </w:r>
          </w:p>
          <w:p w14:paraId="2F06777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本工程建设主要为满足</w:t>
            </w:r>
            <w:r>
              <w:rPr>
                <w:rFonts w:hint="eastAsia" w:ascii="Times New Roman" w:hAnsi="Times New Roman"/>
                <w:color w:val="auto"/>
                <w:sz w:val="24"/>
                <w:szCs w:val="24"/>
              </w:rPr>
              <w:t>六合一</w:t>
            </w:r>
            <w:r>
              <w:rPr>
                <w:rFonts w:ascii="Times New Roman" w:hAnsi="Times New Roman"/>
                <w:color w:val="auto"/>
                <w:sz w:val="24"/>
                <w:szCs w:val="24"/>
              </w:rPr>
              <w:t>光伏项目新能源的装机电力送出和消纳。</w:t>
            </w:r>
            <w:r>
              <w:rPr>
                <w:rFonts w:hint="eastAsia" w:ascii="Times New Roman" w:hAnsi="Times New Roman"/>
                <w:color w:val="auto"/>
                <w:sz w:val="24"/>
                <w:szCs w:val="24"/>
              </w:rPr>
              <w:t>项目已纳入《云南省能源局关于印发云南省2022年新能源建设方案的通知》（云能源水电〔2022〕176号），属于云南省2022年新能源项目建设清单中“三、曲靖市</w:t>
            </w:r>
            <w:r>
              <w:rPr>
                <w:rFonts w:hint="eastAsia" w:ascii="Times New Roman" w:hAnsi="Times New Roman"/>
                <w:color w:val="auto"/>
                <w:kern w:val="0"/>
                <w:sz w:val="24"/>
              </w:rPr>
              <w:t>10乐业镇六合村委会六合村二期光伏项目（复合型光伏发电项目）、11乐业镇六合村一期光伏项目（复合型光伏发电项目）</w:t>
            </w:r>
            <w:r>
              <w:rPr>
                <w:rFonts w:hint="eastAsia" w:ascii="Times New Roman" w:hAnsi="Times New Roman"/>
                <w:color w:val="auto"/>
                <w:sz w:val="24"/>
                <w:szCs w:val="24"/>
              </w:rPr>
              <w:t>”，</w:t>
            </w:r>
            <w:r>
              <w:rPr>
                <w:rFonts w:ascii="Times New Roman" w:hAnsi="Times New Roman"/>
                <w:color w:val="auto"/>
                <w:sz w:val="24"/>
                <w:szCs w:val="24"/>
              </w:rPr>
              <w:t>项目的建设有利于缓</w:t>
            </w:r>
            <w:r>
              <w:rPr>
                <w:rFonts w:hint="eastAsia" w:ascii="Times New Roman" w:hAnsi="Times New Roman"/>
                <w:color w:val="auto"/>
                <w:sz w:val="24"/>
                <w:szCs w:val="24"/>
              </w:rPr>
              <w:t>解曲靖市、会泽县电力供需矛盾，提高云南省电力保障能力，改善全省以水电为主的能源结构。</w:t>
            </w:r>
          </w:p>
          <w:p w14:paraId="26227B78">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同时，2026年7月7日取得云南电网有限责任公司电网规划建设研究中心文件《关于报送曲靖市会泽县大草房光伏发电项目、乐业镇六合村一期光伏项目（复合型光伏发电项目）接入系统方案复核评审意见的函》（规划建设研究〔2026〕287号），同意接入电网系统；2026年7月30日，取得了《云南电网有限责任公司关于曲靖市会泽县大草房光伏及乐业镇六合村一期光伏项目（复合型光伏发电项目）接入系统调整方案的意见》（云电规划〔2026〕387号），因此，</w:t>
            </w:r>
            <w:r>
              <w:rPr>
                <w:rFonts w:ascii="Times New Roman" w:hAnsi="Times New Roman"/>
                <w:color w:val="auto"/>
                <w:sz w:val="24"/>
                <w:szCs w:val="24"/>
              </w:rPr>
              <w:t>本项目建设符合电网规划。</w:t>
            </w:r>
          </w:p>
          <w:p w14:paraId="13E77B42">
            <w:pPr>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3、</w:t>
            </w:r>
            <w:r>
              <w:rPr>
                <w:rFonts w:ascii="Times New Roman" w:hAnsi="Times New Roman"/>
                <w:b/>
                <w:color w:val="auto"/>
                <w:sz w:val="24"/>
                <w:szCs w:val="24"/>
              </w:rPr>
              <w:t>与《曲靖市生态环境分区管控动态更新方案（2023年）》相符性分析</w:t>
            </w:r>
          </w:p>
          <w:p w14:paraId="327047D7">
            <w:pPr>
              <w:autoSpaceDE w:val="0"/>
              <w:autoSpaceDN w:val="0"/>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rPr>
              <w:t>根据</w:t>
            </w:r>
            <w:r>
              <w:rPr>
                <w:rFonts w:ascii="Times New Roman" w:hAnsi="Times New Roman"/>
                <w:color w:val="auto"/>
                <w:sz w:val="24"/>
                <w:szCs w:val="24"/>
                <w:lang w:val="zh-CN"/>
              </w:rPr>
              <w:t>曲靖市生态环境局关于印发《曲靖市生态环境分区管控动态更新方案（2023年）》的通知</w:t>
            </w:r>
            <w:r>
              <w:rPr>
                <w:rFonts w:ascii="Times New Roman" w:hAnsi="Times New Roman"/>
                <w:color w:val="auto"/>
                <w:sz w:val="24"/>
              </w:rPr>
              <w:t>（</w:t>
            </w:r>
            <w:r>
              <w:rPr>
                <w:rFonts w:ascii="Times New Roman" w:hAnsi="Times New Roman"/>
                <w:color w:val="auto"/>
                <w:sz w:val="24"/>
                <w:szCs w:val="24"/>
                <w:lang w:val="zh-CN"/>
              </w:rPr>
              <w:t>曲环通〔2024〕36号</w:t>
            </w:r>
            <w:r>
              <w:rPr>
                <w:rFonts w:ascii="Times New Roman" w:hAnsi="Times New Roman"/>
                <w:color w:val="auto"/>
                <w:sz w:val="24"/>
                <w:szCs w:val="24"/>
              </w:rPr>
              <w:t>）</w:t>
            </w:r>
            <w:r>
              <w:rPr>
                <w:rFonts w:ascii="Times New Roman" w:hAnsi="Times New Roman"/>
                <w:color w:val="auto"/>
                <w:sz w:val="24"/>
              </w:rPr>
              <w:t>：</w:t>
            </w:r>
            <w:r>
              <w:rPr>
                <w:rFonts w:ascii="Times New Roman" w:hAnsi="Times New Roman"/>
                <w:color w:val="auto"/>
                <w:sz w:val="24"/>
                <w:szCs w:val="24"/>
                <w:lang w:val="zh-CN"/>
              </w:rPr>
              <w:t>全市共划定91个环境管控单元。其中，优先保护单元27个，重点管控单元55个，一般管控单元9个。</w:t>
            </w:r>
          </w:p>
          <w:p w14:paraId="1880CF6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szCs w:val="24"/>
                <w:lang w:val="zh-CN"/>
              </w:rPr>
              <w:t>本项目位于</w:t>
            </w:r>
            <w:r>
              <w:rPr>
                <w:rFonts w:ascii="Times New Roman" w:hAnsi="Times New Roman"/>
                <w:color w:val="auto"/>
                <w:sz w:val="24"/>
                <w:szCs w:val="24"/>
              </w:rPr>
              <w:t>曲靖市</w:t>
            </w:r>
            <w:r>
              <w:rPr>
                <w:rFonts w:hint="eastAsia" w:ascii="Times New Roman" w:hAnsi="Times New Roman"/>
                <w:color w:val="auto"/>
                <w:sz w:val="24"/>
                <w:szCs w:val="24"/>
              </w:rPr>
              <w:t>会泽县乐业镇境内</w:t>
            </w:r>
            <w:r>
              <w:rPr>
                <w:rFonts w:ascii="Times New Roman" w:hAnsi="Times New Roman"/>
                <w:color w:val="auto"/>
                <w:sz w:val="24"/>
                <w:szCs w:val="24"/>
                <w:lang w:val="zh-CN"/>
              </w:rPr>
              <w:t>，根据云南省生态环境分区管控公共服务查询平台（http://183.224.17.39:19272/sxydyn）查询，</w:t>
            </w:r>
            <w:r>
              <w:rPr>
                <w:rFonts w:ascii="Times New Roman" w:hAnsi="Times New Roman"/>
                <w:color w:val="auto"/>
                <w:sz w:val="24"/>
              </w:rPr>
              <w:t>本项目涉及</w:t>
            </w:r>
            <w:r>
              <w:rPr>
                <w:rFonts w:hint="eastAsia" w:ascii="Times New Roman" w:hAnsi="Times New Roman"/>
                <w:color w:val="auto"/>
                <w:sz w:val="24"/>
              </w:rPr>
              <w:t>会泽县</w:t>
            </w:r>
            <w:r>
              <w:rPr>
                <w:rFonts w:ascii="Times New Roman" w:hAnsi="Times New Roman"/>
                <w:color w:val="auto"/>
                <w:sz w:val="24"/>
              </w:rPr>
              <w:t>一般生态空间优先保护单元</w:t>
            </w:r>
            <w:r>
              <w:rPr>
                <w:rFonts w:hint="eastAsia" w:ascii="Times New Roman" w:hAnsi="Times New Roman"/>
                <w:color w:val="auto"/>
                <w:sz w:val="24"/>
              </w:rPr>
              <w:t>（ZH53032610002）</w:t>
            </w:r>
            <w:r>
              <w:rPr>
                <w:rFonts w:ascii="Times New Roman" w:hAnsi="Times New Roman"/>
                <w:color w:val="auto"/>
                <w:sz w:val="24"/>
              </w:rPr>
              <w:t>和</w:t>
            </w:r>
            <w:r>
              <w:rPr>
                <w:rFonts w:hint="eastAsia" w:ascii="Times New Roman" w:hAnsi="Times New Roman"/>
                <w:color w:val="auto"/>
                <w:sz w:val="24"/>
              </w:rPr>
              <w:t>会泽县</w:t>
            </w:r>
            <w:r>
              <w:rPr>
                <w:rFonts w:ascii="Times New Roman" w:hAnsi="Times New Roman"/>
                <w:color w:val="auto"/>
                <w:sz w:val="24"/>
              </w:rPr>
              <w:t>一般管控单元</w:t>
            </w:r>
            <w:r>
              <w:rPr>
                <w:rFonts w:hint="eastAsia" w:ascii="Times New Roman" w:hAnsi="Times New Roman"/>
                <w:color w:val="auto"/>
                <w:sz w:val="24"/>
              </w:rPr>
              <w:t>（ZH53032630001）；</w:t>
            </w:r>
            <w:r>
              <w:rPr>
                <w:rFonts w:ascii="Times New Roman" w:hAnsi="Times New Roman"/>
                <w:color w:val="auto"/>
                <w:sz w:val="24"/>
              </w:rPr>
              <w:t>本项目</w:t>
            </w:r>
            <w:r>
              <w:rPr>
                <w:rFonts w:hint="eastAsia" w:ascii="Times New Roman" w:hAnsi="Times New Roman"/>
                <w:color w:val="auto"/>
                <w:sz w:val="24"/>
              </w:rPr>
              <w:t>300米范围内</w:t>
            </w:r>
            <w:r>
              <w:rPr>
                <w:rFonts w:ascii="Times New Roman" w:hAnsi="Times New Roman"/>
                <w:color w:val="auto"/>
                <w:sz w:val="24"/>
              </w:rPr>
              <w:t>涉及会泽县乡镇生活污染重点管控单元</w:t>
            </w:r>
            <w:r>
              <w:rPr>
                <w:rFonts w:hint="eastAsia" w:ascii="Times New Roman" w:hAnsi="Times New Roman"/>
                <w:color w:val="auto"/>
                <w:sz w:val="24"/>
              </w:rPr>
              <w:t>（ZH53032620006）</w:t>
            </w:r>
            <w:r>
              <w:rPr>
                <w:rFonts w:ascii="Times New Roman" w:hAnsi="Times New Roman"/>
                <w:color w:val="auto"/>
                <w:sz w:val="24"/>
              </w:rPr>
              <w:t>、</w:t>
            </w:r>
            <w:r>
              <w:rPr>
                <w:rFonts w:hint="eastAsia" w:ascii="Times New Roman" w:hAnsi="Times New Roman"/>
                <w:color w:val="auto"/>
                <w:sz w:val="24"/>
              </w:rPr>
              <w:t>会泽县</w:t>
            </w:r>
            <w:r>
              <w:rPr>
                <w:rFonts w:ascii="Times New Roman" w:hAnsi="Times New Roman"/>
                <w:color w:val="auto"/>
                <w:sz w:val="24"/>
              </w:rPr>
              <w:t>一般生态空间优先保护单元</w:t>
            </w:r>
            <w:r>
              <w:rPr>
                <w:rFonts w:hint="eastAsia" w:ascii="Times New Roman" w:hAnsi="Times New Roman"/>
                <w:color w:val="auto"/>
                <w:sz w:val="24"/>
              </w:rPr>
              <w:t>（ZH53032610002）</w:t>
            </w:r>
            <w:r>
              <w:rPr>
                <w:rFonts w:ascii="Times New Roman" w:hAnsi="Times New Roman"/>
                <w:color w:val="auto"/>
                <w:sz w:val="24"/>
              </w:rPr>
              <w:t>和</w:t>
            </w:r>
            <w:r>
              <w:rPr>
                <w:rFonts w:hint="eastAsia" w:ascii="Times New Roman" w:hAnsi="Times New Roman"/>
                <w:color w:val="auto"/>
                <w:sz w:val="24"/>
              </w:rPr>
              <w:t>会泽县</w:t>
            </w:r>
            <w:r>
              <w:rPr>
                <w:rFonts w:ascii="Times New Roman" w:hAnsi="Times New Roman"/>
                <w:color w:val="auto"/>
                <w:sz w:val="24"/>
              </w:rPr>
              <w:t>一般管控单元</w:t>
            </w:r>
            <w:r>
              <w:rPr>
                <w:rFonts w:hint="eastAsia" w:ascii="Times New Roman" w:hAnsi="Times New Roman"/>
                <w:color w:val="auto"/>
                <w:sz w:val="24"/>
              </w:rPr>
              <w:t>（ZH53032630001）。</w:t>
            </w:r>
          </w:p>
          <w:p w14:paraId="20A228EE">
            <w:pPr>
              <w:rPr>
                <w:rFonts w:ascii="Times New Roman" w:hAnsi="Times New Roman"/>
                <w:color w:val="auto"/>
                <w:sz w:val="24"/>
              </w:rPr>
            </w:pPr>
          </w:p>
          <w:p w14:paraId="0809079F">
            <w:pPr>
              <w:rPr>
                <w:rFonts w:ascii="Times New Roman" w:hAnsi="Times New Roman"/>
                <w:color w:val="auto"/>
                <w:sz w:val="24"/>
              </w:rPr>
            </w:pPr>
          </w:p>
          <w:p w14:paraId="5D760FBA">
            <w:pPr>
              <w:pStyle w:val="2"/>
              <w:rPr>
                <w:color w:val="auto"/>
                <w:sz w:val="24"/>
              </w:rPr>
            </w:pPr>
          </w:p>
          <w:p w14:paraId="1546342B">
            <w:pPr>
              <w:pStyle w:val="2"/>
              <w:rPr>
                <w:color w:val="auto"/>
                <w:sz w:val="24"/>
              </w:rPr>
            </w:pPr>
          </w:p>
          <w:p w14:paraId="414C0C78">
            <w:pPr>
              <w:rPr>
                <w:rFonts w:ascii="Times New Roman" w:hAnsi="Times New Roman"/>
                <w:color w:val="auto"/>
                <w:sz w:val="24"/>
              </w:rPr>
            </w:pPr>
          </w:p>
          <w:p w14:paraId="1D872FF0">
            <w:pPr>
              <w:rPr>
                <w:rFonts w:ascii="Times New Roman" w:hAnsi="Times New Roman"/>
                <w:color w:val="auto"/>
                <w:sz w:val="24"/>
              </w:rPr>
            </w:pPr>
          </w:p>
          <w:p w14:paraId="6646C395">
            <w:pPr>
              <w:pStyle w:val="2"/>
              <w:rPr>
                <w:color w:val="auto"/>
              </w:rPr>
            </w:pPr>
          </w:p>
          <w:p w14:paraId="43CA0A37">
            <w:pPr>
              <w:pStyle w:val="2"/>
              <w:adjustRightInd w:val="0"/>
              <w:snapToGrid w:val="0"/>
              <w:spacing w:after="0"/>
              <w:jc w:val="center"/>
              <w:rPr>
                <w:color w:val="auto"/>
                <w:sz w:val="24"/>
              </w:rPr>
            </w:pPr>
            <w:r>
              <w:rPr>
                <w:color w:val="auto"/>
                <w:sz w:val="24"/>
              </w:rPr>
              <w:drawing>
                <wp:inline distT="0" distB="0" distL="114300" distR="114300">
                  <wp:extent cx="4486275" cy="5991225"/>
                  <wp:effectExtent l="0" t="0" r="9525" b="9525"/>
                  <wp:docPr id="80" name="图片 3" descr="管控单元截图2026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descr="管控单元截图20260814"/>
                          <pic:cNvPicPr>
                            <a:picLocks noChangeAspect="1"/>
                          </pic:cNvPicPr>
                        </pic:nvPicPr>
                        <pic:blipFill>
                          <a:blip r:embed="rId16"/>
                          <a:stretch>
                            <a:fillRect/>
                          </a:stretch>
                        </pic:blipFill>
                        <pic:spPr>
                          <a:xfrm>
                            <a:off x="0" y="0"/>
                            <a:ext cx="4486275" cy="5991225"/>
                          </a:xfrm>
                          <a:prstGeom prst="rect">
                            <a:avLst/>
                          </a:prstGeom>
                          <a:noFill/>
                          <a:ln>
                            <a:noFill/>
                          </a:ln>
                        </pic:spPr>
                      </pic:pic>
                    </a:graphicData>
                  </a:graphic>
                </wp:inline>
              </w:drawing>
            </w:r>
          </w:p>
          <w:p w14:paraId="38F6A6B7">
            <w:pPr>
              <w:autoSpaceDE w:val="0"/>
              <w:autoSpaceDN w:val="0"/>
              <w:adjustRightInd w:val="0"/>
              <w:snapToGrid w:val="0"/>
              <w:ind w:firstLine="482" w:firstLineChars="200"/>
              <w:jc w:val="center"/>
              <w:rPr>
                <w:rFonts w:ascii="Times New Roman" w:hAnsi="Times New Roman"/>
                <w:b/>
                <w:bCs/>
                <w:color w:val="auto"/>
                <w:sz w:val="24"/>
              </w:rPr>
            </w:pPr>
            <w:r>
              <w:rPr>
                <w:rFonts w:ascii="Times New Roman" w:hAnsi="Times New Roman"/>
                <w:b/>
                <w:bCs/>
                <w:color w:val="auto"/>
                <w:sz w:val="24"/>
              </w:rPr>
              <w:t>图1-</w:t>
            </w:r>
            <w:r>
              <w:rPr>
                <w:rFonts w:hint="eastAsia" w:ascii="Times New Roman" w:hAnsi="Times New Roman"/>
                <w:b/>
                <w:bCs/>
                <w:color w:val="auto"/>
                <w:sz w:val="24"/>
              </w:rPr>
              <w:t>3</w:t>
            </w:r>
            <w:r>
              <w:rPr>
                <w:rFonts w:ascii="Times New Roman" w:hAnsi="Times New Roman"/>
                <w:b/>
                <w:bCs/>
                <w:color w:val="auto"/>
                <w:sz w:val="24"/>
              </w:rPr>
              <w:t xml:space="preserve">  项目涉及的管控单元位置图</w:t>
            </w:r>
          </w:p>
          <w:p w14:paraId="69667FF0">
            <w:pPr>
              <w:rPr>
                <w:rFonts w:ascii="Times New Roman" w:hAnsi="Times New Roman"/>
                <w:color w:val="auto"/>
                <w:sz w:val="24"/>
              </w:rPr>
            </w:pPr>
          </w:p>
          <w:p w14:paraId="1C4702A4">
            <w:pPr>
              <w:pStyle w:val="2"/>
              <w:rPr>
                <w:color w:val="auto"/>
                <w:sz w:val="24"/>
              </w:rPr>
            </w:pPr>
          </w:p>
          <w:p w14:paraId="6B3D08FE">
            <w:pPr>
              <w:rPr>
                <w:rFonts w:ascii="Times New Roman" w:hAnsi="Times New Roman"/>
                <w:color w:val="auto"/>
                <w:sz w:val="24"/>
              </w:rPr>
            </w:pPr>
          </w:p>
          <w:p w14:paraId="1F8EFA0D">
            <w:pPr>
              <w:rPr>
                <w:rFonts w:ascii="Times New Roman" w:hAnsi="Times New Roman"/>
                <w:color w:val="auto"/>
                <w:sz w:val="24"/>
              </w:rPr>
            </w:pPr>
          </w:p>
          <w:p w14:paraId="4B1B8F47">
            <w:pPr>
              <w:rPr>
                <w:rFonts w:ascii="Times New Roman" w:hAnsi="Times New Roman"/>
                <w:color w:val="auto"/>
                <w:sz w:val="24"/>
              </w:rPr>
            </w:pPr>
          </w:p>
          <w:p w14:paraId="7B54665D">
            <w:pPr>
              <w:rPr>
                <w:rFonts w:ascii="Times New Roman" w:hAnsi="Times New Roman"/>
                <w:color w:val="auto"/>
                <w:sz w:val="24"/>
              </w:rPr>
            </w:pPr>
          </w:p>
          <w:p w14:paraId="6FE7FA3D">
            <w:pPr>
              <w:rPr>
                <w:rFonts w:ascii="Times New Roman" w:hAnsi="Times New Roman"/>
                <w:color w:val="auto"/>
                <w:sz w:val="24"/>
              </w:rPr>
            </w:pPr>
          </w:p>
          <w:p w14:paraId="3177EB20">
            <w:pPr>
              <w:rPr>
                <w:rFonts w:ascii="Times New Roman" w:hAnsi="Times New Roman"/>
                <w:color w:val="auto"/>
                <w:sz w:val="24"/>
              </w:rPr>
            </w:pPr>
          </w:p>
          <w:p w14:paraId="6083F2EE">
            <w:pPr>
              <w:rPr>
                <w:rFonts w:ascii="Times New Roman" w:hAnsi="Times New Roman"/>
                <w:color w:val="auto"/>
                <w:sz w:val="24"/>
              </w:rPr>
            </w:pPr>
          </w:p>
          <w:p w14:paraId="410B792A">
            <w:pPr>
              <w:rPr>
                <w:rFonts w:ascii="Times New Roman" w:hAnsi="Times New Roman"/>
                <w:color w:val="auto"/>
                <w:sz w:val="24"/>
              </w:rPr>
            </w:pPr>
          </w:p>
          <w:p w14:paraId="70341EE4">
            <w:pPr>
              <w:pStyle w:val="2"/>
              <w:rPr>
                <w:color w:val="auto"/>
              </w:rPr>
            </w:pPr>
          </w:p>
          <w:p w14:paraId="1A91FA7B">
            <w:pPr>
              <w:pStyle w:val="2"/>
              <w:adjustRightInd w:val="0"/>
              <w:snapToGrid w:val="0"/>
              <w:spacing w:after="0"/>
              <w:jc w:val="center"/>
              <w:rPr>
                <w:color w:val="auto"/>
                <w:sz w:val="24"/>
              </w:rPr>
            </w:pPr>
            <w:r>
              <w:rPr>
                <w:color w:val="auto"/>
                <w:sz w:val="24"/>
              </w:rPr>
              <w:drawing>
                <wp:inline distT="0" distB="0" distL="114300" distR="114300">
                  <wp:extent cx="4495800" cy="5943600"/>
                  <wp:effectExtent l="0" t="0" r="0" b="0"/>
                  <wp:docPr id="81" name="图片 4" descr="管控单元截图202608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descr="管控单元截图20260814(1)"/>
                          <pic:cNvPicPr>
                            <a:picLocks noChangeAspect="1"/>
                          </pic:cNvPicPr>
                        </pic:nvPicPr>
                        <pic:blipFill>
                          <a:blip r:embed="rId17"/>
                          <a:stretch>
                            <a:fillRect/>
                          </a:stretch>
                        </pic:blipFill>
                        <pic:spPr>
                          <a:xfrm>
                            <a:off x="0" y="0"/>
                            <a:ext cx="4495800" cy="5943600"/>
                          </a:xfrm>
                          <a:prstGeom prst="rect">
                            <a:avLst/>
                          </a:prstGeom>
                          <a:noFill/>
                          <a:ln>
                            <a:noFill/>
                          </a:ln>
                        </pic:spPr>
                      </pic:pic>
                    </a:graphicData>
                  </a:graphic>
                </wp:inline>
              </w:drawing>
            </w:r>
          </w:p>
          <w:p w14:paraId="6D42F8A7">
            <w:pPr>
              <w:autoSpaceDE w:val="0"/>
              <w:autoSpaceDN w:val="0"/>
              <w:adjustRightInd w:val="0"/>
              <w:snapToGrid w:val="0"/>
              <w:ind w:firstLine="482" w:firstLineChars="200"/>
              <w:jc w:val="center"/>
              <w:rPr>
                <w:rFonts w:ascii="Times New Roman" w:hAnsi="Times New Roman"/>
                <w:b/>
                <w:bCs/>
                <w:color w:val="auto"/>
                <w:sz w:val="24"/>
              </w:rPr>
            </w:pPr>
            <w:r>
              <w:rPr>
                <w:rFonts w:ascii="Times New Roman" w:hAnsi="Times New Roman"/>
                <w:b/>
                <w:bCs/>
                <w:color w:val="auto"/>
                <w:sz w:val="24"/>
              </w:rPr>
              <w:t>图1-</w:t>
            </w:r>
            <w:r>
              <w:rPr>
                <w:rFonts w:hint="eastAsia" w:ascii="Times New Roman" w:hAnsi="Times New Roman"/>
                <w:b/>
                <w:bCs/>
                <w:color w:val="auto"/>
                <w:sz w:val="24"/>
              </w:rPr>
              <w:t>4</w:t>
            </w:r>
            <w:r>
              <w:rPr>
                <w:rFonts w:ascii="Times New Roman" w:hAnsi="Times New Roman"/>
                <w:b/>
                <w:bCs/>
                <w:color w:val="auto"/>
                <w:sz w:val="24"/>
              </w:rPr>
              <w:t xml:space="preserve">  项目</w:t>
            </w:r>
            <w:r>
              <w:rPr>
                <w:rFonts w:hint="eastAsia" w:ascii="Times New Roman" w:hAnsi="Times New Roman"/>
                <w:b/>
                <w:bCs/>
                <w:color w:val="auto"/>
                <w:sz w:val="24"/>
              </w:rPr>
              <w:t>300米范围</w:t>
            </w:r>
            <w:r>
              <w:rPr>
                <w:rFonts w:ascii="Times New Roman" w:hAnsi="Times New Roman"/>
                <w:b/>
                <w:bCs/>
                <w:color w:val="auto"/>
                <w:sz w:val="24"/>
              </w:rPr>
              <w:t>涉及的管控单元位置图</w:t>
            </w:r>
          </w:p>
          <w:p w14:paraId="3D4A12CF">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综上，根据查询结果统计分析</w:t>
            </w:r>
            <w:r>
              <w:rPr>
                <w:rFonts w:hint="eastAsia" w:ascii="Times New Roman" w:hAnsi="Times New Roman"/>
                <w:bCs/>
                <w:color w:val="auto"/>
                <w:sz w:val="24"/>
                <w:szCs w:val="24"/>
              </w:rPr>
              <w:t>，</w:t>
            </w:r>
            <w:r>
              <w:rPr>
                <w:rFonts w:ascii="Times New Roman" w:hAnsi="Times New Roman"/>
                <w:bCs/>
                <w:color w:val="auto"/>
                <w:sz w:val="24"/>
                <w:szCs w:val="24"/>
              </w:rPr>
              <w:t>项目不涉及自然保护区、国家一级公益林等生态敏感区</w:t>
            </w:r>
            <w:r>
              <w:rPr>
                <w:rFonts w:hint="eastAsia" w:ascii="Times New Roman" w:hAnsi="Times New Roman"/>
                <w:bCs/>
                <w:color w:val="auto"/>
                <w:sz w:val="24"/>
                <w:szCs w:val="24"/>
              </w:rPr>
              <w:t>，涉及一般生态空间优先保护单元为省级公益林。</w:t>
            </w:r>
          </w:p>
          <w:p w14:paraId="5DC057A7">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对照</w:t>
            </w:r>
            <w:r>
              <w:rPr>
                <w:rFonts w:ascii="Times New Roman" w:hAnsi="Times New Roman"/>
                <w:color w:val="auto"/>
                <w:sz w:val="24"/>
                <w:szCs w:val="24"/>
                <w:lang w:val="zh-CN"/>
              </w:rPr>
              <w:t>《曲靖市生态环境分区管控动态更新方案（2023年）》的通知</w:t>
            </w:r>
            <w:r>
              <w:rPr>
                <w:rFonts w:ascii="Times New Roman" w:hAnsi="Times New Roman"/>
                <w:color w:val="auto"/>
                <w:sz w:val="24"/>
              </w:rPr>
              <w:t>（</w:t>
            </w:r>
            <w:r>
              <w:rPr>
                <w:rFonts w:ascii="Times New Roman" w:hAnsi="Times New Roman"/>
                <w:color w:val="auto"/>
                <w:sz w:val="24"/>
                <w:szCs w:val="24"/>
                <w:lang w:val="zh-CN"/>
              </w:rPr>
              <w:t>曲环通〔2024〕36号</w:t>
            </w:r>
            <w:r>
              <w:rPr>
                <w:rFonts w:ascii="Times New Roman" w:hAnsi="Times New Roman"/>
                <w:color w:val="auto"/>
                <w:sz w:val="24"/>
                <w:szCs w:val="24"/>
              </w:rPr>
              <w:t>）</w:t>
            </w:r>
            <w:r>
              <w:rPr>
                <w:rFonts w:ascii="Times New Roman" w:hAnsi="Times New Roman"/>
                <w:bCs/>
                <w:color w:val="auto"/>
                <w:sz w:val="24"/>
                <w:szCs w:val="24"/>
              </w:rPr>
              <w:t>中各个单元的要求，管控要求分析见下表。</w:t>
            </w:r>
          </w:p>
          <w:p w14:paraId="36EF944F">
            <w:pPr>
              <w:pStyle w:val="2"/>
              <w:adjustRightInd w:val="0"/>
              <w:snapToGrid w:val="0"/>
              <w:spacing w:after="0"/>
              <w:jc w:val="center"/>
              <w:rPr>
                <w:b/>
                <w:bCs/>
                <w:color w:val="auto"/>
                <w:sz w:val="24"/>
              </w:rPr>
            </w:pPr>
            <w:r>
              <w:rPr>
                <w:b/>
                <w:bCs/>
                <w:color w:val="auto"/>
                <w:sz w:val="24"/>
              </w:rPr>
              <w:t>表1-4  项目与</w:t>
            </w:r>
            <w:r>
              <w:rPr>
                <w:b/>
                <w:bCs/>
                <w:color w:val="auto"/>
                <w:sz w:val="24"/>
                <w:lang w:val="zh-CN"/>
              </w:rPr>
              <w:t>曲环通〔2024〕36号</w:t>
            </w:r>
            <w:r>
              <w:rPr>
                <w:b/>
                <w:bCs/>
                <w:color w:val="auto"/>
                <w:sz w:val="24"/>
              </w:rPr>
              <w:t>符合性分析</w:t>
            </w:r>
          </w:p>
          <w:tbl>
            <w:tblPr>
              <w:tblStyle w:val="27"/>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606"/>
              <w:gridCol w:w="638"/>
              <w:gridCol w:w="3335"/>
              <w:gridCol w:w="2010"/>
              <w:gridCol w:w="482"/>
            </w:tblGrid>
            <w:tr w14:paraId="28594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tcBorders>
                    <w:tl2br w:val="nil"/>
                    <w:tr2bl w:val="nil"/>
                  </w:tcBorders>
                  <w:vAlign w:val="center"/>
                </w:tcPr>
                <w:p w14:paraId="20197118">
                  <w:pPr>
                    <w:topLinePunct/>
                    <w:adjustRightInd w:val="0"/>
                    <w:snapToGrid w:val="0"/>
                    <w:jc w:val="center"/>
                    <w:rPr>
                      <w:rFonts w:ascii="Times New Roman" w:hAnsi="Times New Roman"/>
                      <w:b/>
                      <w:bCs/>
                      <w:snapToGrid w:val="0"/>
                      <w:color w:val="auto"/>
                      <w:szCs w:val="21"/>
                    </w:rPr>
                  </w:pPr>
                  <w:r>
                    <w:rPr>
                      <w:rFonts w:ascii="Times New Roman" w:hAnsi="Times New Roman"/>
                      <w:b/>
                      <w:bCs/>
                      <w:snapToGrid w:val="0"/>
                      <w:color w:val="auto"/>
                      <w:szCs w:val="21"/>
                    </w:rPr>
                    <w:t>项目</w:t>
                  </w:r>
                </w:p>
              </w:tc>
              <w:tc>
                <w:tcPr>
                  <w:tcW w:w="2808" w:type="pct"/>
                  <w:gridSpan w:val="2"/>
                  <w:tcBorders>
                    <w:tl2br w:val="nil"/>
                    <w:tr2bl w:val="nil"/>
                  </w:tcBorders>
                  <w:vAlign w:val="center"/>
                </w:tcPr>
                <w:p w14:paraId="0B1469C2">
                  <w:pPr>
                    <w:topLinePunct/>
                    <w:adjustRightInd w:val="0"/>
                    <w:snapToGrid w:val="0"/>
                    <w:jc w:val="center"/>
                    <w:rPr>
                      <w:rFonts w:ascii="Times New Roman" w:hAnsi="Times New Roman"/>
                      <w:b/>
                      <w:bCs/>
                      <w:snapToGrid w:val="0"/>
                      <w:color w:val="auto"/>
                      <w:szCs w:val="21"/>
                    </w:rPr>
                  </w:pPr>
                  <w:r>
                    <w:rPr>
                      <w:rFonts w:ascii="Times New Roman" w:hAnsi="Times New Roman"/>
                      <w:b/>
                      <w:bCs/>
                      <w:snapToGrid w:val="0"/>
                      <w:color w:val="auto"/>
                      <w:szCs w:val="21"/>
                      <w:lang w:val="zh-CN"/>
                    </w:rPr>
                    <w:t>曲环通〔2024〕36号</w:t>
                  </w:r>
                </w:p>
              </w:tc>
              <w:tc>
                <w:tcPr>
                  <w:tcW w:w="1420" w:type="pct"/>
                  <w:tcBorders>
                    <w:tl2br w:val="nil"/>
                    <w:tr2bl w:val="nil"/>
                  </w:tcBorders>
                  <w:vAlign w:val="center"/>
                </w:tcPr>
                <w:p w14:paraId="2929E842">
                  <w:pPr>
                    <w:topLinePunct/>
                    <w:adjustRightInd w:val="0"/>
                    <w:snapToGrid w:val="0"/>
                    <w:jc w:val="center"/>
                    <w:rPr>
                      <w:rFonts w:ascii="Times New Roman" w:hAnsi="Times New Roman"/>
                      <w:b/>
                      <w:bCs/>
                      <w:snapToGrid w:val="0"/>
                      <w:color w:val="auto"/>
                      <w:szCs w:val="21"/>
                    </w:rPr>
                  </w:pPr>
                  <w:r>
                    <w:rPr>
                      <w:rFonts w:ascii="Times New Roman" w:hAnsi="Times New Roman"/>
                      <w:b/>
                      <w:bCs/>
                      <w:snapToGrid w:val="0"/>
                      <w:color w:val="auto"/>
                      <w:szCs w:val="21"/>
                    </w:rPr>
                    <w:t>项目情况</w:t>
                  </w:r>
                </w:p>
              </w:tc>
              <w:tc>
                <w:tcPr>
                  <w:tcW w:w="341" w:type="pct"/>
                  <w:tcBorders>
                    <w:tl2br w:val="nil"/>
                    <w:tr2bl w:val="nil"/>
                  </w:tcBorders>
                  <w:vAlign w:val="center"/>
                </w:tcPr>
                <w:p w14:paraId="47BFE8F8">
                  <w:pPr>
                    <w:topLinePunct/>
                    <w:adjustRightInd w:val="0"/>
                    <w:snapToGrid w:val="0"/>
                    <w:jc w:val="center"/>
                    <w:rPr>
                      <w:rFonts w:ascii="Times New Roman" w:hAnsi="Times New Roman"/>
                      <w:b/>
                      <w:bCs/>
                      <w:snapToGrid w:val="0"/>
                      <w:color w:val="auto"/>
                      <w:szCs w:val="21"/>
                    </w:rPr>
                  </w:pPr>
                  <w:r>
                    <w:rPr>
                      <w:rFonts w:ascii="Times New Roman" w:hAnsi="Times New Roman"/>
                      <w:b/>
                      <w:bCs/>
                      <w:snapToGrid w:val="0"/>
                      <w:color w:val="auto"/>
                      <w:szCs w:val="21"/>
                    </w:rPr>
                    <w:t>相符性</w:t>
                  </w:r>
                </w:p>
              </w:tc>
            </w:tr>
            <w:tr w14:paraId="43AA2C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restart"/>
                  <w:tcBorders>
                    <w:tl2br w:val="nil"/>
                    <w:tr2bl w:val="nil"/>
                  </w:tcBorders>
                  <w:vAlign w:val="center"/>
                </w:tcPr>
                <w:p w14:paraId="03EE2B12">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曲靖市生态环境管控总体要求</w:t>
                  </w:r>
                </w:p>
              </w:tc>
              <w:tc>
                <w:tcPr>
                  <w:tcW w:w="451" w:type="pct"/>
                  <w:tcBorders>
                    <w:tl2br w:val="nil"/>
                    <w:tr2bl w:val="nil"/>
                  </w:tcBorders>
                  <w:vAlign w:val="center"/>
                </w:tcPr>
                <w:p w14:paraId="62F7029E">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空间布局约束</w:t>
                  </w:r>
                </w:p>
              </w:tc>
              <w:tc>
                <w:tcPr>
                  <w:tcW w:w="2356" w:type="pct"/>
                  <w:tcBorders>
                    <w:tl2br w:val="nil"/>
                    <w:tr2bl w:val="nil"/>
                  </w:tcBorders>
                  <w:vAlign w:val="center"/>
                </w:tcPr>
                <w:p w14:paraId="392C4044">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严格执行《长江经济带发展负面清单指南（试行，2022年版）》《云南省长江经济带发展负面清单指南实施细则（试行）》等产业准入有关要求。2.严格实施化解过剩产能和淘汰落后产能，制定产能过剩行业淘汰计划，确保国家、省下达的淘汰落后产能目标任务全面完成。3.将资源承载能力、生态环境容量作为承接产业转移的基础和前提，合理确定承接产业转移重点，禁止引进环境污染大、资源消耗高、技术落后的生产能力。4.支持现有各类产业园区有供热需求的实施热电联产或者集中供热改造，具备条件的工业园区实现集中供热。5.严格控制在生态脆弱或环境敏感地区建设《环境保护综合名录》中“高污染、高环境风险”行业项目。6.禁止在合规园区外新建、扩建钢铁、石化、化工、焦化、建材、有色行业中的高污染项目。7.集中式饮用水水源地严格执行《中华人民共和国水污染防治法》《地下水管理条例》《饮用水水源保护区污染防治管理规定》《曲靖市集中式饮用水水源地保护条例》《云南省曲靖独木水库保护条例》</w:t>
                  </w:r>
                  <w:r>
                    <w:rPr>
                      <w:rFonts w:hint="eastAsia" w:ascii="Times New Roman" w:hAnsi="Times New Roman"/>
                      <w:color w:val="auto"/>
                      <w:kern w:val="0"/>
                      <w:szCs w:val="21"/>
                    </w:rPr>
                    <w:t>，在</w:t>
                  </w:r>
                  <w:r>
                    <w:rPr>
                      <w:rFonts w:ascii="Times New Roman" w:hAnsi="Times New Roman"/>
                      <w:color w:val="auto"/>
                      <w:kern w:val="0"/>
                      <w:szCs w:val="21"/>
                    </w:rPr>
                    <w:t>水源地内城镇开发边界范围已开发区域强化环境基础设施建设与运行维护。8.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1420" w:type="pct"/>
                  <w:tcBorders>
                    <w:tl2br w:val="nil"/>
                    <w:tr2bl w:val="nil"/>
                  </w:tcBorders>
                  <w:vAlign w:val="center"/>
                </w:tcPr>
                <w:p w14:paraId="71AA348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根据分析，本项目符合《长江经济带发展负面清单指南（试行，2022年版）》、《云南省长江经济带发展负面清单指南实施细则（试行）》（云发改基础〔2019〕924号）的相关要求；2、本项目为输变电项目，不涉及过剩产能和淘汰落后产能；</w:t>
                  </w:r>
                </w:p>
                <w:p w14:paraId="29AD6E31">
                  <w:pPr>
                    <w:widowControl/>
                    <w:adjustRightInd w:val="0"/>
                    <w:snapToGrid w:val="0"/>
                    <w:jc w:val="center"/>
                    <w:rPr>
                      <w:rFonts w:ascii="Times New Roman" w:hAnsi="Times New Roman"/>
                      <w:color w:val="auto"/>
                      <w:szCs w:val="21"/>
                    </w:rPr>
                  </w:pPr>
                  <w:r>
                    <w:rPr>
                      <w:rFonts w:ascii="Times New Roman" w:hAnsi="Times New Roman"/>
                      <w:color w:val="auto"/>
                      <w:kern w:val="0"/>
                      <w:szCs w:val="21"/>
                    </w:rPr>
                    <w:t>3、项目不属于环境污染大、资源消耗高、技术落后的生产项目；4、项目不涉及；5、本项目为输变电项目，不属于“高污染、高环境风险”行业项目；6、本项目为输变电项目，不属于在合规园区外新建、扩建钢铁、石化、化工、焦化、建材、有色行业中的高污染项目；7、</w:t>
                  </w:r>
                  <w:r>
                    <w:rPr>
                      <w:rFonts w:hint="eastAsia" w:ascii="Times New Roman" w:hAnsi="Times New Roman"/>
                      <w:color w:val="auto"/>
                      <w:kern w:val="0"/>
                      <w:szCs w:val="21"/>
                    </w:rPr>
                    <w:t>根据</w:t>
                  </w:r>
                  <w:r>
                    <w:rPr>
                      <w:rFonts w:ascii="Times New Roman" w:hAnsi="Times New Roman"/>
                      <w:color w:val="auto"/>
                      <w:kern w:val="0"/>
                      <w:szCs w:val="21"/>
                    </w:rPr>
                    <w:t>曲靖市生态环境局会泽分局关于</w:t>
                  </w:r>
                  <w:r>
                    <w:rPr>
                      <w:rFonts w:hint="eastAsia" w:ascii="Times New Roman" w:hAnsi="Times New Roman"/>
                      <w:color w:val="auto"/>
                      <w:kern w:val="0"/>
                      <w:szCs w:val="21"/>
                    </w:rPr>
                    <w:t>六合一至乐业变220kV送出线路工程</w:t>
                  </w:r>
                  <w:r>
                    <w:rPr>
                      <w:rFonts w:ascii="Times New Roman" w:hAnsi="Times New Roman"/>
                      <w:color w:val="auto"/>
                      <w:kern w:val="0"/>
                      <w:szCs w:val="21"/>
                    </w:rPr>
                    <w:t>项目（饮用水源地部分）查询情况说明，项目选址点位不涉及会泽县已批复集中式</w:t>
                  </w:r>
                  <w:r>
                    <w:rPr>
                      <w:rFonts w:hint="eastAsia" w:ascii="Times New Roman" w:hAnsi="Times New Roman"/>
                      <w:color w:val="auto"/>
                      <w:kern w:val="0"/>
                      <w:szCs w:val="21"/>
                      <w:lang w:eastAsia="zh-CN"/>
                    </w:rPr>
                    <w:t>饮用水水源保护区</w:t>
                  </w:r>
                  <w:r>
                    <w:rPr>
                      <w:rFonts w:ascii="Times New Roman" w:hAnsi="Times New Roman"/>
                      <w:color w:val="auto"/>
                      <w:kern w:val="0"/>
                      <w:szCs w:val="21"/>
                    </w:rPr>
                    <w:t>。项目选址不涉及会泽县饮用水水源保护区范围。8、项目涉及会泽县乡镇生活污染重点管控单元、会泽县一般生态空间优先保护单元、会泽县一般管控单元，无条例中管控单元。</w:t>
                  </w:r>
                </w:p>
              </w:tc>
              <w:tc>
                <w:tcPr>
                  <w:tcW w:w="341" w:type="pct"/>
                  <w:tcBorders>
                    <w:tl2br w:val="nil"/>
                    <w:tr2bl w:val="nil"/>
                  </w:tcBorders>
                  <w:vAlign w:val="center"/>
                </w:tcPr>
                <w:p w14:paraId="7D691727">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符合</w:t>
                  </w:r>
                </w:p>
              </w:tc>
            </w:tr>
            <w:tr w14:paraId="30FEF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7281C0D7">
                  <w:pPr>
                    <w:topLinePunct/>
                    <w:adjustRightInd w:val="0"/>
                    <w:snapToGrid w:val="0"/>
                    <w:jc w:val="center"/>
                    <w:rPr>
                      <w:rFonts w:ascii="Times New Roman" w:hAnsi="Times New Roman"/>
                      <w:snapToGrid w:val="0"/>
                      <w:color w:val="auto"/>
                      <w:szCs w:val="21"/>
                    </w:rPr>
                  </w:pPr>
                </w:p>
              </w:tc>
              <w:tc>
                <w:tcPr>
                  <w:tcW w:w="451" w:type="pct"/>
                  <w:tcBorders>
                    <w:tl2br w:val="nil"/>
                    <w:tr2bl w:val="nil"/>
                  </w:tcBorders>
                  <w:vAlign w:val="center"/>
                </w:tcPr>
                <w:p w14:paraId="76CFF4E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污染物排放管控</w:t>
                  </w:r>
                </w:p>
              </w:tc>
              <w:tc>
                <w:tcPr>
                  <w:tcW w:w="2356" w:type="pct"/>
                  <w:tcBorders>
                    <w:tl2br w:val="nil"/>
                    <w:tr2bl w:val="nil"/>
                  </w:tcBorders>
                  <w:vAlign w:val="center"/>
                </w:tcPr>
                <w:p w14:paraId="22F4665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正负极材料），多晶硅、单晶硅、有机硅，工业涂装和包装印刷等行业。2.落实云南省碳达峰碳中和相关要求，处理好发展和减排、整体和局部、长远目标和短期目标、政府和市场的关系，加快推动减污降碳协同创新试点，坚定不移走生态优先、绿色低碳的高质量发展道路。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5.严格保护集中式饮用水水源地，整治饮用水源保护区内的污染源，确保饮水安全。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w:t>
                  </w:r>
                  <w:r>
                    <w:rPr>
                      <w:rFonts w:hint="eastAsia" w:ascii="Times New Roman" w:hAnsi="Times New Roman"/>
                      <w:color w:val="auto"/>
                      <w:kern w:val="0"/>
                      <w:szCs w:val="21"/>
                      <w:lang w:eastAsia="zh-CN"/>
                    </w:rPr>
                    <w:t>Ⅳ类</w:t>
                  </w:r>
                  <w:r>
                    <w:rPr>
                      <w:rFonts w:ascii="Times New Roman" w:hAnsi="Times New Roman"/>
                      <w:color w:val="auto"/>
                      <w:kern w:val="0"/>
                      <w:szCs w:val="21"/>
                    </w:rPr>
                    <w:t>标准（其中总氮&lt;10mg/L，</w:t>
                  </w:r>
                  <w:r>
                    <w:rPr>
                      <w:rFonts w:hint="eastAsia" w:ascii="Times New Roman" w:hAnsi="Times New Roman"/>
                      <w:color w:val="auto"/>
                      <w:kern w:val="0"/>
                      <w:szCs w:val="21"/>
                    </w:rPr>
                    <w:t>粪</w:t>
                  </w:r>
                  <w:r>
                    <w:rPr>
                      <w:rFonts w:ascii="Times New Roman" w:hAnsi="Times New Roman"/>
                      <w:color w:val="auto"/>
                      <w:kern w:val="0"/>
                      <w:szCs w:val="21"/>
                    </w:rPr>
                    <w:t>大肠菌群&lt;1000个/L）。陆良县、宣威市根据水生态环境质量变化趋势适时推进执行《地表水环境质量标准》</w:t>
                  </w:r>
                  <w:r>
                    <w:rPr>
                      <w:rFonts w:hint="eastAsia" w:ascii="Times New Roman" w:hAnsi="Times New Roman"/>
                      <w:color w:val="auto"/>
                      <w:kern w:val="0"/>
                      <w:szCs w:val="21"/>
                      <w:lang w:eastAsia="zh-CN"/>
                    </w:rPr>
                    <w:t>Ⅳ类</w:t>
                  </w:r>
                  <w:r>
                    <w:rPr>
                      <w:rFonts w:ascii="Times New Roman" w:hAnsi="Times New Roman"/>
                      <w:color w:val="auto"/>
                      <w:kern w:val="0"/>
                      <w:szCs w:val="21"/>
                    </w:rPr>
                    <w:t>标准（其中总氮&lt;10mg/L，</w:t>
                  </w:r>
                  <w:r>
                    <w:rPr>
                      <w:rFonts w:hint="eastAsia" w:ascii="Times New Roman" w:hAnsi="Times New Roman"/>
                      <w:color w:val="auto"/>
                      <w:kern w:val="0"/>
                      <w:szCs w:val="21"/>
                    </w:rPr>
                    <w:t>粪大肠菌群</w:t>
                  </w:r>
                  <w:r>
                    <w:rPr>
                      <w:rFonts w:ascii="Times New Roman" w:hAnsi="Times New Roman"/>
                      <w:color w:val="auto"/>
                      <w:kern w:val="0"/>
                      <w:szCs w:val="21"/>
                    </w:rPr>
                    <w:t>&lt;1000个/L）。其他县（市、区）执行《城镇污水处理厂污染物排放标准》一级标准A标准。7.加快推进污泥无害化处理处置工程建设，鼓励采用资源化利用方式处理处置污泥，经处理后的污泥达到《农用污泥污染物控制标准》（GB4282—2018）要求的用于还田利用。8.加快生活垃圾处理设施建设，推进实施生活垃圾焚烧发电，全面提升城镇生活垃圾分类收转运能力和厨余垃圾处理能力。9.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10.到2025年，全市农村生活污水治理率达到40%以上，城乡生活垃圾焚烧处理比重达90%以上，全市农村卫生户厕覆盖率达到70%以上，农膜回收率达到90%以上，秸秆综合利用率稳定在90%以上，畜禽粪污综合利用率达到95%以上；基本实现化肥农药施用量减少3%以上。11.严把新建、改扩建涉重金属重点行业建设项目审批关，切实降低区域重金属排放总量。会泽县新、改、扩建涉重金属重点行业建设项目重点重金属污染物排放遵循“减量替代”原则，替代比例不低于1.2:1；其他县（市、区）遵循“等量替代”原则。12.到2025年，曲靖市重点行业重点重金属污染物排放量比2020年下降6%。13.到2025年，全市化学需氧量、氨氮、氮氧化物、挥发性有机物排放总量等重点工程减排量分别达到7984吨、496吨、3611吨、1181吨。</w:t>
                  </w:r>
                </w:p>
              </w:tc>
              <w:tc>
                <w:tcPr>
                  <w:tcW w:w="1420" w:type="pct"/>
                  <w:tcBorders>
                    <w:tl2br w:val="nil"/>
                    <w:tr2bl w:val="nil"/>
                  </w:tcBorders>
                  <w:vAlign w:val="center"/>
                </w:tcPr>
                <w:p w14:paraId="1506F8A4">
                  <w:pPr>
                    <w:widowControl/>
                    <w:adjustRightInd w:val="0"/>
                    <w:snapToGrid w:val="0"/>
                    <w:jc w:val="center"/>
                    <w:rPr>
                      <w:rFonts w:ascii="Times New Roman" w:hAnsi="Times New Roman"/>
                      <w:color w:val="auto"/>
                      <w:szCs w:val="21"/>
                    </w:rPr>
                  </w:pPr>
                  <w:r>
                    <w:rPr>
                      <w:rFonts w:ascii="Times New Roman" w:hAnsi="Times New Roman"/>
                      <w:snapToGrid w:val="0"/>
                      <w:color w:val="auto"/>
                      <w:szCs w:val="21"/>
                    </w:rPr>
                    <w:t>1、本项目为输变电项目，不涉及条例中所述行业；2</w:t>
                  </w:r>
                  <w:r>
                    <w:rPr>
                      <w:rFonts w:hint="eastAsia" w:ascii="Times New Roman" w:hAnsi="Times New Roman"/>
                      <w:snapToGrid w:val="0"/>
                      <w:color w:val="auto"/>
                      <w:szCs w:val="21"/>
                    </w:rPr>
                    <w:t>、本</w:t>
                  </w:r>
                  <w:r>
                    <w:rPr>
                      <w:rFonts w:ascii="Times New Roman" w:hAnsi="Times New Roman"/>
                      <w:snapToGrid w:val="0"/>
                      <w:color w:val="auto"/>
                      <w:szCs w:val="21"/>
                    </w:rPr>
                    <w:t>项目为输变电项目，运营过</w:t>
                  </w:r>
                  <w:r>
                    <w:rPr>
                      <w:rFonts w:hint="eastAsia" w:ascii="Times New Roman" w:hAnsi="Times New Roman"/>
                      <w:snapToGrid w:val="0"/>
                      <w:color w:val="auto"/>
                      <w:szCs w:val="21"/>
                    </w:rPr>
                    <w:t>程中</w:t>
                  </w:r>
                  <w:r>
                    <w:rPr>
                      <w:rFonts w:ascii="Times New Roman" w:hAnsi="Times New Roman"/>
                      <w:snapToGrid w:val="0"/>
                      <w:color w:val="auto"/>
                      <w:szCs w:val="21"/>
                    </w:rPr>
                    <w:t>不产生工业废气；3、本项目未处于南盘江龚家坝、北盘江旧营桥断面汇水区等水污染严重地区，且本项目不属于重点行业；4、本项目不在牛栏江流域；5、</w:t>
                  </w:r>
                  <w:r>
                    <w:rPr>
                      <w:rFonts w:hint="eastAsia" w:ascii="Times New Roman" w:hAnsi="Times New Roman"/>
                      <w:color w:val="auto"/>
                      <w:kern w:val="0"/>
                      <w:szCs w:val="21"/>
                    </w:rPr>
                    <w:t>根据</w:t>
                  </w:r>
                  <w:r>
                    <w:rPr>
                      <w:rFonts w:ascii="Times New Roman" w:hAnsi="Times New Roman"/>
                      <w:color w:val="auto"/>
                      <w:kern w:val="0"/>
                      <w:szCs w:val="21"/>
                    </w:rPr>
                    <w:t>曲靖市生态环境局会泽分局关于</w:t>
                  </w:r>
                  <w:r>
                    <w:rPr>
                      <w:rFonts w:hint="eastAsia" w:ascii="Times New Roman" w:hAnsi="Times New Roman"/>
                      <w:color w:val="auto"/>
                      <w:kern w:val="0"/>
                      <w:szCs w:val="21"/>
                    </w:rPr>
                    <w:t>六合一至乐业变220kV送出线路工程</w:t>
                  </w:r>
                  <w:r>
                    <w:rPr>
                      <w:rFonts w:ascii="Times New Roman" w:hAnsi="Times New Roman"/>
                      <w:color w:val="auto"/>
                      <w:kern w:val="0"/>
                      <w:szCs w:val="21"/>
                    </w:rPr>
                    <w:t>项目（饮用水源地部分）查询情况说明，项目选址点位不涉及会泽县已批复集中式</w:t>
                  </w:r>
                  <w:r>
                    <w:rPr>
                      <w:rFonts w:hint="eastAsia" w:ascii="Times New Roman" w:hAnsi="Times New Roman"/>
                      <w:color w:val="auto"/>
                      <w:kern w:val="0"/>
                      <w:szCs w:val="21"/>
                      <w:lang w:eastAsia="zh-CN"/>
                    </w:rPr>
                    <w:t>饮用水水源保护区</w:t>
                  </w:r>
                  <w:r>
                    <w:rPr>
                      <w:rFonts w:ascii="Times New Roman" w:hAnsi="Times New Roman"/>
                      <w:color w:val="auto"/>
                      <w:kern w:val="0"/>
                      <w:szCs w:val="21"/>
                    </w:rPr>
                    <w:t>。项目选址不涉及会泽县饮用水水源保护区范围</w:t>
                  </w:r>
                  <w:r>
                    <w:rPr>
                      <w:rFonts w:ascii="Times New Roman" w:hAnsi="Times New Roman"/>
                      <w:snapToGrid w:val="0"/>
                      <w:color w:val="auto"/>
                      <w:szCs w:val="21"/>
                    </w:rPr>
                    <w:t>；6、本项目运营期无废水产生，</w:t>
                  </w:r>
                  <w:r>
                    <w:rPr>
                      <w:rFonts w:ascii="Times New Roman" w:hAnsi="Times New Roman"/>
                      <w:color w:val="auto"/>
                      <w:szCs w:val="21"/>
                    </w:rPr>
                    <w:t>废水不外排</w:t>
                  </w:r>
                  <w:r>
                    <w:rPr>
                      <w:rFonts w:ascii="Times New Roman" w:hAnsi="Times New Roman"/>
                      <w:snapToGrid w:val="0"/>
                      <w:color w:val="auto"/>
                      <w:szCs w:val="21"/>
                    </w:rPr>
                    <w:t>；7、项目不涉及污泥产生；8、项目无工作人员，无生活垃圾产生；9、项目位于山区、农村地区，不涉及</w:t>
                  </w:r>
                  <w:r>
                    <w:rPr>
                      <w:rFonts w:ascii="Times New Roman" w:hAnsi="Times New Roman"/>
                      <w:color w:val="auto"/>
                      <w:kern w:val="0"/>
                      <w:szCs w:val="21"/>
                    </w:rPr>
                    <w:t>中心城区、县城中心城市建成区</w:t>
                  </w:r>
                  <w:r>
                    <w:rPr>
                      <w:rFonts w:ascii="Times New Roman" w:hAnsi="Times New Roman"/>
                      <w:snapToGrid w:val="0"/>
                      <w:color w:val="auto"/>
                      <w:szCs w:val="21"/>
                    </w:rPr>
                    <w:t>；10、无工作人员，无生活废水、生活垃圾产生；11、本项目位于会泽县且不涉及重金属污染物；12、本项目不涉及重金属污染物；13、本项目运营期无生活废水产生</w:t>
                  </w:r>
                  <w:r>
                    <w:rPr>
                      <w:rFonts w:ascii="Times New Roman" w:hAnsi="Times New Roman"/>
                      <w:color w:val="auto"/>
                      <w:szCs w:val="21"/>
                    </w:rPr>
                    <w:t>。</w:t>
                  </w:r>
                </w:p>
              </w:tc>
              <w:tc>
                <w:tcPr>
                  <w:tcW w:w="341" w:type="pct"/>
                  <w:tcBorders>
                    <w:tl2br w:val="nil"/>
                    <w:tr2bl w:val="nil"/>
                  </w:tcBorders>
                  <w:vAlign w:val="center"/>
                </w:tcPr>
                <w:p w14:paraId="477D67AC">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符合</w:t>
                  </w:r>
                </w:p>
              </w:tc>
            </w:tr>
            <w:tr w14:paraId="5BB096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4185164B">
                  <w:pPr>
                    <w:topLinePunct/>
                    <w:adjustRightInd w:val="0"/>
                    <w:snapToGrid w:val="0"/>
                    <w:jc w:val="center"/>
                    <w:rPr>
                      <w:rFonts w:ascii="Times New Roman" w:hAnsi="Times New Roman"/>
                      <w:snapToGrid w:val="0"/>
                      <w:color w:val="auto"/>
                      <w:szCs w:val="21"/>
                    </w:rPr>
                  </w:pPr>
                </w:p>
              </w:tc>
              <w:tc>
                <w:tcPr>
                  <w:tcW w:w="451" w:type="pct"/>
                  <w:tcBorders>
                    <w:tl2br w:val="nil"/>
                    <w:tr2bl w:val="nil"/>
                  </w:tcBorders>
                  <w:vAlign w:val="center"/>
                </w:tcPr>
                <w:p w14:paraId="29B50E32">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环境风险防控</w:t>
                  </w:r>
                </w:p>
              </w:tc>
              <w:tc>
                <w:tcPr>
                  <w:tcW w:w="2356" w:type="pct"/>
                  <w:tcBorders>
                    <w:tl2br w:val="nil"/>
                    <w:tr2bl w:val="nil"/>
                  </w:tcBorders>
                  <w:vAlign w:val="center"/>
                </w:tcPr>
                <w:p w14:paraId="21EE4A9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以南盘江、北盘江、牛栏江流域为重点，按规范开展流域工业企业、工业集聚区环境风险评估，落实防控措施。2.开展麒沾马区域大气污染联防联控，逐步推行区域统一规划，统一监测，实行协同的环境准入、落后产能淘汰、机动车环境管理政策和考核评估制度。3.建立和完善与临界州（市）跨流域上下游突发水污染事件联防联控机制，提升应急联防联控水平。4.强化大气污染分区分时分类差异化精细化协同管控，加强监测预警应急能力建设，及时采取差异化管控措施。5.逐步建成全市土壤环境质量监测网络，推进各县（市、区）土壤环境质量监测点位全覆盖；有色金属矿采选、有色金属冶炼、石油加工、化工、农药、焦化、电镀、制革、印染、危险废物处置等行业企业拆除生产设施设备、构筑物和污染治理设施，要事先制定残留污染物清理和安全处置方案。6.加强环境风险防控和应急管理，制定和完善突发环境事件和集中式饮用水水源地突发环境事件应急预案，加强风险防控和突发环境事件应急处理处置能力。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1420" w:type="pct"/>
                  <w:tcBorders>
                    <w:tl2br w:val="nil"/>
                    <w:tr2bl w:val="nil"/>
                  </w:tcBorders>
                  <w:vAlign w:val="center"/>
                </w:tcPr>
                <w:p w14:paraId="4DAF4B35">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1、本项目有</w:t>
                  </w:r>
                  <w:r>
                    <w:rPr>
                      <w:rFonts w:hint="eastAsia" w:ascii="Times New Roman" w:hAnsi="Times New Roman"/>
                      <w:color w:val="auto"/>
                      <w:kern w:val="0"/>
                      <w:szCs w:val="21"/>
                    </w:rPr>
                    <w:t>完善</w:t>
                  </w:r>
                  <w:r>
                    <w:rPr>
                      <w:rFonts w:ascii="Times New Roman" w:hAnsi="Times New Roman"/>
                      <w:color w:val="auto"/>
                      <w:kern w:val="0"/>
                      <w:szCs w:val="21"/>
                    </w:rPr>
                    <w:t>的污染防治机制（制度、设施等），后续将按要求编制突发环境事件应急预案，并报当地生态环境部门备案；2、项目位于会泽县，不属于条例中所述麒沾马区域；3、本项目不涉及；4、本项目不涉及且项目运营过</w:t>
                  </w:r>
                  <w:r>
                    <w:rPr>
                      <w:rFonts w:hint="eastAsia" w:ascii="Times New Roman" w:hAnsi="Times New Roman"/>
                      <w:color w:val="auto"/>
                      <w:kern w:val="0"/>
                      <w:szCs w:val="21"/>
                    </w:rPr>
                    <w:t>程中</w:t>
                  </w:r>
                  <w:r>
                    <w:rPr>
                      <w:rFonts w:ascii="Times New Roman" w:hAnsi="Times New Roman"/>
                      <w:color w:val="auto"/>
                      <w:kern w:val="0"/>
                      <w:szCs w:val="21"/>
                    </w:rPr>
                    <w:t>不产生工业废气；5、本项目为输变电项目，不属于条例中所述有色金属矿采选、有色金属冶炼、石油加工、化工、农药、焦化、电镀、制革、印染、危险废物处置等行业；6、项目有</w:t>
                  </w:r>
                  <w:r>
                    <w:rPr>
                      <w:rFonts w:hint="eastAsia" w:ascii="Times New Roman" w:hAnsi="Times New Roman"/>
                      <w:color w:val="auto"/>
                      <w:kern w:val="0"/>
                      <w:szCs w:val="21"/>
                    </w:rPr>
                    <w:t>完善</w:t>
                  </w:r>
                  <w:r>
                    <w:rPr>
                      <w:rFonts w:ascii="Times New Roman" w:hAnsi="Times New Roman"/>
                      <w:color w:val="auto"/>
                      <w:kern w:val="0"/>
                      <w:szCs w:val="21"/>
                    </w:rPr>
                    <w:t>的污染防治机制（制度、设施等），后续将按要求编制突发环境事件应急预案，并报当地生态环境部门备案；</w:t>
                  </w:r>
                </w:p>
                <w:p w14:paraId="58E50260">
                  <w:pPr>
                    <w:widowControl/>
                    <w:adjustRightInd w:val="0"/>
                    <w:snapToGrid w:val="0"/>
                    <w:jc w:val="center"/>
                    <w:rPr>
                      <w:rFonts w:ascii="Times New Roman" w:hAnsi="Times New Roman"/>
                      <w:color w:val="auto"/>
                      <w:szCs w:val="21"/>
                    </w:rPr>
                  </w:pPr>
                  <w:r>
                    <w:rPr>
                      <w:rFonts w:ascii="Times New Roman" w:hAnsi="Times New Roman"/>
                      <w:color w:val="auto"/>
                      <w:kern w:val="0"/>
                      <w:szCs w:val="21"/>
                    </w:rPr>
                    <w:t>7、本项目不涉及；</w:t>
                  </w:r>
                </w:p>
              </w:tc>
              <w:tc>
                <w:tcPr>
                  <w:tcW w:w="341" w:type="pct"/>
                  <w:tcBorders>
                    <w:tl2br w:val="nil"/>
                    <w:tr2bl w:val="nil"/>
                  </w:tcBorders>
                  <w:vAlign w:val="center"/>
                </w:tcPr>
                <w:p w14:paraId="6498F9B6">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符合</w:t>
                  </w:r>
                </w:p>
              </w:tc>
            </w:tr>
            <w:tr w14:paraId="7F8B3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209CE930">
                  <w:pPr>
                    <w:topLinePunct/>
                    <w:adjustRightInd w:val="0"/>
                    <w:snapToGrid w:val="0"/>
                    <w:jc w:val="center"/>
                    <w:rPr>
                      <w:rFonts w:ascii="Times New Roman" w:hAnsi="Times New Roman"/>
                      <w:snapToGrid w:val="0"/>
                      <w:color w:val="auto"/>
                      <w:szCs w:val="21"/>
                    </w:rPr>
                  </w:pPr>
                </w:p>
              </w:tc>
              <w:tc>
                <w:tcPr>
                  <w:tcW w:w="451" w:type="pct"/>
                  <w:tcBorders>
                    <w:tl2br w:val="nil"/>
                    <w:tr2bl w:val="nil"/>
                  </w:tcBorders>
                  <w:vAlign w:val="center"/>
                </w:tcPr>
                <w:p w14:paraId="3EAA8D49">
                  <w:pPr>
                    <w:adjustRightInd w:val="0"/>
                    <w:snapToGrid w:val="0"/>
                    <w:jc w:val="center"/>
                    <w:rPr>
                      <w:rFonts w:ascii="Times New Roman" w:hAnsi="Times New Roman"/>
                      <w:color w:val="auto"/>
                      <w:kern w:val="0"/>
                      <w:szCs w:val="21"/>
                    </w:rPr>
                  </w:pPr>
                  <w:r>
                    <w:rPr>
                      <w:rFonts w:ascii="Times New Roman" w:hAnsi="Times New Roman"/>
                      <w:color w:val="auto"/>
                      <w:szCs w:val="21"/>
                    </w:rPr>
                    <w:t>资源利用效率</w:t>
                  </w:r>
                </w:p>
              </w:tc>
              <w:tc>
                <w:tcPr>
                  <w:tcW w:w="2356" w:type="pct"/>
                  <w:tcBorders>
                    <w:tl2br w:val="nil"/>
                    <w:tr2bl w:val="nil"/>
                  </w:tcBorders>
                  <w:vAlign w:val="center"/>
                </w:tcPr>
                <w:p w14:paraId="2FFB01DC">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坚持以水而定、量水而行，统筹生活、生产和生态用水，科学合理配置水资源，保障河湖基本生态用水。确定河流生态需水量，确保河流生态系统功能。通过电站引水闸的调节，使最低下泄流量不小于河道所需的最小生态径流，以维持下游生物的最小生态需水，以维持坝下游最小生态需水。2.加强南盘江、北盘江、牛栏江等生态流量保障工程建设，合理安排闸坝下泄水量和泄洪时段，维护河湖基本生态用水需求，重点保障、生态敏感区生态流量。3.加快建设麒麟区、沾益区、马龙区水系连通工程，形成独木水库—水城水库—潇湘水库—潇湘江等6条生态流量通道，生态流量月保障程度达到90%以上，加强牛栏江流域水资源配置和调度管理，保障公锁、土格樟、黄梨树、黑山河流控制断面和苏斗河水库、金乐水库、长海子水库3个水库控制断面生态基流，确保生态流量泄放，确保德泽水库下泄流量在丰水期和枯水期分别达到16立方米/秒和5.4立方米/秒。4.建立水资源刚性约束制度，实行水资源消耗总量和强度双控，严格实施取水许可和水资源有偿使用制度，强化用水全过程管理，深入抓好工业、城镇、农业等方面用水量控制，严格规范取水许可审批管理。5.大力推进各县（市、区）农业、工业、城镇节水，扩大曲靖市县域节水型社会比例。强化农业节水，优化农业种植结构，加大农业节水力度，加快实施规模化高效节水灌溉行动。推广和普及田间节水技术，开辟抗旱水源，科学调度抗旱用水。6.到2025年，曲靖市用水总量控制在18.68亿立方米以内，万元GDP用水量、万元工业增加值用水量比2020年分别不低于20%和16%，农田灌溉水利用系数不低于0.545。7.坚持最严格的耕地保护制度，坚决制止耕地“非农化”防止耕地“非粮化”。坚持节约用地，严格执行耕地占补平衡等制度，提高土地投资强度和单位面积产出水平。8.矿产能源发展区应在符合国家产业政策的前提下，依法依规办理用地手续，在符合矿产资源总体规划的前提下合理开采，促进土地集约节约利用，保护区域生态环境，避免造成地质灾害。9.到2025年，全市规模化以上工业单位增加值能耗下降16%，万元工业增加值用水量下降16%，重点耗能行业能效达到标杆水平的比例超过30%。10.加强南盘江、牛栏江等岸线保护，强化九龙河（麒麟段、会泽段、陆良段、富源段）、牛栏江（会泽段、沾益段、宣威段）、清水江（会泽段、师宗段），宣威市窑上海子、北盘江、可渡河、拖长江、西泽河、以那河，马龙区马龙河，师宗县甸溪河、篆长河，富源县、小黄泥河，会泽县以礼河、硝厂河、小江等河湖岸线保护与管控。11.在禁燃区内，禁止销售、燃用高污染燃料；禁止新建、扩建燃用高污染燃料的设施，已建成的，应当在规定的期限内改用天然气、液化石油气、电或者其他清洁能源。</w:t>
                  </w:r>
                </w:p>
              </w:tc>
              <w:tc>
                <w:tcPr>
                  <w:tcW w:w="1420" w:type="pct"/>
                  <w:tcBorders>
                    <w:tl2br w:val="nil"/>
                    <w:tr2bl w:val="nil"/>
                  </w:tcBorders>
                  <w:vAlign w:val="center"/>
                </w:tcPr>
                <w:p w14:paraId="4B8334AE">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1、项目不涉及；2、项目不涉及；3、项目不涉及；4、本项目运营期无生活废水产生；5、项目不涉及；6、项目不涉及；</w:t>
                  </w:r>
                </w:p>
                <w:p w14:paraId="0388D64D">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7、项目涉及会泽县林地、</w:t>
                  </w:r>
                  <w:r>
                    <w:rPr>
                      <w:rFonts w:hint="eastAsia" w:ascii="Times New Roman" w:hAnsi="Times New Roman"/>
                      <w:color w:val="auto"/>
                      <w:kern w:val="0"/>
                      <w:szCs w:val="21"/>
                    </w:rPr>
                    <w:t>耕地及草地</w:t>
                  </w:r>
                  <w:r>
                    <w:rPr>
                      <w:rFonts w:ascii="Times New Roman" w:hAnsi="Times New Roman"/>
                      <w:color w:val="auto"/>
                      <w:kern w:val="0"/>
                      <w:szCs w:val="21"/>
                    </w:rPr>
                    <w:t>；项目拟用地不涉及基本草原、草原公园以及《中华人民共和国草原法》第四十二条规定的不得占用的草原类型。根据会泽县各局的核查文件、项目选址踏勘及会泽县相关敏感区资料核对，本项目不涉及各类自然保护区、森林公园等生态敏感区，不涉及禁止建设、限制建设区域；8、本项目不涉及矿产能源发展区；9、本项目不涉及；10、</w:t>
                  </w:r>
                  <w:r>
                    <w:rPr>
                      <w:rFonts w:hint="eastAsia" w:ascii="Times New Roman" w:hAnsi="Times New Roman"/>
                      <w:color w:val="auto"/>
                      <w:kern w:val="0"/>
                      <w:szCs w:val="21"/>
                    </w:rPr>
                    <w:t>根据</w:t>
                  </w:r>
                  <w:r>
                    <w:rPr>
                      <w:rFonts w:ascii="Times New Roman" w:hAnsi="Times New Roman"/>
                      <w:color w:val="auto"/>
                      <w:kern w:val="0"/>
                      <w:szCs w:val="21"/>
                    </w:rPr>
                    <w:t>曲靖市生态环境局会泽分局关于</w:t>
                  </w:r>
                  <w:r>
                    <w:rPr>
                      <w:rFonts w:hint="eastAsia" w:ascii="Times New Roman" w:hAnsi="Times New Roman"/>
                      <w:color w:val="auto"/>
                      <w:kern w:val="0"/>
                      <w:szCs w:val="21"/>
                    </w:rPr>
                    <w:t>六合一至乐业变220kV送出线路工程</w:t>
                  </w:r>
                  <w:r>
                    <w:rPr>
                      <w:rFonts w:ascii="Times New Roman" w:hAnsi="Times New Roman"/>
                      <w:color w:val="auto"/>
                      <w:kern w:val="0"/>
                      <w:szCs w:val="21"/>
                    </w:rPr>
                    <w:t>项目（饮用水源地部分）查询情况说明，项目选址点位不涉及会泽县已批复集中式</w:t>
                  </w:r>
                  <w:r>
                    <w:rPr>
                      <w:rFonts w:hint="eastAsia" w:ascii="Times New Roman" w:hAnsi="Times New Roman"/>
                      <w:color w:val="auto"/>
                      <w:kern w:val="0"/>
                      <w:szCs w:val="21"/>
                      <w:lang w:eastAsia="zh-CN"/>
                    </w:rPr>
                    <w:t>饮用水水源保护区</w:t>
                  </w:r>
                  <w:r>
                    <w:rPr>
                      <w:rFonts w:ascii="Times New Roman" w:hAnsi="Times New Roman"/>
                      <w:color w:val="auto"/>
                      <w:kern w:val="0"/>
                      <w:szCs w:val="21"/>
                    </w:rPr>
                    <w:t>，项目选址不涉及会泽县境内黄泥河、九龙河、南盘江、清水江和规模以下河流（渠道）管理范围。</w:t>
                  </w:r>
                  <w:r>
                    <w:rPr>
                      <w:rFonts w:ascii="Times New Roman" w:hAnsi="Times New Roman"/>
                      <w:color w:val="auto"/>
                      <w:szCs w:val="21"/>
                    </w:rPr>
                    <w:t>对区域地表水环境影响可接受</w:t>
                  </w:r>
                  <w:r>
                    <w:rPr>
                      <w:rFonts w:ascii="Times New Roman" w:hAnsi="Times New Roman"/>
                      <w:color w:val="auto"/>
                      <w:kern w:val="0"/>
                      <w:szCs w:val="21"/>
                    </w:rPr>
                    <w:t>；11、本项目不使用高污染燃料，项目为输变电项目，电作为能源。</w:t>
                  </w:r>
                </w:p>
              </w:tc>
              <w:tc>
                <w:tcPr>
                  <w:tcW w:w="341" w:type="pct"/>
                  <w:tcBorders>
                    <w:tl2br w:val="nil"/>
                    <w:tr2bl w:val="nil"/>
                  </w:tcBorders>
                  <w:vAlign w:val="center"/>
                </w:tcPr>
                <w:p w14:paraId="3391E85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0EA6B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tcBorders>
                    <w:tl2br w:val="nil"/>
                    <w:tr2bl w:val="nil"/>
                  </w:tcBorders>
                  <w:vAlign w:val="center"/>
                </w:tcPr>
                <w:p w14:paraId="1BC0670D">
                  <w:pPr>
                    <w:topLinePunct/>
                    <w:adjustRightInd w:val="0"/>
                    <w:snapToGrid w:val="0"/>
                    <w:jc w:val="center"/>
                    <w:rPr>
                      <w:rFonts w:ascii="Times New Roman" w:hAnsi="Times New Roman"/>
                      <w:snapToGrid w:val="0"/>
                      <w:color w:val="auto"/>
                      <w:szCs w:val="21"/>
                    </w:rPr>
                  </w:pPr>
                  <w:r>
                    <w:rPr>
                      <w:rFonts w:ascii="Times New Roman" w:hAnsi="Times New Roman"/>
                      <w:color w:val="auto"/>
                      <w:kern w:val="0"/>
                      <w:szCs w:val="21"/>
                    </w:rPr>
                    <w:t>各县（市、区）生态保护红线优先保护单元</w:t>
                  </w:r>
                </w:p>
              </w:tc>
              <w:tc>
                <w:tcPr>
                  <w:tcW w:w="451" w:type="pct"/>
                  <w:tcBorders>
                    <w:tl2br w:val="nil"/>
                    <w:tr2bl w:val="nil"/>
                  </w:tcBorders>
                  <w:vAlign w:val="center"/>
                </w:tcPr>
                <w:p w14:paraId="3F3E194B">
                  <w:pPr>
                    <w:widowControl/>
                    <w:adjustRightInd w:val="0"/>
                    <w:snapToGrid w:val="0"/>
                    <w:jc w:val="center"/>
                    <w:rPr>
                      <w:rFonts w:ascii="Times New Roman" w:hAnsi="Times New Roman"/>
                      <w:color w:val="auto"/>
                      <w:szCs w:val="21"/>
                    </w:rPr>
                  </w:pPr>
                  <w:r>
                    <w:rPr>
                      <w:rFonts w:ascii="Times New Roman" w:hAnsi="Times New Roman"/>
                      <w:snapToGrid w:val="0"/>
                      <w:color w:val="auto"/>
                      <w:szCs w:val="21"/>
                    </w:rPr>
                    <w:t>管控要求</w:t>
                  </w:r>
                </w:p>
              </w:tc>
              <w:tc>
                <w:tcPr>
                  <w:tcW w:w="2356" w:type="pct"/>
                  <w:tcBorders>
                    <w:tl2br w:val="nil"/>
                    <w:tr2bl w:val="nil"/>
                  </w:tcBorders>
                  <w:vAlign w:val="center"/>
                </w:tcPr>
                <w:p w14:paraId="4C5D153B">
                  <w:pPr>
                    <w:widowControl/>
                    <w:adjustRightInd w:val="0"/>
                    <w:snapToGrid w:val="0"/>
                    <w:jc w:val="center"/>
                    <w:rPr>
                      <w:rFonts w:ascii="Times New Roman" w:hAnsi="Times New Roman"/>
                      <w:color w:val="auto"/>
                      <w:kern w:val="0"/>
                      <w:szCs w:val="21"/>
                    </w:rPr>
                  </w:pPr>
                  <w:r>
                    <w:rPr>
                      <w:rFonts w:ascii="Times New Roman" w:hAnsi="Times New Roman"/>
                      <w:snapToGrid w:val="0"/>
                      <w:color w:val="auto"/>
                      <w:szCs w:val="21"/>
                    </w:rPr>
                    <w:t>按《自然资源部 生态环境部 国家林业和草原局关于加强生态保护红线管理的通知（试行）》（自然资发〔2022〕142号）和《云南省自然资源厅 云南省生态环境厅 云南省林业和草原局关于加强生态保护红线管理工作的通知》（云自然资﹝2023﹞98号）执行。后续若国家和省生态保护红线相关管控政策发生调整，按调整后的管控办法执行。自然保护地优化整合成果获批前，按现行有效法律法规管理。</w:t>
                  </w:r>
                </w:p>
              </w:tc>
              <w:tc>
                <w:tcPr>
                  <w:tcW w:w="1420" w:type="pct"/>
                  <w:tcBorders>
                    <w:tl2br w:val="nil"/>
                    <w:tr2bl w:val="nil"/>
                  </w:tcBorders>
                  <w:vAlign w:val="center"/>
                </w:tcPr>
                <w:p w14:paraId="2A04611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不涉及占用生态保护红线</w:t>
                  </w:r>
                </w:p>
              </w:tc>
              <w:tc>
                <w:tcPr>
                  <w:tcW w:w="341" w:type="pct"/>
                  <w:tcBorders>
                    <w:tl2br w:val="nil"/>
                    <w:tr2bl w:val="nil"/>
                  </w:tcBorders>
                  <w:vAlign w:val="center"/>
                </w:tcPr>
                <w:p w14:paraId="050E3F8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6C5D4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restart"/>
                  <w:tcBorders>
                    <w:tl2br w:val="nil"/>
                    <w:tr2bl w:val="nil"/>
                  </w:tcBorders>
                  <w:vAlign w:val="center"/>
                </w:tcPr>
                <w:p w14:paraId="2D418F1E">
                  <w:pPr>
                    <w:topLinePunct/>
                    <w:adjustRightInd w:val="0"/>
                    <w:snapToGrid w:val="0"/>
                    <w:jc w:val="center"/>
                    <w:rPr>
                      <w:rFonts w:ascii="Times New Roman" w:hAnsi="Times New Roman"/>
                      <w:color w:val="auto"/>
                      <w:kern w:val="0"/>
                      <w:szCs w:val="21"/>
                    </w:rPr>
                  </w:pPr>
                  <w:r>
                    <w:rPr>
                      <w:rFonts w:ascii="Times New Roman" w:hAnsi="Times New Roman"/>
                      <w:color w:val="auto"/>
                      <w:kern w:val="0"/>
                      <w:szCs w:val="21"/>
                    </w:rPr>
                    <w:t>会泽县乡镇生活污染重点管控单元</w:t>
                  </w:r>
                </w:p>
              </w:tc>
              <w:tc>
                <w:tcPr>
                  <w:tcW w:w="451" w:type="pct"/>
                  <w:tcBorders>
                    <w:tl2br w:val="nil"/>
                    <w:tr2bl w:val="nil"/>
                  </w:tcBorders>
                  <w:vAlign w:val="center"/>
                </w:tcPr>
                <w:p w14:paraId="471C36E8">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空间布局约束</w:t>
                  </w:r>
                </w:p>
              </w:tc>
              <w:tc>
                <w:tcPr>
                  <w:tcW w:w="2356" w:type="pct"/>
                  <w:tcBorders>
                    <w:tl2br w:val="nil"/>
                    <w:tr2bl w:val="nil"/>
                  </w:tcBorders>
                  <w:vAlign w:val="center"/>
                </w:tcPr>
                <w:p w14:paraId="20734749">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1.禁止在人口集中地区、交通干线附近和其他依法需要特殊保护的区域内焚烧沥青、油毡、橡胶、塑料、皮革、秸秆、落叶、垃圾以及其他产生有毒有害烟尘和恶臭气体的物质。2.在居民楼、商住综合楼以及商住综合楼内与居住层相邻的商业楼层内新建、改建、扩建的餐饮服务项目，应做好相应污染防治措施，确保污染物达标排放。</w:t>
                  </w:r>
                </w:p>
              </w:tc>
              <w:tc>
                <w:tcPr>
                  <w:tcW w:w="1420" w:type="pct"/>
                  <w:tcBorders>
                    <w:tl2br w:val="nil"/>
                    <w:tr2bl w:val="nil"/>
                  </w:tcBorders>
                  <w:shd w:val="clear" w:color="auto" w:fill="auto"/>
                  <w:vAlign w:val="center"/>
                </w:tcPr>
                <w:p w14:paraId="01828FAB">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r>
                    <w:rPr>
                      <w:rFonts w:hint="eastAsia" w:ascii="Times New Roman" w:hAnsi="Times New Roman"/>
                      <w:color w:val="auto"/>
                      <w:kern w:val="0"/>
                      <w:szCs w:val="21"/>
                    </w:rPr>
                    <w:t>不涉及</w:t>
                  </w:r>
                  <w:r>
                    <w:rPr>
                      <w:rFonts w:ascii="Times New Roman" w:hAnsi="Times New Roman"/>
                      <w:color w:val="auto"/>
                      <w:szCs w:val="21"/>
                    </w:rPr>
                    <w:t>；</w:t>
                  </w:r>
                  <w:r>
                    <w:rPr>
                      <w:rFonts w:ascii="Times New Roman" w:hAnsi="Times New Roman"/>
                      <w:color w:val="auto"/>
                      <w:kern w:val="0"/>
                      <w:szCs w:val="21"/>
                    </w:rPr>
                    <w:t>2、本项目为输变电项目，</w:t>
                  </w:r>
                  <w:r>
                    <w:rPr>
                      <w:rFonts w:hint="eastAsia" w:ascii="Times New Roman" w:hAnsi="Times New Roman"/>
                      <w:color w:val="auto"/>
                      <w:kern w:val="0"/>
                      <w:szCs w:val="21"/>
                    </w:rPr>
                    <w:t>不涉及在居民楼、商住综合楼以及商住综合楼内与居住层相邻的商业楼层内新建、改建、扩建的餐饮服务项目</w:t>
                  </w:r>
                </w:p>
              </w:tc>
              <w:tc>
                <w:tcPr>
                  <w:tcW w:w="341" w:type="pct"/>
                  <w:tcBorders>
                    <w:tl2br w:val="nil"/>
                    <w:tr2bl w:val="nil"/>
                  </w:tcBorders>
                  <w:vAlign w:val="center"/>
                </w:tcPr>
                <w:p w14:paraId="08CE45ED">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5139A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5296427D">
                  <w:pPr>
                    <w:topLinePunct/>
                    <w:adjustRightInd w:val="0"/>
                    <w:snapToGrid w:val="0"/>
                    <w:jc w:val="center"/>
                    <w:rPr>
                      <w:rFonts w:ascii="Times New Roman" w:hAnsi="Times New Roman"/>
                      <w:color w:val="auto"/>
                      <w:kern w:val="0"/>
                      <w:szCs w:val="21"/>
                    </w:rPr>
                  </w:pPr>
                </w:p>
              </w:tc>
              <w:tc>
                <w:tcPr>
                  <w:tcW w:w="451" w:type="pct"/>
                  <w:tcBorders>
                    <w:tl2br w:val="nil"/>
                    <w:tr2bl w:val="nil"/>
                  </w:tcBorders>
                  <w:vAlign w:val="center"/>
                </w:tcPr>
                <w:p w14:paraId="69818EF2">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污染物排放管控</w:t>
                  </w:r>
                </w:p>
              </w:tc>
              <w:tc>
                <w:tcPr>
                  <w:tcW w:w="2356" w:type="pct"/>
                  <w:tcBorders>
                    <w:tl2br w:val="nil"/>
                    <w:tr2bl w:val="nil"/>
                  </w:tcBorders>
                  <w:vAlign w:val="center"/>
                </w:tcPr>
                <w:p w14:paraId="2A55DC71">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1.推进乡镇生活污水收集和处理工程建设进度，逐步提升污水管网覆盖范围，确保建成区生活污水、医疗机构废水得到妥善处理处置。</w:t>
                  </w:r>
                  <w:r>
                    <w:rPr>
                      <w:rFonts w:ascii="Times New Roman" w:hAnsi="Times New Roman"/>
                      <w:snapToGrid w:val="0"/>
                      <w:color w:val="auto"/>
                      <w:szCs w:val="21"/>
                    </w:rPr>
                    <w:br w:type="textWrapping"/>
                  </w:r>
                  <w:r>
                    <w:rPr>
                      <w:rFonts w:ascii="Times New Roman" w:hAnsi="Times New Roman"/>
                      <w:snapToGrid w:val="0"/>
                      <w:color w:val="auto"/>
                      <w:szCs w:val="21"/>
                    </w:rPr>
                    <w:t>2.大力推进生活垃圾分类回收利用，建立分类投放、收集、运输、处理的生活垃圾收运处理系统。</w:t>
                  </w:r>
                </w:p>
              </w:tc>
              <w:tc>
                <w:tcPr>
                  <w:tcW w:w="1420" w:type="pct"/>
                  <w:tcBorders>
                    <w:tl2br w:val="nil"/>
                    <w:tr2bl w:val="nil"/>
                  </w:tcBorders>
                  <w:shd w:val="clear" w:color="auto" w:fill="auto"/>
                  <w:vAlign w:val="center"/>
                </w:tcPr>
                <w:p w14:paraId="3AF69E90">
                  <w:pPr>
                    <w:widowControl/>
                    <w:adjustRightInd w:val="0"/>
                    <w:snapToGrid w:val="0"/>
                    <w:jc w:val="center"/>
                    <w:rPr>
                      <w:rFonts w:ascii="Times New Roman" w:hAnsi="Times New Roman"/>
                      <w:color w:val="auto"/>
                      <w:kern w:val="0"/>
                      <w:szCs w:val="21"/>
                    </w:rPr>
                  </w:pPr>
                  <w:r>
                    <w:rPr>
                      <w:rFonts w:ascii="Times New Roman" w:hAnsi="Times New Roman"/>
                      <w:color w:val="auto"/>
                    </w:rPr>
                    <w:t>1、本项目无废水产生</w:t>
                  </w:r>
                  <w:r>
                    <w:rPr>
                      <w:rFonts w:ascii="Times New Roman" w:hAnsi="Times New Roman"/>
                      <w:color w:val="auto"/>
                      <w:szCs w:val="24"/>
                    </w:rPr>
                    <w:t>。</w:t>
                  </w:r>
                  <w:r>
                    <w:rPr>
                      <w:rFonts w:ascii="Times New Roman" w:hAnsi="Times New Roman"/>
                      <w:color w:val="auto"/>
                    </w:rPr>
                    <w:t>2</w:t>
                  </w:r>
                  <w:r>
                    <w:rPr>
                      <w:rFonts w:ascii="Times New Roman" w:hAnsi="Times New Roman"/>
                      <w:color w:val="auto"/>
                      <w:szCs w:val="24"/>
                    </w:rPr>
                    <w:t>、</w:t>
                  </w:r>
                  <w:r>
                    <w:rPr>
                      <w:rFonts w:ascii="Times New Roman" w:hAnsi="Times New Roman"/>
                      <w:color w:val="auto"/>
                    </w:rPr>
                    <w:t>项目运营期无废水外排，无废气产生，产噪设备较少，固体废物得到妥善处置，项目运营对区域环境影响较小，不会改变区域环境质量。</w:t>
                  </w:r>
                </w:p>
              </w:tc>
              <w:tc>
                <w:tcPr>
                  <w:tcW w:w="341" w:type="pct"/>
                  <w:tcBorders>
                    <w:tl2br w:val="nil"/>
                    <w:tr2bl w:val="nil"/>
                  </w:tcBorders>
                  <w:vAlign w:val="center"/>
                </w:tcPr>
                <w:p w14:paraId="222DC70B">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4EF36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2B6787A1">
                  <w:pPr>
                    <w:topLinePunct/>
                    <w:adjustRightInd w:val="0"/>
                    <w:snapToGrid w:val="0"/>
                    <w:jc w:val="center"/>
                    <w:rPr>
                      <w:rFonts w:ascii="Times New Roman" w:hAnsi="Times New Roman"/>
                      <w:color w:val="auto"/>
                      <w:kern w:val="0"/>
                      <w:szCs w:val="21"/>
                    </w:rPr>
                  </w:pPr>
                </w:p>
              </w:tc>
              <w:tc>
                <w:tcPr>
                  <w:tcW w:w="451" w:type="pct"/>
                  <w:tcBorders>
                    <w:tl2br w:val="nil"/>
                    <w:tr2bl w:val="nil"/>
                  </w:tcBorders>
                  <w:vAlign w:val="center"/>
                </w:tcPr>
                <w:p w14:paraId="3DCB04E1">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环境风险防控</w:t>
                  </w:r>
                </w:p>
              </w:tc>
              <w:tc>
                <w:tcPr>
                  <w:tcW w:w="2356" w:type="pct"/>
                  <w:tcBorders>
                    <w:tl2br w:val="nil"/>
                    <w:tr2bl w:val="nil"/>
                  </w:tcBorders>
                  <w:vAlign w:val="center"/>
                </w:tcPr>
                <w:p w14:paraId="3086F9F7">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1.禁止使用国家规定的禁限用农药名录中的农药。2.加强环境风险防范应急体系建设，加强环境应急预案管理，定期开展应急演练，持续开展环境安全隐患排查整治，提升应急监测能力，加强应急物资管理。</w:t>
                  </w:r>
                </w:p>
              </w:tc>
              <w:tc>
                <w:tcPr>
                  <w:tcW w:w="1420" w:type="pct"/>
                  <w:tcBorders>
                    <w:tl2br w:val="nil"/>
                    <w:tr2bl w:val="nil"/>
                  </w:tcBorders>
                  <w:shd w:val="clear" w:color="auto" w:fill="auto"/>
                  <w:vAlign w:val="center"/>
                </w:tcPr>
                <w:p w14:paraId="4530447C">
                  <w:pPr>
                    <w:topLinePunct/>
                    <w:adjustRightInd w:val="0"/>
                    <w:snapToGrid w:val="0"/>
                    <w:jc w:val="center"/>
                    <w:rPr>
                      <w:rFonts w:ascii="Times New Roman" w:hAnsi="Times New Roman"/>
                      <w:color w:val="auto"/>
                      <w:kern w:val="0"/>
                      <w:szCs w:val="21"/>
                    </w:rPr>
                  </w:pPr>
                  <w:r>
                    <w:rPr>
                      <w:rFonts w:ascii="Times New Roman" w:hAnsi="Times New Roman"/>
                      <w:color w:val="auto"/>
                    </w:rPr>
                    <w:t>1、本项目禁止使用国家规定的禁限用农药名录中的农药。2、本项</w:t>
                  </w:r>
                  <w:r>
                    <w:rPr>
                      <w:rFonts w:hint="eastAsia" w:ascii="Times New Roman" w:hAnsi="Times New Roman"/>
                      <w:color w:val="auto"/>
                    </w:rPr>
                    <w:t>目具</w:t>
                  </w:r>
                  <w:r>
                    <w:rPr>
                      <w:rFonts w:ascii="Times New Roman" w:hAnsi="Times New Roman"/>
                      <w:color w:val="auto"/>
                    </w:rPr>
                    <w:t>有</w:t>
                  </w:r>
                  <w:r>
                    <w:rPr>
                      <w:rFonts w:hint="eastAsia" w:ascii="Times New Roman" w:hAnsi="Times New Roman"/>
                      <w:color w:val="auto"/>
                    </w:rPr>
                    <w:t>完善</w:t>
                  </w:r>
                  <w:r>
                    <w:rPr>
                      <w:rFonts w:ascii="Times New Roman" w:hAnsi="Times New Roman"/>
                      <w:color w:val="auto"/>
                    </w:rPr>
                    <w:t>的污染防治机制（制度、设施等），后续将按要求编制处理环境污染事故的应急预案</w:t>
                  </w:r>
                </w:p>
              </w:tc>
              <w:tc>
                <w:tcPr>
                  <w:tcW w:w="341" w:type="pct"/>
                  <w:tcBorders>
                    <w:tl2br w:val="nil"/>
                    <w:tr2bl w:val="nil"/>
                  </w:tcBorders>
                  <w:vAlign w:val="center"/>
                </w:tcPr>
                <w:p w14:paraId="67C01506">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2738BA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6AEC0254">
                  <w:pPr>
                    <w:topLinePunct/>
                    <w:adjustRightInd w:val="0"/>
                    <w:snapToGrid w:val="0"/>
                    <w:jc w:val="center"/>
                    <w:rPr>
                      <w:rFonts w:ascii="Times New Roman" w:hAnsi="Times New Roman"/>
                      <w:color w:val="auto"/>
                      <w:kern w:val="0"/>
                      <w:szCs w:val="21"/>
                    </w:rPr>
                  </w:pPr>
                </w:p>
              </w:tc>
              <w:tc>
                <w:tcPr>
                  <w:tcW w:w="451" w:type="pct"/>
                  <w:tcBorders>
                    <w:tl2br w:val="nil"/>
                    <w:tr2bl w:val="nil"/>
                  </w:tcBorders>
                  <w:vAlign w:val="center"/>
                </w:tcPr>
                <w:p w14:paraId="7B224C85">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资源开发效率要求</w:t>
                  </w:r>
                </w:p>
              </w:tc>
              <w:tc>
                <w:tcPr>
                  <w:tcW w:w="2356" w:type="pct"/>
                  <w:tcBorders>
                    <w:tl2br w:val="nil"/>
                    <w:tr2bl w:val="nil"/>
                  </w:tcBorders>
                  <w:vAlign w:val="center"/>
                </w:tcPr>
                <w:p w14:paraId="6DDE7BD5">
                  <w:pPr>
                    <w:widowControl/>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1.优化能源结构，加强能源清洁利用。2.提高土地利用效率，节约集约利用土地资源。</w:t>
                  </w:r>
                </w:p>
              </w:tc>
              <w:tc>
                <w:tcPr>
                  <w:tcW w:w="1420" w:type="pct"/>
                  <w:tcBorders>
                    <w:tl2br w:val="nil"/>
                    <w:tr2bl w:val="nil"/>
                  </w:tcBorders>
                  <w:shd w:val="clear" w:color="auto" w:fill="auto"/>
                  <w:vAlign w:val="center"/>
                </w:tcPr>
                <w:p w14:paraId="0B417B6A">
                  <w:pPr>
                    <w:topLinePunct/>
                    <w:adjustRightInd w:val="0"/>
                    <w:snapToGrid w:val="0"/>
                    <w:jc w:val="center"/>
                    <w:rPr>
                      <w:rFonts w:ascii="Times New Roman" w:hAnsi="Times New Roman"/>
                      <w:color w:val="auto"/>
                      <w:kern w:val="0"/>
                      <w:szCs w:val="21"/>
                    </w:rPr>
                  </w:pPr>
                  <w:r>
                    <w:rPr>
                      <w:rFonts w:ascii="Times New Roman" w:hAnsi="Times New Roman"/>
                      <w:color w:val="auto"/>
                    </w:rPr>
                    <w:t>1、本项目属于清洁能源项目；2、本项目优化占地，提高土地利用率，节约土地资源。</w:t>
                  </w:r>
                </w:p>
              </w:tc>
              <w:tc>
                <w:tcPr>
                  <w:tcW w:w="341" w:type="pct"/>
                  <w:tcBorders>
                    <w:tl2br w:val="nil"/>
                    <w:tr2bl w:val="nil"/>
                  </w:tcBorders>
                  <w:vAlign w:val="center"/>
                </w:tcPr>
                <w:p w14:paraId="6A284DA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59A1F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tcBorders>
                    <w:tl2br w:val="nil"/>
                    <w:tr2bl w:val="nil"/>
                  </w:tcBorders>
                  <w:shd w:val="clear" w:color="auto" w:fill="auto"/>
                  <w:vAlign w:val="center"/>
                </w:tcPr>
                <w:p w14:paraId="464CBE0D">
                  <w:pPr>
                    <w:topLinePunct/>
                    <w:adjustRightInd w:val="0"/>
                    <w:snapToGrid w:val="0"/>
                    <w:jc w:val="center"/>
                    <w:rPr>
                      <w:rFonts w:ascii="Times New Roman" w:hAnsi="Times New Roman"/>
                      <w:snapToGrid w:val="0"/>
                      <w:color w:val="auto"/>
                      <w:szCs w:val="21"/>
                    </w:rPr>
                  </w:pPr>
                  <w:r>
                    <w:rPr>
                      <w:rFonts w:ascii="Times New Roman" w:hAnsi="Times New Roman"/>
                      <w:color w:val="auto"/>
                      <w:kern w:val="0"/>
                      <w:szCs w:val="21"/>
                    </w:rPr>
                    <w:t>各县（市、区）一般生态空间优先保护单元</w:t>
                  </w:r>
                </w:p>
              </w:tc>
              <w:tc>
                <w:tcPr>
                  <w:tcW w:w="451" w:type="pct"/>
                  <w:tcBorders>
                    <w:tl2br w:val="nil"/>
                    <w:tr2bl w:val="nil"/>
                  </w:tcBorders>
                  <w:shd w:val="clear" w:color="auto" w:fill="auto"/>
                  <w:vAlign w:val="center"/>
                </w:tcPr>
                <w:p w14:paraId="0923CC0C">
                  <w:pPr>
                    <w:widowControl/>
                    <w:adjustRightInd w:val="0"/>
                    <w:snapToGrid w:val="0"/>
                    <w:jc w:val="center"/>
                    <w:rPr>
                      <w:rFonts w:ascii="Times New Roman" w:hAnsi="Times New Roman"/>
                      <w:color w:val="auto"/>
                      <w:szCs w:val="21"/>
                    </w:rPr>
                  </w:pPr>
                  <w:r>
                    <w:rPr>
                      <w:rFonts w:ascii="Times New Roman" w:hAnsi="Times New Roman"/>
                      <w:snapToGrid w:val="0"/>
                      <w:color w:val="auto"/>
                      <w:szCs w:val="21"/>
                    </w:rPr>
                    <w:t>管控要求</w:t>
                  </w:r>
                </w:p>
              </w:tc>
              <w:tc>
                <w:tcPr>
                  <w:tcW w:w="2356" w:type="pct"/>
                  <w:tcBorders>
                    <w:tl2br w:val="nil"/>
                    <w:tr2bl w:val="nil"/>
                  </w:tcBorders>
                  <w:shd w:val="clear" w:color="auto" w:fill="auto"/>
                  <w:vAlign w:val="center"/>
                </w:tcPr>
                <w:p w14:paraId="3D579B3C">
                  <w:pPr>
                    <w:widowControl/>
                    <w:adjustRightInd w:val="0"/>
                    <w:snapToGrid w:val="0"/>
                    <w:jc w:val="center"/>
                    <w:rPr>
                      <w:rFonts w:ascii="Times New Roman" w:hAnsi="Times New Roman"/>
                      <w:color w:val="auto"/>
                      <w:kern w:val="0"/>
                      <w:szCs w:val="21"/>
                    </w:rPr>
                  </w:pPr>
                  <w:r>
                    <w:rPr>
                      <w:rFonts w:ascii="Times New Roman" w:hAnsi="Times New Roman"/>
                      <w:color w:val="auto"/>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2.暂未纳入生态保护红线的自然保护地按照相关保护地法律法规进行管理；自然保护地优化整合成果获批前，按现行有效法律法规管理。重要湿地依据《湿地保护管理规定》《云南省湿地保护条例》《云南省人民政府关于加强湿地保护工作的意见》等进行管理；生态公益林依据《国家级公益林管理办法》《云南省地方公益林管理办法》进行管理；天然林依据《</w:t>
                  </w:r>
                  <w:r>
                    <w:rPr>
                      <w:rFonts w:hint="eastAsia" w:ascii="Times New Roman" w:hAnsi="Times New Roman"/>
                      <w:color w:val="auto"/>
                    </w:rPr>
                    <w:t>国家林业和草原局</w:t>
                  </w:r>
                  <w:r>
                    <w:rPr>
                      <w:rFonts w:ascii="Times New Roman" w:hAnsi="Times New Roman"/>
                      <w:color w:val="auto"/>
                    </w:rPr>
                    <w:t>关于严格保护天然林的通知》（林资发〔2015〕181号）、《中共中央办公厅 国务院办公厅关于印发〈天然林保护修复制度方案〉的通知》（厅字〔2019〕39号）等进行管理。</w:t>
                  </w:r>
                </w:p>
              </w:tc>
              <w:tc>
                <w:tcPr>
                  <w:tcW w:w="1420" w:type="pct"/>
                  <w:tcBorders>
                    <w:tl2br w:val="nil"/>
                    <w:tr2bl w:val="nil"/>
                  </w:tcBorders>
                  <w:shd w:val="clear" w:color="auto" w:fill="auto"/>
                  <w:vAlign w:val="center"/>
                </w:tcPr>
                <w:p w14:paraId="64EB3372">
                  <w:pPr>
                    <w:widowControl/>
                    <w:adjustRightInd w:val="0"/>
                    <w:snapToGrid w:val="0"/>
                    <w:jc w:val="center"/>
                    <w:rPr>
                      <w:rFonts w:ascii="Times New Roman" w:hAnsi="Times New Roman"/>
                      <w:color w:val="auto"/>
                      <w:kern w:val="0"/>
                      <w:szCs w:val="21"/>
                    </w:rPr>
                  </w:pPr>
                  <w:r>
                    <w:rPr>
                      <w:rFonts w:ascii="Times New Roman" w:hAnsi="Times New Roman"/>
                      <w:color w:val="auto"/>
                    </w:rPr>
                    <w:t>1、本项目不涉及垦殖、放牧、采伐、渔猎、旅游等活动</w:t>
                  </w:r>
                  <w:r>
                    <w:rPr>
                      <w:rFonts w:ascii="Times New Roman" w:hAnsi="Times New Roman"/>
                      <w:color w:val="auto"/>
                      <w:szCs w:val="24"/>
                    </w:rPr>
                    <w:t>。</w:t>
                  </w:r>
                  <w:r>
                    <w:rPr>
                      <w:rFonts w:ascii="Times New Roman" w:hAnsi="Times New Roman"/>
                      <w:color w:val="auto"/>
                    </w:rPr>
                    <w:t>2</w:t>
                  </w:r>
                  <w:r>
                    <w:rPr>
                      <w:rFonts w:ascii="Times New Roman" w:hAnsi="Times New Roman"/>
                      <w:color w:val="auto"/>
                      <w:szCs w:val="24"/>
                    </w:rPr>
                    <w:t>、</w:t>
                  </w:r>
                  <w:r>
                    <w:rPr>
                      <w:rFonts w:ascii="Times New Roman" w:hAnsi="Times New Roman"/>
                      <w:color w:val="auto"/>
                      <w:kern w:val="0"/>
                      <w:szCs w:val="21"/>
                    </w:rPr>
                    <w:t>项目也不涉及未划入生态保护红线的自然保护地、饮用水水源保护区、重要湿地；项目已</w:t>
                  </w:r>
                  <w:r>
                    <w:rPr>
                      <w:rFonts w:ascii="Times New Roman" w:hAnsi="Times New Roman"/>
                      <w:color w:val="auto"/>
                      <w:kern w:val="0"/>
                      <w:szCs w:val="21"/>
                      <w:lang w:val="zh-CN"/>
                    </w:rPr>
                    <w:t>避开长势较好的自然植被（</w:t>
                  </w:r>
                  <w:r>
                    <w:rPr>
                      <w:rFonts w:ascii="Times New Roman" w:hAnsi="Times New Roman"/>
                      <w:color w:val="auto"/>
                      <w:kern w:val="0"/>
                      <w:szCs w:val="21"/>
                    </w:rPr>
                    <w:t>天然乔木林、天然林及公益林</w:t>
                  </w:r>
                  <w:r>
                    <w:rPr>
                      <w:rFonts w:ascii="Times New Roman" w:hAnsi="Times New Roman"/>
                      <w:color w:val="auto"/>
                      <w:kern w:val="0"/>
                      <w:szCs w:val="21"/>
                      <w:lang w:val="zh-CN"/>
                    </w:rPr>
                    <w:t>），尽量选择荒草地</w:t>
                  </w:r>
                  <w:r>
                    <w:rPr>
                      <w:rFonts w:ascii="Times New Roman" w:hAnsi="Times New Roman"/>
                      <w:color w:val="auto"/>
                      <w:kern w:val="0"/>
                      <w:szCs w:val="21"/>
                    </w:rPr>
                    <w:t>和其他林地</w:t>
                  </w:r>
                  <w:r>
                    <w:rPr>
                      <w:rFonts w:ascii="Times New Roman" w:hAnsi="Times New Roman"/>
                      <w:color w:val="auto"/>
                      <w:kern w:val="0"/>
                      <w:szCs w:val="21"/>
                      <w:lang w:val="zh-CN"/>
                    </w:rPr>
                    <w:t>。</w:t>
                  </w:r>
                  <w:r>
                    <w:rPr>
                      <w:rFonts w:ascii="Times New Roman" w:hAnsi="Times New Roman"/>
                      <w:color w:val="auto"/>
                      <w:kern w:val="0"/>
                      <w:szCs w:val="21"/>
                    </w:rPr>
                    <w:t>项目涉及的会泽县一般生态空间优先保护单元</w:t>
                  </w:r>
                  <w:r>
                    <w:rPr>
                      <w:rFonts w:hint="eastAsia" w:ascii="Times New Roman" w:hAnsi="Times New Roman"/>
                      <w:color w:val="auto"/>
                      <w:kern w:val="0"/>
                      <w:szCs w:val="21"/>
                    </w:rPr>
                    <w:t>，</w:t>
                  </w:r>
                  <w:r>
                    <w:rPr>
                      <w:rFonts w:ascii="Times New Roman" w:hAnsi="Times New Roman"/>
                      <w:color w:val="auto"/>
                      <w:szCs w:val="24"/>
                    </w:rPr>
                    <w:t>依据《中华人民共和国草原法</w:t>
                  </w:r>
                  <w:r>
                    <w:rPr>
                      <w:rFonts w:hint="eastAsia" w:ascii="Times New Roman" w:hAnsi="Times New Roman"/>
                      <w:color w:val="auto"/>
                      <w:szCs w:val="24"/>
                      <w:lang w:eastAsia="zh-CN"/>
                    </w:rPr>
                    <w:t>》《</w:t>
                  </w:r>
                  <w:r>
                    <w:rPr>
                      <w:rFonts w:ascii="Times New Roman" w:hAnsi="Times New Roman"/>
                      <w:color w:val="auto"/>
                      <w:szCs w:val="24"/>
                    </w:rPr>
                    <w:t>国家级公益林管理办法</w:t>
                  </w:r>
                  <w:r>
                    <w:rPr>
                      <w:rFonts w:hint="eastAsia" w:ascii="Times New Roman" w:hAnsi="Times New Roman"/>
                      <w:color w:val="auto"/>
                      <w:szCs w:val="24"/>
                      <w:lang w:eastAsia="zh-CN"/>
                    </w:rPr>
                    <w:t>》《</w:t>
                  </w:r>
                  <w:r>
                    <w:rPr>
                      <w:rFonts w:ascii="Times New Roman" w:hAnsi="Times New Roman"/>
                      <w:color w:val="auto"/>
                      <w:szCs w:val="24"/>
                    </w:rPr>
                    <w:t>云南省地方公益林管理办法》及《</w:t>
                  </w:r>
                  <w:r>
                    <w:rPr>
                      <w:rFonts w:hint="eastAsia" w:ascii="Times New Roman" w:hAnsi="Times New Roman"/>
                      <w:color w:val="auto"/>
                      <w:szCs w:val="24"/>
                    </w:rPr>
                    <w:t>国家林业和草原局</w:t>
                  </w:r>
                  <w:r>
                    <w:rPr>
                      <w:rFonts w:ascii="Times New Roman" w:hAnsi="Times New Roman"/>
                      <w:color w:val="auto"/>
                      <w:szCs w:val="24"/>
                    </w:rPr>
                    <w:t>关于严格保护天然林的通知》（林资发〔2015〕181号）、</w:t>
                  </w:r>
                  <w:r>
                    <w:rPr>
                      <w:rFonts w:ascii="Times New Roman" w:hAnsi="Times New Roman"/>
                      <w:color w:val="auto"/>
                    </w:rPr>
                    <w:t>《中共中央办公厅 国务院办公厅关于印发〈天然林保护修复制度方案〉的通知》（厅字〔2019〕39号）</w:t>
                  </w:r>
                  <w:r>
                    <w:rPr>
                      <w:rFonts w:ascii="Times New Roman" w:hAnsi="Times New Roman"/>
                      <w:color w:val="auto"/>
                      <w:szCs w:val="24"/>
                    </w:rPr>
                    <w:t>等进行管理。</w:t>
                  </w:r>
                </w:p>
              </w:tc>
              <w:tc>
                <w:tcPr>
                  <w:tcW w:w="341" w:type="pct"/>
                  <w:tcBorders>
                    <w:tl2br w:val="nil"/>
                    <w:tr2bl w:val="nil"/>
                  </w:tcBorders>
                  <w:shd w:val="clear" w:color="auto" w:fill="auto"/>
                  <w:vAlign w:val="center"/>
                </w:tcPr>
                <w:p w14:paraId="2E2196C6">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678649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restart"/>
                  <w:tcBorders>
                    <w:tl2br w:val="nil"/>
                    <w:tr2bl w:val="nil"/>
                  </w:tcBorders>
                  <w:vAlign w:val="center"/>
                </w:tcPr>
                <w:p w14:paraId="3546E775">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一般管控单元生态环境准入清单</w:t>
                  </w:r>
                </w:p>
              </w:tc>
              <w:tc>
                <w:tcPr>
                  <w:tcW w:w="451" w:type="pct"/>
                  <w:tcBorders>
                    <w:tl2br w:val="nil"/>
                    <w:tr2bl w:val="nil"/>
                  </w:tcBorders>
                  <w:shd w:val="clear" w:color="auto" w:fill="auto"/>
                  <w:vAlign w:val="center"/>
                </w:tcPr>
                <w:p w14:paraId="7C2A4ADE">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空间布局约束</w:t>
                  </w:r>
                </w:p>
              </w:tc>
              <w:tc>
                <w:tcPr>
                  <w:tcW w:w="2356" w:type="pct"/>
                  <w:tcBorders>
                    <w:tl2br w:val="nil"/>
                    <w:tr2bl w:val="nil"/>
                  </w:tcBorders>
                  <w:shd w:val="clear" w:color="auto" w:fill="auto"/>
                  <w:vAlign w:val="center"/>
                </w:tcPr>
                <w:p w14:paraId="7D871EE8">
                  <w:pPr>
                    <w:topLinePunct/>
                    <w:adjustRightInd w:val="0"/>
                    <w:snapToGrid w:val="0"/>
                    <w:jc w:val="center"/>
                    <w:rPr>
                      <w:rFonts w:ascii="Times New Roman" w:hAnsi="Times New Roman"/>
                      <w:snapToGrid w:val="0"/>
                      <w:color w:val="auto"/>
                      <w:szCs w:val="21"/>
                    </w:rPr>
                  </w:pPr>
                  <w:r>
                    <w:rPr>
                      <w:rFonts w:ascii="Times New Roman" w:hAnsi="Times New Roman"/>
                      <w:color w:val="auto"/>
                      <w:kern w:val="0"/>
                      <w:szCs w:val="21"/>
                    </w:rPr>
                    <w:t>1.加强耕地和永久基本农田保护，坚决制止耕地“非农化”、防止耕地“非粮化”。2.禁止新建、改扩建中小水电项目，现有中小水电站应按照环评批复（环评批复未明确生态流量的根据来水量科学确定生态流量），确保连续稳定下泄生态流量。</w:t>
                  </w:r>
                </w:p>
              </w:tc>
              <w:tc>
                <w:tcPr>
                  <w:tcW w:w="1420" w:type="pct"/>
                  <w:tcBorders>
                    <w:tl2br w:val="nil"/>
                    <w:tr2bl w:val="nil"/>
                  </w:tcBorders>
                  <w:vAlign w:val="center"/>
                </w:tcPr>
                <w:p w14:paraId="43B998A7">
                  <w:pPr>
                    <w:widowControl/>
                    <w:adjustRightInd w:val="0"/>
                    <w:snapToGrid w:val="0"/>
                    <w:jc w:val="center"/>
                    <w:rPr>
                      <w:rFonts w:ascii="Times New Roman" w:hAnsi="Times New Roman"/>
                      <w:color w:val="auto"/>
                      <w:szCs w:val="21"/>
                    </w:rPr>
                  </w:pPr>
                  <w:r>
                    <w:rPr>
                      <w:rFonts w:ascii="Times New Roman" w:hAnsi="Times New Roman"/>
                      <w:color w:val="auto"/>
                      <w:kern w:val="0"/>
                      <w:szCs w:val="21"/>
                    </w:rPr>
                    <w:t>1、根据会泽县自然资源局的选址意见：项目用地范围不涉及城镇开发边界和村庄边界，不涉及生态保护红线</w:t>
                  </w:r>
                  <w:r>
                    <w:rPr>
                      <w:rFonts w:hint="eastAsia" w:ascii="Times New Roman" w:hAnsi="Times New Roman"/>
                      <w:color w:val="auto"/>
                      <w:kern w:val="0"/>
                      <w:szCs w:val="21"/>
                    </w:rPr>
                    <w:t>，</w:t>
                  </w:r>
                  <w:r>
                    <w:rPr>
                      <w:rFonts w:hint="eastAsia"/>
                      <w:color w:val="auto"/>
                      <w:szCs w:val="21"/>
                    </w:rPr>
                    <w:t>线路不可避让占用基本农田</w:t>
                  </w:r>
                  <w:r>
                    <w:rPr>
                      <w:rFonts w:hint="eastAsia" w:ascii="Times New Roman" w:hAnsi="Times New Roman"/>
                      <w:color w:val="auto"/>
                      <w:szCs w:val="21"/>
                    </w:rPr>
                    <w:t>0.238hm</w:t>
                  </w:r>
                  <w:r>
                    <w:rPr>
                      <w:rFonts w:hint="eastAsia" w:ascii="Times New Roman" w:hAnsi="Times New Roman"/>
                      <w:color w:val="auto"/>
                      <w:szCs w:val="21"/>
                      <w:vertAlign w:val="superscript"/>
                    </w:rPr>
                    <w:t>2</w:t>
                  </w:r>
                  <w:r>
                    <w:rPr>
                      <w:rFonts w:ascii="Times New Roman" w:hAnsi="Times New Roman"/>
                      <w:color w:val="auto"/>
                      <w:szCs w:val="21"/>
                    </w:rPr>
                    <w:t>，</w:t>
                  </w:r>
                  <w:r>
                    <w:rPr>
                      <w:rFonts w:hint="eastAsia" w:ascii="Times New Roman" w:hAnsi="Times New Roman"/>
                      <w:color w:val="auto"/>
                      <w:szCs w:val="21"/>
                    </w:rPr>
                    <w:t>于2026年8月20日取得会泽县自然资源局关于六合一至乐业变220kV送出线路工程占用永久基本农田不可避让的情况说明，符合《永久基本农田保护红线管理办法》的要求</w:t>
                  </w:r>
                  <w:r>
                    <w:rPr>
                      <w:rFonts w:ascii="Times New Roman" w:hAnsi="Times New Roman"/>
                      <w:color w:val="auto"/>
                      <w:szCs w:val="21"/>
                    </w:rPr>
                    <w:t>；</w:t>
                  </w:r>
                </w:p>
                <w:p w14:paraId="4222079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2、本项目为输变电项目，不属于中小水电项目。</w:t>
                  </w:r>
                </w:p>
              </w:tc>
              <w:tc>
                <w:tcPr>
                  <w:tcW w:w="341" w:type="pct"/>
                  <w:tcBorders>
                    <w:tl2br w:val="nil"/>
                    <w:tr2bl w:val="nil"/>
                  </w:tcBorders>
                  <w:vAlign w:val="center"/>
                </w:tcPr>
                <w:p w14:paraId="2E896221">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0B58F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tcBorders>
                    <w:tl2br w:val="nil"/>
                    <w:tr2bl w:val="nil"/>
                  </w:tcBorders>
                  <w:vAlign w:val="center"/>
                </w:tcPr>
                <w:p w14:paraId="25C47851">
                  <w:pPr>
                    <w:topLinePunct/>
                    <w:adjustRightInd w:val="0"/>
                    <w:snapToGrid w:val="0"/>
                    <w:jc w:val="center"/>
                    <w:rPr>
                      <w:rFonts w:ascii="Times New Roman" w:hAnsi="Times New Roman"/>
                      <w:snapToGrid w:val="0"/>
                      <w:color w:val="auto"/>
                      <w:szCs w:val="21"/>
                    </w:rPr>
                  </w:pPr>
                </w:p>
              </w:tc>
              <w:tc>
                <w:tcPr>
                  <w:tcW w:w="451" w:type="pct"/>
                  <w:tcBorders>
                    <w:tl2br w:val="nil"/>
                    <w:tr2bl w:val="nil"/>
                  </w:tcBorders>
                  <w:shd w:val="clear" w:color="auto" w:fill="auto"/>
                  <w:vAlign w:val="center"/>
                </w:tcPr>
                <w:p w14:paraId="7D487D6F">
                  <w:pPr>
                    <w:topLinePunct/>
                    <w:adjustRightInd w:val="0"/>
                    <w:snapToGrid w:val="0"/>
                    <w:jc w:val="center"/>
                    <w:rPr>
                      <w:rFonts w:ascii="Times New Roman" w:hAnsi="Times New Roman"/>
                      <w:snapToGrid w:val="0"/>
                      <w:color w:val="auto"/>
                      <w:szCs w:val="21"/>
                    </w:rPr>
                  </w:pPr>
                  <w:r>
                    <w:rPr>
                      <w:rFonts w:ascii="Times New Roman" w:hAnsi="Times New Roman"/>
                      <w:snapToGrid w:val="0"/>
                      <w:color w:val="auto"/>
                      <w:szCs w:val="21"/>
                    </w:rPr>
                    <w:t>污染物排放管控</w:t>
                  </w:r>
                </w:p>
              </w:tc>
              <w:tc>
                <w:tcPr>
                  <w:tcW w:w="2356" w:type="pct"/>
                  <w:tcBorders>
                    <w:tl2br w:val="nil"/>
                    <w:tr2bl w:val="nil"/>
                  </w:tcBorders>
                  <w:shd w:val="clear" w:color="auto" w:fill="auto"/>
                  <w:vAlign w:val="center"/>
                </w:tcPr>
                <w:p w14:paraId="61010C80">
                  <w:pPr>
                    <w:topLinePunct/>
                    <w:adjustRightInd w:val="0"/>
                    <w:snapToGrid w:val="0"/>
                    <w:jc w:val="center"/>
                    <w:rPr>
                      <w:rFonts w:ascii="Times New Roman" w:hAnsi="Times New Roman"/>
                      <w:color w:val="auto"/>
                    </w:rPr>
                  </w:pPr>
                  <w:r>
                    <w:rPr>
                      <w:rFonts w:ascii="Times New Roman" w:hAnsi="Times New Roman"/>
                      <w:color w:val="auto"/>
                    </w:rPr>
                    <w:t>1.严禁污水灌溉，灌溉用水应满足《农田灌溉水质标准》。2.现有工业企业应达标排放，逐步提升清洁生产水平，减少污染物排放量。3.加强农业面源污染治理，严格控制化肥农药施用量，合理水产养殖布局，控制水产养殖污染，逐步削减农业面源污染物排放量。</w:t>
                  </w:r>
                </w:p>
              </w:tc>
              <w:tc>
                <w:tcPr>
                  <w:tcW w:w="1420" w:type="pct"/>
                  <w:tcBorders>
                    <w:tl2br w:val="nil"/>
                    <w:tr2bl w:val="nil"/>
                  </w:tcBorders>
                  <w:vAlign w:val="center"/>
                </w:tcPr>
                <w:p w14:paraId="00496A0A">
                  <w:pPr>
                    <w:widowControl/>
                    <w:adjustRightInd w:val="0"/>
                    <w:snapToGrid w:val="0"/>
                    <w:jc w:val="center"/>
                    <w:rPr>
                      <w:rFonts w:ascii="Times New Roman" w:hAnsi="Times New Roman"/>
                      <w:color w:val="auto"/>
                      <w:kern w:val="0"/>
                      <w:szCs w:val="21"/>
                    </w:rPr>
                  </w:pPr>
                  <w:r>
                    <w:rPr>
                      <w:rFonts w:ascii="Times New Roman" w:hAnsi="Times New Roman"/>
                      <w:color w:val="auto"/>
                    </w:rPr>
                    <w:t>1、本项目无废水产生</w:t>
                  </w:r>
                  <w:r>
                    <w:rPr>
                      <w:rFonts w:ascii="Times New Roman" w:hAnsi="Times New Roman"/>
                      <w:color w:val="auto"/>
                      <w:szCs w:val="24"/>
                    </w:rPr>
                    <w:t>。</w:t>
                  </w:r>
                  <w:r>
                    <w:rPr>
                      <w:rFonts w:ascii="Times New Roman" w:hAnsi="Times New Roman"/>
                      <w:color w:val="auto"/>
                    </w:rPr>
                    <w:t>2</w:t>
                  </w:r>
                  <w:r>
                    <w:rPr>
                      <w:rFonts w:ascii="Times New Roman" w:hAnsi="Times New Roman"/>
                      <w:color w:val="auto"/>
                      <w:szCs w:val="24"/>
                    </w:rPr>
                    <w:t>、</w:t>
                  </w:r>
                  <w:r>
                    <w:rPr>
                      <w:rFonts w:ascii="Times New Roman" w:hAnsi="Times New Roman"/>
                      <w:color w:val="auto"/>
                    </w:rPr>
                    <w:t>项目运营期无废水外排，无废气产生，产噪设备较少，固体废物得到妥善处置，项目建设运营对区域环境影响较小，不会改变区域环境质量。3、本项目无农业面源污染治理。</w:t>
                  </w:r>
                </w:p>
              </w:tc>
              <w:tc>
                <w:tcPr>
                  <w:tcW w:w="341" w:type="pct"/>
                  <w:tcBorders>
                    <w:tl2br w:val="nil"/>
                    <w:tr2bl w:val="nil"/>
                  </w:tcBorders>
                  <w:vAlign w:val="center"/>
                </w:tcPr>
                <w:p w14:paraId="1B75A57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7FADF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vAlign w:val="center"/>
                </w:tcPr>
                <w:p w14:paraId="705D0718">
                  <w:pPr>
                    <w:topLinePunct/>
                    <w:adjustRightInd w:val="0"/>
                    <w:snapToGrid w:val="0"/>
                    <w:jc w:val="center"/>
                    <w:rPr>
                      <w:rFonts w:ascii="Times New Roman" w:hAnsi="Times New Roman"/>
                      <w:snapToGrid w:val="0"/>
                      <w:color w:val="auto"/>
                      <w:szCs w:val="21"/>
                    </w:rPr>
                  </w:pPr>
                </w:p>
              </w:tc>
              <w:tc>
                <w:tcPr>
                  <w:tcW w:w="451" w:type="pct"/>
                  <w:shd w:val="clear" w:color="auto" w:fill="auto"/>
                  <w:vAlign w:val="center"/>
                </w:tcPr>
                <w:p w14:paraId="3BE611F0">
                  <w:pPr>
                    <w:topLinePunct/>
                    <w:adjustRightInd w:val="0"/>
                    <w:snapToGrid w:val="0"/>
                    <w:jc w:val="center"/>
                    <w:rPr>
                      <w:rFonts w:ascii="Times New Roman" w:hAnsi="Times New Roman"/>
                      <w:color w:val="auto"/>
                    </w:rPr>
                  </w:pPr>
                  <w:r>
                    <w:rPr>
                      <w:rFonts w:ascii="Times New Roman" w:hAnsi="Times New Roman"/>
                      <w:color w:val="auto"/>
                    </w:rPr>
                    <w:t>环境风险防控</w:t>
                  </w:r>
                </w:p>
              </w:tc>
              <w:tc>
                <w:tcPr>
                  <w:tcW w:w="2356" w:type="pct"/>
                  <w:shd w:val="clear" w:color="auto" w:fill="auto"/>
                  <w:vAlign w:val="center"/>
                </w:tcPr>
                <w:p w14:paraId="044B0586">
                  <w:pPr>
                    <w:topLinePunct/>
                    <w:adjustRightInd w:val="0"/>
                    <w:snapToGrid w:val="0"/>
                    <w:jc w:val="center"/>
                    <w:rPr>
                      <w:rFonts w:ascii="Times New Roman" w:hAnsi="Times New Roman"/>
                      <w:color w:val="auto"/>
                    </w:rPr>
                  </w:pPr>
                  <w:r>
                    <w:rPr>
                      <w:rFonts w:ascii="Times New Roman" w:hAnsi="Times New Roman"/>
                      <w:color w:val="auto"/>
                    </w:rPr>
                    <w:t>1.禁止使用国家规定的禁限用农药名录中的农药。2.加强环境风险防范应急体系建设，加强环境应急预案管理，定期开展应急演练，持续开展环境安全隐患排查整治，提升应急监测能力，加强应急物资管理。</w:t>
                  </w:r>
                </w:p>
              </w:tc>
              <w:tc>
                <w:tcPr>
                  <w:tcW w:w="1420" w:type="pct"/>
                  <w:vAlign w:val="center"/>
                </w:tcPr>
                <w:p w14:paraId="4D1F9748">
                  <w:pPr>
                    <w:topLinePunct/>
                    <w:adjustRightInd w:val="0"/>
                    <w:snapToGrid w:val="0"/>
                    <w:jc w:val="center"/>
                    <w:rPr>
                      <w:rFonts w:ascii="Times New Roman" w:hAnsi="Times New Roman"/>
                      <w:color w:val="auto"/>
                      <w:kern w:val="0"/>
                      <w:szCs w:val="21"/>
                    </w:rPr>
                  </w:pPr>
                  <w:r>
                    <w:rPr>
                      <w:rFonts w:ascii="Times New Roman" w:hAnsi="Times New Roman"/>
                      <w:color w:val="auto"/>
                    </w:rPr>
                    <w:t>1、本项目禁止使用国家规定的禁限用农药名录中的农药。2、本项</w:t>
                  </w:r>
                  <w:r>
                    <w:rPr>
                      <w:rFonts w:hint="eastAsia" w:ascii="Times New Roman" w:hAnsi="Times New Roman"/>
                      <w:color w:val="auto"/>
                    </w:rPr>
                    <w:t>目具</w:t>
                  </w:r>
                  <w:r>
                    <w:rPr>
                      <w:rFonts w:ascii="Times New Roman" w:hAnsi="Times New Roman"/>
                      <w:color w:val="auto"/>
                    </w:rPr>
                    <w:t>有</w:t>
                  </w:r>
                  <w:r>
                    <w:rPr>
                      <w:rFonts w:hint="eastAsia" w:ascii="Times New Roman" w:hAnsi="Times New Roman"/>
                      <w:color w:val="auto"/>
                    </w:rPr>
                    <w:t>完善</w:t>
                  </w:r>
                  <w:r>
                    <w:rPr>
                      <w:rFonts w:ascii="Times New Roman" w:hAnsi="Times New Roman"/>
                      <w:color w:val="auto"/>
                    </w:rPr>
                    <w:t>的污染防治机制（制度、设施等），后续将按要求编制处理环境污染事故的应急预案</w:t>
                  </w:r>
                </w:p>
              </w:tc>
              <w:tc>
                <w:tcPr>
                  <w:tcW w:w="341" w:type="pct"/>
                  <w:vAlign w:val="center"/>
                </w:tcPr>
                <w:p w14:paraId="4FFB887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549A3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429" w:type="pct"/>
                  <w:vMerge w:val="continue"/>
                  <w:vAlign w:val="center"/>
                </w:tcPr>
                <w:p w14:paraId="50F6A450">
                  <w:pPr>
                    <w:topLinePunct/>
                    <w:adjustRightInd w:val="0"/>
                    <w:snapToGrid w:val="0"/>
                    <w:jc w:val="center"/>
                    <w:rPr>
                      <w:rFonts w:ascii="Times New Roman" w:hAnsi="Times New Roman"/>
                      <w:snapToGrid w:val="0"/>
                      <w:color w:val="auto"/>
                      <w:szCs w:val="21"/>
                    </w:rPr>
                  </w:pPr>
                </w:p>
              </w:tc>
              <w:tc>
                <w:tcPr>
                  <w:tcW w:w="451" w:type="pct"/>
                  <w:shd w:val="clear" w:color="auto" w:fill="auto"/>
                  <w:vAlign w:val="center"/>
                </w:tcPr>
                <w:p w14:paraId="210A6835">
                  <w:pPr>
                    <w:topLinePunct/>
                    <w:adjustRightInd w:val="0"/>
                    <w:snapToGrid w:val="0"/>
                    <w:jc w:val="center"/>
                    <w:rPr>
                      <w:rFonts w:ascii="Times New Roman" w:hAnsi="Times New Roman"/>
                      <w:color w:val="auto"/>
                    </w:rPr>
                  </w:pPr>
                  <w:r>
                    <w:rPr>
                      <w:rFonts w:ascii="Times New Roman" w:hAnsi="Times New Roman"/>
                      <w:color w:val="auto"/>
                    </w:rPr>
                    <w:t>资源开发效率要求</w:t>
                  </w:r>
                </w:p>
              </w:tc>
              <w:tc>
                <w:tcPr>
                  <w:tcW w:w="2356" w:type="pct"/>
                  <w:shd w:val="clear" w:color="auto" w:fill="auto"/>
                  <w:vAlign w:val="center"/>
                </w:tcPr>
                <w:p w14:paraId="274C763F">
                  <w:pPr>
                    <w:topLinePunct/>
                    <w:adjustRightInd w:val="0"/>
                    <w:snapToGrid w:val="0"/>
                    <w:jc w:val="center"/>
                    <w:rPr>
                      <w:rFonts w:ascii="Times New Roman" w:hAnsi="Times New Roman"/>
                      <w:color w:val="auto"/>
                    </w:rPr>
                  </w:pPr>
                  <w:r>
                    <w:rPr>
                      <w:rFonts w:ascii="Times New Roman" w:hAnsi="Times New Roman"/>
                      <w:color w:val="auto"/>
                    </w:rPr>
                    <w:t>1.优化能源结构，加强能源清洁利用。2.提高土地利用效率，节约集约利用土地资源。</w:t>
                  </w:r>
                </w:p>
              </w:tc>
              <w:tc>
                <w:tcPr>
                  <w:tcW w:w="1420" w:type="pct"/>
                  <w:vAlign w:val="center"/>
                </w:tcPr>
                <w:p w14:paraId="3B61232F">
                  <w:pPr>
                    <w:topLinePunct/>
                    <w:adjustRightInd w:val="0"/>
                    <w:snapToGrid w:val="0"/>
                    <w:jc w:val="center"/>
                    <w:rPr>
                      <w:rFonts w:ascii="Times New Roman" w:hAnsi="Times New Roman"/>
                      <w:color w:val="auto"/>
                      <w:kern w:val="0"/>
                      <w:szCs w:val="21"/>
                    </w:rPr>
                  </w:pPr>
                  <w:r>
                    <w:rPr>
                      <w:rFonts w:ascii="Times New Roman" w:hAnsi="Times New Roman"/>
                      <w:color w:val="auto"/>
                    </w:rPr>
                    <w:t>1、本项目属于清洁能源项目；2、本项目优化占地，提高土地利用率，节约土地资源。</w:t>
                  </w:r>
                </w:p>
              </w:tc>
              <w:tc>
                <w:tcPr>
                  <w:tcW w:w="341" w:type="pct"/>
                  <w:vAlign w:val="center"/>
                </w:tcPr>
                <w:p w14:paraId="188F82D1">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bl>
          <w:p w14:paraId="3C23283B">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受自然条件等因素限制，线路不可避让占用基本农田0.238hm</w:t>
            </w:r>
            <w:r>
              <w:rPr>
                <w:rFonts w:ascii="Times New Roman" w:hAnsi="Times New Roman"/>
                <w:color w:val="auto"/>
                <w:sz w:val="24"/>
                <w:vertAlign w:val="superscript"/>
              </w:rPr>
              <w:t>2</w:t>
            </w:r>
            <w:r>
              <w:rPr>
                <w:rFonts w:ascii="Times New Roman" w:hAnsi="Times New Roman"/>
                <w:color w:val="auto"/>
                <w:sz w:val="24"/>
              </w:rPr>
              <w:t>，于2026年8月20日取得会泽县自然资源局关于六合一至乐业变220kV送出线路工程占用永久基本农田不可避让的情况说明，符合《永久基本农田保护红线管理办法》的要求</w:t>
            </w:r>
            <w:r>
              <w:rPr>
                <w:rFonts w:hint="eastAsia" w:ascii="Times New Roman" w:hAnsi="Times New Roman"/>
                <w:color w:val="auto"/>
                <w:sz w:val="24"/>
              </w:rPr>
              <w:t>。</w:t>
            </w:r>
          </w:p>
          <w:p w14:paraId="2BCB233F">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因此，本项目的建设符合现</w:t>
            </w:r>
            <w:r>
              <w:rPr>
                <w:rFonts w:hint="eastAsia" w:ascii="Times New Roman" w:hAnsi="Times New Roman"/>
                <w:color w:val="auto"/>
                <w:sz w:val="24"/>
              </w:rPr>
              <w:t>行永久基本农田的管理要求</w:t>
            </w:r>
            <w:r>
              <w:rPr>
                <w:rFonts w:ascii="Times New Roman" w:hAnsi="Times New Roman"/>
                <w:color w:val="auto"/>
                <w:sz w:val="24"/>
              </w:rPr>
              <w:t>，项目建设符合《曲靖市生态环境分区管控动态更新方案（2023年）》的相关要求。</w:t>
            </w:r>
          </w:p>
          <w:p w14:paraId="2B13EA20">
            <w:pPr>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4、</w:t>
            </w:r>
            <w:r>
              <w:rPr>
                <w:rFonts w:ascii="Times New Roman" w:hAnsi="Times New Roman"/>
                <w:b/>
                <w:color w:val="auto"/>
                <w:sz w:val="24"/>
                <w:szCs w:val="24"/>
              </w:rPr>
              <w:t>与《中国生物多样性保护战略与行动计划（2023-2030年）》符合性分析</w:t>
            </w:r>
          </w:p>
          <w:p w14:paraId="360996FB">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根据《中国生物多样性保护战略与行动计划（2023-2030年）》及《中国生物多样性保护优先区域范围》（环境保护部公告</w:t>
            </w:r>
            <w:r>
              <w:rPr>
                <w:rFonts w:hint="eastAsia" w:ascii="Times New Roman" w:hAnsi="Times New Roman"/>
                <w:color w:val="auto"/>
                <w:sz w:val="24"/>
              </w:rPr>
              <w:t xml:space="preserve"> </w:t>
            </w:r>
            <w:r>
              <w:rPr>
                <w:rFonts w:ascii="Times New Roman" w:hAnsi="Times New Roman"/>
                <w:color w:val="auto"/>
                <w:sz w:val="24"/>
              </w:rPr>
              <w:t>2015年第94号），本项目输电线路不涉及中国生物多样性保护优先区域，根据叠图，项目位于横断山南段生物多样性保护优先区域</w:t>
            </w:r>
            <w:r>
              <w:rPr>
                <w:rFonts w:hint="eastAsia" w:ascii="Times New Roman" w:hAnsi="Times New Roman"/>
                <w:color w:val="auto"/>
                <w:sz w:val="24"/>
              </w:rPr>
              <w:t>东南</w:t>
            </w:r>
            <w:r>
              <w:rPr>
                <w:rFonts w:ascii="Times New Roman" w:hAnsi="Times New Roman"/>
                <w:color w:val="auto"/>
                <w:sz w:val="24"/>
              </w:rPr>
              <w:t>侧，项目建设区域不涉及中国生物多样性保护优先区域。</w:t>
            </w:r>
          </w:p>
          <w:p w14:paraId="28F1EE5B">
            <w:pPr>
              <w:adjustRightInd w:val="0"/>
              <w:snapToGrid w:val="0"/>
              <w:jc w:val="center"/>
              <w:rPr>
                <w:color w:val="auto"/>
              </w:rPr>
            </w:pPr>
            <w:r>
              <w:rPr>
                <w:color w:val="auto"/>
              </w:rPr>
              <mc:AlternateContent>
                <mc:Choice Requires="wps">
                  <w:drawing>
                    <wp:anchor distT="0" distB="0" distL="114300" distR="114300" simplePos="0" relativeHeight="251659264" behindDoc="0" locked="0" layoutInCell="1" allowOverlap="1">
                      <wp:simplePos x="0" y="0"/>
                      <wp:positionH relativeFrom="column">
                        <wp:posOffset>646430</wp:posOffset>
                      </wp:positionH>
                      <wp:positionV relativeFrom="paragraph">
                        <wp:posOffset>1989455</wp:posOffset>
                      </wp:positionV>
                      <wp:extent cx="880110" cy="280670"/>
                      <wp:effectExtent l="4445" t="4445" r="1991995" b="133985"/>
                      <wp:wrapNone/>
                      <wp:docPr id="8" name="矩形标注 8"/>
                      <wp:cNvGraphicFramePr/>
                      <a:graphic xmlns:a="http://schemas.openxmlformats.org/drawingml/2006/main">
                        <a:graphicData uri="http://schemas.microsoft.com/office/word/2010/wordprocessingShape">
                          <wps:wsp>
                            <wps:cNvSpPr/>
                            <wps:spPr>
                              <a:xfrm flipH="1">
                                <a:off x="0" y="0"/>
                                <a:ext cx="880110" cy="280670"/>
                              </a:xfrm>
                              <a:prstGeom prst="wedgeRectCallout">
                                <a:avLst>
                                  <a:gd name="adj1" fmla="val -270346"/>
                                  <a:gd name="adj2" fmla="val 90950"/>
                                </a:avLst>
                              </a:prstGeom>
                              <a:noFill/>
                              <a:ln w="9525" cap="flat" cmpd="sng">
                                <a:solidFill>
                                  <a:srgbClr val="00B0F0"/>
                                </a:solidFill>
                                <a:prstDash val="solid"/>
                                <a:miter/>
                                <a:headEnd type="none" w="med" len="med"/>
                                <a:tailEnd type="none" w="med" len="med"/>
                              </a:ln>
                              <a:effectLst/>
                            </wps:spPr>
                            <wps:txbx>
                              <w:txbxContent>
                                <w:p w14:paraId="19DF8DDB">
                                  <w:pPr>
                                    <w:rPr>
                                      <w:b/>
                                      <w:bCs/>
                                      <w:color w:val="FF0000"/>
                                    </w:rPr>
                                  </w:pPr>
                                  <w:r>
                                    <w:rPr>
                                      <w:rFonts w:hint="eastAsia"/>
                                      <w:b/>
                                      <w:bCs/>
                                      <w:color w:val="FF0000"/>
                                    </w:rPr>
                                    <w:t>项目区位置</w:t>
                                  </w:r>
                                </w:p>
                              </w:txbxContent>
                            </wps:txbx>
                            <wps:bodyPr upright="1"/>
                          </wps:wsp>
                        </a:graphicData>
                      </a:graphic>
                    </wp:anchor>
                  </w:drawing>
                </mc:Choice>
                <mc:Fallback>
                  <w:pict>
                    <v:shape id="_x0000_s1026" o:spid="_x0000_s1026" o:spt="61" type="#_x0000_t61" style="position:absolute;left:0pt;flip:x;margin-left:50.9pt;margin-top:156.65pt;height:22.1pt;width:69.3pt;z-index:251659264;mso-width-relative:page;mso-height-relative:page;" filled="f" stroked="t" coordsize="21600,21600" o:gfxdata="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Vhh8w2AAAAAsBAAAPAAAAAAAAAAEAIAAAACIA&#10;AABkcnMvZG93bnJldi54bWxQSwECFAAUAAAACACHTuJAZxfTM0ICAAB8BAAADgAAAAAAAAABACAA&#10;AAAnAQAAZHJzL2Uyb0RvYy54bWxQSwUGAAAAAAYABgBZAQAA2wUAAAAA&#10;" adj="-47595,30445">
                      <v:fill on="f" focussize="0,0"/>
                      <v:stroke color="#00B0F0" joinstyle="miter"/>
                      <v:imagedata o:title=""/>
                      <o:lock v:ext="edit" aspectratio="f"/>
                      <v:textbox>
                        <w:txbxContent>
                          <w:p w14:paraId="19DF8DDB">
                            <w:pPr>
                              <w:rPr>
                                <w:b/>
                                <w:bCs/>
                                <w:color w:val="FF0000"/>
                              </w:rPr>
                            </w:pPr>
                            <w:r>
                              <w:rPr>
                                <w:rFonts w:hint="eastAsia"/>
                                <w:b/>
                                <w:bCs/>
                                <w:color w:val="FF0000"/>
                              </w:rPr>
                              <w:t>项目区位置</w:t>
                            </w:r>
                          </w:p>
                        </w:txbxContent>
                      </v:textbox>
                    </v:shap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column">
                        <wp:posOffset>3417570</wp:posOffset>
                      </wp:positionH>
                      <wp:positionV relativeFrom="paragraph">
                        <wp:posOffset>2348865</wp:posOffset>
                      </wp:positionV>
                      <wp:extent cx="186690" cy="29210"/>
                      <wp:effectExtent l="4445" t="0" r="23495" b="3810"/>
                      <wp:wrapNone/>
                      <wp:docPr id="6" name="曲线连接符 10"/>
                      <wp:cNvGraphicFramePr/>
                      <a:graphic xmlns:a="http://schemas.openxmlformats.org/drawingml/2006/main">
                        <a:graphicData uri="http://schemas.microsoft.com/office/word/2010/wordprocessingShape">
                          <wps:wsp>
                            <wps:cNvCnPr/>
                            <wps:spPr>
                              <a:xfrm rot="5400000">
                                <a:off x="0" y="0"/>
                                <a:ext cx="186690" cy="29210"/>
                              </a:xfrm>
                              <a:prstGeom prst="curvedConnector3">
                                <a:avLst>
                                  <a:gd name="adj1" fmla="val 50340"/>
                                </a:avLst>
                              </a:prstGeom>
                              <a:ln w="9525" cap="flat" cmpd="sng">
                                <a:solidFill>
                                  <a:srgbClr val="FF0000"/>
                                </a:solidFill>
                                <a:prstDash val="solid"/>
                                <a:headEnd type="none" w="med" len="med"/>
                                <a:tailEnd type="none" w="med" len="med"/>
                              </a:ln>
                              <a:effectLst/>
                            </wps:spPr>
                            <wps:bodyPr/>
                          </wps:wsp>
                        </a:graphicData>
                      </a:graphic>
                    </wp:anchor>
                  </w:drawing>
                </mc:Choice>
                <mc:Fallback>
                  <w:pict>
                    <v:shape id="曲线连接符 10" o:spid="_x0000_s1026" o:spt="38" type="#_x0000_t38" style="position:absolute;left:0pt;margin-left:269.1pt;margin-top:184.95pt;height:2.3pt;width:14.7pt;rotation:5898240f;z-index:251659264;mso-width-relative:page;mso-height-relative:page;" filled="f" stroked="t" coordsize="21600,21600" o:gfxdata="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ez&#10;AmnXAAAACwEAAA8AAAAAAAAAAQAgAAAAIgAAAGRycy9kb3ducmV2LnhtbFBLAQIUABQAAAAIAIdO&#10;4kCOFMS9JAIAADEEAAAOAAAAAAAAAAEAIAAAACYBAABkcnMvZTJvRG9jLnhtbFBLBQYAAAAABgAG&#10;AFkBAAC8BQAAAAA=&#10;" adj="10873">
                      <v:fill on="f" focussize="0,0"/>
                      <v:stroke color="#FF0000" joinstyle="round"/>
                      <v:imagedata o:title=""/>
                      <o:lock v:ext="edit" aspectratio="f"/>
                    </v:shape>
                  </w:pict>
                </mc:Fallback>
              </mc:AlternateContent>
            </w:r>
            <w:r>
              <w:rPr>
                <w:color w:val="auto"/>
                <w:sz w:val="24"/>
              </w:rPr>
              <w:drawing>
                <wp:inline distT="0" distB="0" distL="114300" distR="114300">
                  <wp:extent cx="4600575" cy="3248025"/>
                  <wp:effectExtent l="0" t="0" r="9525" b="9525"/>
                  <wp:docPr id="82" name="图片 5" descr="18.横断山南段生物多样性保护优先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descr="18.横断山南段生物多样性保护优先区域"/>
                          <pic:cNvPicPr>
                            <a:picLocks noChangeAspect="1"/>
                          </pic:cNvPicPr>
                        </pic:nvPicPr>
                        <pic:blipFill>
                          <a:blip r:embed="rId18"/>
                          <a:stretch>
                            <a:fillRect/>
                          </a:stretch>
                        </pic:blipFill>
                        <pic:spPr>
                          <a:xfrm>
                            <a:off x="0" y="0"/>
                            <a:ext cx="4600575" cy="3248025"/>
                          </a:xfrm>
                          <a:prstGeom prst="rect">
                            <a:avLst/>
                          </a:prstGeom>
                          <a:noFill/>
                          <a:ln>
                            <a:noFill/>
                          </a:ln>
                        </pic:spPr>
                      </pic:pic>
                    </a:graphicData>
                  </a:graphic>
                </wp:inline>
              </w:drawing>
            </w:r>
          </w:p>
          <w:p w14:paraId="6451E45C">
            <w:pPr>
              <w:adjustRightInd w:val="0"/>
              <w:snapToGrid w:val="0"/>
              <w:jc w:val="center"/>
              <w:rPr>
                <w:rFonts w:ascii="Times New Roman" w:hAnsi="Times New Roman"/>
                <w:b/>
                <w:bCs/>
                <w:color w:val="auto"/>
                <w:sz w:val="24"/>
              </w:rPr>
            </w:pPr>
            <w:r>
              <w:rPr>
                <w:rFonts w:ascii="Times New Roman" w:hAnsi="Times New Roman"/>
                <w:b/>
                <w:bCs/>
                <w:color w:val="auto"/>
                <w:sz w:val="24"/>
              </w:rPr>
              <w:t>图1-</w:t>
            </w:r>
            <w:r>
              <w:rPr>
                <w:rFonts w:hint="eastAsia" w:ascii="Times New Roman" w:hAnsi="Times New Roman"/>
                <w:b/>
                <w:bCs/>
                <w:color w:val="auto"/>
                <w:sz w:val="24"/>
              </w:rPr>
              <w:t>5</w:t>
            </w:r>
            <w:r>
              <w:rPr>
                <w:rFonts w:ascii="Times New Roman" w:hAnsi="Times New Roman"/>
                <w:b/>
                <w:bCs/>
                <w:color w:val="auto"/>
                <w:sz w:val="24"/>
              </w:rPr>
              <w:t xml:space="preserve">  项目与中国生物多样性保护优先区域位置关系图</w:t>
            </w:r>
          </w:p>
          <w:p w14:paraId="34B28C51">
            <w:pPr>
              <w:adjustRightInd w:val="0"/>
              <w:snapToGrid w:val="0"/>
              <w:spacing w:line="440" w:lineRule="exact"/>
              <w:ind w:firstLine="480" w:firstLineChars="200"/>
              <w:rPr>
                <w:rFonts w:ascii="Times New Roman" w:hAnsi="Times New Roman"/>
                <w:color w:val="auto"/>
                <w:sz w:val="24"/>
              </w:rPr>
            </w:pPr>
            <w:r>
              <w:rPr>
                <w:rFonts w:hint="eastAsia" w:ascii="Times New Roman" w:hAnsi="Times New Roman"/>
                <w:color w:val="auto"/>
                <w:sz w:val="24"/>
              </w:rPr>
              <w:t>《中国生物多样性保护战略与行动计划（2023-2030年）》提出：战略定位——生物多样性协同治理的行动表率，加大生物多样性保护优先区域及空缺区域的保护力度，加强典型性、代表性自然生态系统、珍稀物种和遗传资源保护，实施针对性的保护和监管措施，有效应对生物多样性丧失，协同推进降碳、减污、扩绿、增长，推进生态优先、节约集约、绿色低碳发展，打造生物多样性协同治理的中国方案。</w:t>
            </w:r>
          </w:p>
          <w:p w14:paraId="40BDD2AC">
            <w:pPr>
              <w:adjustRightInd w:val="0"/>
              <w:snapToGrid w:val="0"/>
              <w:spacing w:line="440" w:lineRule="exact"/>
              <w:ind w:firstLine="480" w:firstLineChars="200"/>
              <w:rPr>
                <w:rFonts w:ascii="Times New Roman" w:hAnsi="Times New Roman"/>
                <w:color w:val="auto"/>
                <w:sz w:val="24"/>
              </w:rPr>
            </w:pPr>
            <w:r>
              <w:rPr>
                <w:rFonts w:hint="eastAsia" w:ascii="Times New Roman" w:hAnsi="Times New Roman"/>
                <w:color w:val="auto"/>
                <w:sz w:val="24"/>
              </w:rPr>
              <w:t>战略任务——完善生物多样性保护空间网络。推进以国家公园为主体的自然保护地体系建设，严守生态保护红线。完善国家重点生态功能区、生物多样性保护优先区域保护指引，遏制资源过度开发和生产生活对生物多样性的不利影响。优化建设各级各类抢救性迁地保护设施。加快建设生态廊道，填补重要区域和重要物种保护空缺。</w:t>
            </w:r>
          </w:p>
          <w:p w14:paraId="4D47E2C1">
            <w:pPr>
              <w:adjustRightInd w:val="0"/>
              <w:snapToGrid w:val="0"/>
              <w:spacing w:line="440" w:lineRule="exact"/>
              <w:ind w:firstLine="480" w:firstLineChars="200"/>
              <w:rPr>
                <w:b/>
                <w:bCs/>
                <w:color w:val="auto"/>
                <w:sz w:val="24"/>
              </w:rPr>
            </w:pPr>
            <w:r>
              <w:rPr>
                <w:rFonts w:hint="eastAsia" w:ascii="Times New Roman" w:hAnsi="Times New Roman"/>
                <w:color w:val="auto"/>
                <w:sz w:val="24"/>
              </w:rPr>
              <w:t>本项目为基础设施建设项目，不属于资源开发、生产生活类型项目。本项目新建220kV输电线路不可避让占用基本农田，取得会泽县自然资源局关于六合一至乐业变220kV送出线路工程占用永久基本农田不可避让的情况说明，符合《永久基本农田保护红线管理办法》的要求，符合基本农田红线相关法规要求；采取避让、减缓、恢复和补偿措施后，对农业的不利影响很小，与《中国生物多样性保护战略与行动计划（2023-2030年）》相关要求不冲突。</w:t>
            </w:r>
          </w:p>
          <w:p w14:paraId="59D2F0E3">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5、与《云南省生物多样性保护战略与行动计划》（2024-2030年）相符性分析</w:t>
            </w:r>
          </w:p>
          <w:p w14:paraId="0C700817">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云南省生物多样性保护战略与行动计划（2012~2030年）》，将云南的滇西北高山峡谷针叶林区域、云南南部边缘热带雨林区域、滇东南喀斯特东南季风阔叶林区域、滇东北乌蒙山湿润常绿阔叶林区域、澜沧江中游一哀牢山中山湿性常绿阔叶林区域、云南高原湿地区域等6个区域划分为一级生物多样性保护优先区域。在综合考量生态系统类型的代表性，生态系统的特有性及其特殊生态功能，物种的特有性、丰富度、珍稀濒危程度、区域代表性、科学研究价值和分布数据的可获得性等基础上，进一步划定了18个二级生物多样性保护优先区，涉及16个州市101个县（区），总面积9.5万km</w:t>
            </w:r>
            <w:r>
              <w:rPr>
                <w:rFonts w:ascii="Times New Roman" w:hAnsi="Times New Roman"/>
                <w:color w:val="auto"/>
                <w:sz w:val="24"/>
                <w:szCs w:val="24"/>
                <w:vertAlign w:val="superscript"/>
              </w:rPr>
              <w:t>2</w:t>
            </w:r>
            <w:r>
              <w:rPr>
                <w:rFonts w:ascii="Times New Roman" w:hAnsi="Times New Roman"/>
                <w:color w:val="auto"/>
                <w:sz w:val="24"/>
                <w:szCs w:val="24"/>
              </w:rPr>
              <w:t>，占云南国土面积的23.86%，并针对6个优先区域提出了9大保护优先领域和34项行动。</w:t>
            </w:r>
          </w:p>
          <w:p w14:paraId="40F302BE">
            <w:pPr>
              <w:autoSpaceDE w:val="0"/>
              <w:autoSpaceDN w:val="0"/>
              <w:adjustRightInd w:val="0"/>
              <w:snapToGrid w:val="0"/>
              <w:ind w:firstLine="482" w:firstLineChars="200"/>
              <w:jc w:val="center"/>
              <w:rPr>
                <w:rFonts w:ascii="Times New Roman" w:hAnsi="Times New Roman"/>
                <w:b/>
                <w:bCs/>
                <w:color w:val="auto"/>
                <w:kern w:val="0"/>
                <w:sz w:val="24"/>
                <w:szCs w:val="24"/>
                <w:lang w:bidi="ar"/>
              </w:rPr>
            </w:pPr>
            <w:r>
              <w:rPr>
                <w:rFonts w:ascii="Times New Roman" w:hAnsi="Times New Roman"/>
                <w:b/>
                <w:bCs/>
                <w:color w:val="auto"/>
                <w:kern w:val="0"/>
                <w:sz w:val="24"/>
                <w:szCs w:val="24"/>
                <w:lang w:bidi="ar"/>
              </w:rPr>
              <w:t>表1-5  6个一级优先区域和18个二级优先区域一览表</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9"/>
              <w:gridCol w:w="2917"/>
              <w:gridCol w:w="3551"/>
            </w:tblGrid>
            <w:tr w14:paraId="3976C9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14:paraId="45BD0931">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序号</w:t>
                  </w:r>
                </w:p>
              </w:tc>
              <w:tc>
                <w:tcPr>
                  <w:tcW w:w="2061" w:type="pct"/>
                  <w:tcBorders>
                    <w:tl2br w:val="nil"/>
                    <w:tr2bl w:val="nil"/>
                  </w:tcBorders>
                  <w:vAlign w:val="center"/>
                </w:tcPr>
                <w:p w14:paraId="0016724C">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一级优先区域</w:t>
                  </w:r>
                </w:p>
              </w:tc>
              <w:tc>
                <w:tcPr>
                  <w:tcW w:w="2508" w:type="pct"/>
                  <w:tcBorders>
                    <w:tl2br w:val="nil"/>
                    <w:tr2bl w:val="nil"/>
                  </w:tcBorders>
                  <w:vAlign w:val="center"/>
                </w:tcPr>
                <w:p w14:paraId="782B8ABF">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二级优先区域</w:t>
                  </w:r>
                </w:p>
              </w:tc>
            </w:tr>
            <w:tr w14:paraId="3A77A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vAlign w:val="center"/>
                </w:tcPr>
                <w:p w14:paraId="1D2F8EC2">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1</w:t>
                  </w:r>
                </w:p>
              </w:tc>
              <w:tc>
                <w:tcPr>
                  <w:tcW w:w="2061" w:type="pct"/>
                  <w:vMerge w:val="restart"/>
                  <w:tcBorders>
                    <w:tl2br w:val="nil"/>
                    <w:tr2bl w:val="nil"/>
                  </w:tcBorders>
                  <w:vAlign w:val="center"/>
                </w:tcPr>
                <w:p w14:paraId="44846385">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滇西北高山峡谷针叶林区域</w:t>
                  </w:r>
                </w:p>
              </w:tc>
              <w:tc>
                <w:tcPr>
                  <w:tcW w:w="2508" w:type="pct"/>
                  <w:tcBorders>
                    <w:tl2br w:val="nil"/>
                    <w:tr2bl w:val="nil"/>
                  </w:tcBorders>
                  <w:vAlign w:val="center"/>
                </w:tcPr>
                <w:p w14:paraId="25EAC441">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①高黎贡山北段温凉性针叶林区</w:t>
                  </w:r>
                </w:p>
              </w:tc>
            </w:tr>
            <w:tr w14:paraId="2C6A1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1BD14BD9">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4757852B">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039CAB73">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②梅里雪山－碧罗雪山寒温性针叶林区</w:t>
                  </w:r>
                </w:p>
              </w:tc>
            </w:tr>
            <w:tr w14:paraId="1657B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7C5B3DA7">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53592275">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1D8BC6D6">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③云岭山脉寒温性－暖温性针叶林区</w:t>
                  </w:r>
                </w:p>
              </w:tc>
            </w:tr>
            <w:tr w14:paraId="49C689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3EC24EA9">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3F5085B5">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0F264234">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④香格里拉山原寒温性针叶林区</w:t>
                  </w:r>
                </w:p>
              </w:tc>
            </w:tr>
            <w:tr w14:paraId="21295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vAlign w:val="center"/>
                </w:tcPr>
                <w:p w14:paraId="60910276">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2</w:t>
                  </w:r>
                </w:p>
              </w:tc>
              <w:tc>
                <w:tcPr>
                  <w:tcW w:w="2061" w:type="pct"/>
                  <w:vMerge w:val="restart"/>
                  <w:tcBorders>
                    <w:tl2br w:val="nil"/>
                    <w:tr2bl w:val="nil"/>
                  </w:tcBorders>
                  <w:vAlign w:val="center"/>
                </w:tcPr>
                <w:p w14:paraId="361859DC">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云南南部边缘热带雨林区域</w:t>
                  </w:r>
                </w:p>
              </w:tc>
              <w:tc>
                <w:tcPr>
                  <w:tcW w:w="2508" w:type="pct"/>
                  <w:tcBorders>
                    <w:tl2br w:val="nil"/>
                    <w:tr2bl w:val="nil"/>
                  </w:tcBorders>
                  <w:vAlign w:val="center"/>
                </w:tcPr>
                <w:p w14:paraId="5F3C2376">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①高黎贡山南段中山湿性常绿阔叶林区</w:t>
                  </w:r>
                </w:p>
              </w:tc>
            </w:tr>
            <w:tr w14:paraId="1E798B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4B0FBFCA">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363D8C7D">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724364A9">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②铜壁关热带雨林区</w:t>
                  </w:r>
                </w:p>
              </w:tc>
            </w:tr>
            <w:tr w14:paraId="69F38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37EF3AA5">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6FA98F86">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56F401BD">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③南汀河热带雨林区</w:t>
                  </w:r>
                </w:p>
              </w:tc>
            </w:tr>
            <w:tr w14:paraId="268CA2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3E538C28">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2634AC48">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4DC20026">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④西双版纳热带雨林区</w:t>
                  </w:r>
                </w:p>
              </w:tc>
            </w:tr>
            <w:tr w14:paraId="3622A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7C3A238E">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5D72ED67">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1D0A7B23">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⑤红河湿润雨林区</w:t>
                  </w:r>
                </w:p>
              </w:tc>
            </w:tr>
            <w:tr w14:paraId="4F9C2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14:paraId="6A15C064">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3</w:t>
                  </w:r>
                </w:p>
              </w:tc>
              <w:tc>
                <w:tcPr>
                  <w:tcW w:w="2061" w:type="pct"/>
                  <w:tcBorders>
                    <w:tl2br w:val="nil"/>
                    <w:tr2bl w:val="nil"/>
                  </w:tcBorders>
                  <w:vAlign w:val="center"/>
                </w:tcPr>
                <w:p w14:paraId="5F82BA35">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滇东南喀斯特东南季风阔叶林区域</w:t>
                  </w:r>
                </w:p>
              </w:tc>
              <w:tc>
                <w:tcPr>
                  <w:tcW w:w="2508" w:type="pct"/>
                  <w:tcBorders>
                    <w:tl2br w:val="nil"/>
                    <w:tr2bl w:val="nil"/>
                  </w:tcBorders>
                  <w:vAlign w:val="center"/>
                </w:tcPr>
                <w:p w14:paraId="352E6317">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①滇东南喀斯特东南季风阔叶林区域</w:t>
                  </w:r>
                </w:p>
              </w:tc>
            </w:tr>
            <w:tr w14:paraId="23EAAC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vAlign w:val="center"/>
                </w:tcPr>
                <w:p w14:paraId="34DF73F9">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4</w:t>
                  </w:r>
                </w:p>
              </w:tc>
              <w:tc>
                <w:tcPr>
                  <w:tcW w:w="2061" w:type="pct"/>
                  <w:vMerge w:val="restart"/>
                  <w:tcBorders>
                    <w:tl2br w:val="nil"/>
                    <w:tr2bl w:val="nil"/>
                  </w:tcBorders>
                  <w:vAlign w:val="center"/>
                </w:tcPr>
                <w:p w14:paraId="7B70DD49">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滇东北乌蒙山湿润常绿阔叶林区域</w:t>
                  </w:r>
                </w:p>
              </w:tc>
              <w:tc>
                <w:tcPr>
                  <w:tcW w:w="2508" w:type="pct"/>
                  <w:tcBorders>
                    <w:tl2br w:val="nil"/>
                    <w:tr2bl w:val="nil"/>
                  </w:tcBorders>
                  <w:vAlign w:val="center"/>
                </w:tcPr>
                <w:p w14:paraId="33E644D0">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①乌蒙山湿润常绿阔叶林区</w:t>
                  </w:r>
                </w:p>
              </w:tc>
            </w:tr>
            <w:tr w14:paraId="1263A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7CF48BD0">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4CA4AC1D">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646BB09F">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②金沙江下游干热、干暖河谷区</w:t>
                  </w:r>
                </w:p>
              </w:tc>
            </w:tr>
            <w:tr w14:paraId="4A56B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vAlign w:val="center"/>
                </w:tcPr>
                <w:p w14:paraId="13FDBEF9">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5</w:t>
                  </w:r>
                </w:p>
              </w:tc>
              <w:tc>
                <w:tcPr>
                  <w:tcW w:w="2061" w:type="pct"/>
                  <w:vMerge w:val="restart"/>
                  <w:tcBorders>
                    <w:tl2br w:val="nil"/>
                    <w:tr2bl w:val="nil"/>
                  </w:tcBorders>
                  <w:vAlign w:val="center"/>
                </w:tcPr>
                <w:p w14:paraId="08940990">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澜沧江中游－哀牢山中山湿性常绿阔叶林区域</w:t>
                  </w:r>
                </w:p>
              </w:tc>
              <w:tc>
                <w:tcPr>
                  <w:tcW w:w="2508" w:type="pct"/>
                  <w:tcBorders>
                    <w:tl2br w:val="nil"/>
                    <w:tr2bl w:val="nil"/>
                  </w:tcBorders>
                  <w:vAlign w:val="center"/>
                </w:tcPr>
                <w:p w14:paraId="323F8825">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①澜沧江中山宽谷常绿阔叶林区</w:t>
                  </w:r>
                </w:p>
              </w:tc>
            </w:tr>
            <w:tr w14:paraId="00232F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7C539440">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2D6B5EFA">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0B275CE3">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②无量山中山湿性常绿阔叶林区</w:t>
                  </w:r>
                </w:p>
              </w:tc>
            </w:tr>
            <w:tr w14:paraId="74A4EA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60E4322D">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2D65CF27">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35C8D520">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③哀牢山中山湿性常绿阔叶林区</w:t>
                  </w:r>
                </w:p>
              </w:tc>
            </w:tr>
            <w:tr w14:paraId="537B51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vAlign w:val="center"/>
                </w:tcPr>
                <w:p w14:paraId="75D1249F">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6</w:t>
                  </w:r>
                </w:p>
              </w:tc>
              <w:tc>
                <w:tcPr>
                  <w:tcW w:w="2061" w:type="pct"/>
                  <w:vMerge w:val="restart"/>
                  <w:tcBorders>
                    <w:tl2br w:val="nil"/>
                    <w:tr2bl w:val="nil"/>
                  </w:tcBorders>
                  <w:vAlign w:val="center"/>
                </w:tcPr>
                <w:p w14:paraId="7376D9BA">
                  <w:pPr>
                    <w:autoSpaceDE w:val="0"/>
                    <w:autoSpaceDN w:val="0"/>
                    <w:adjustRightInd w:val="0"/>
                    <w:snapToGrid w:val="0"/>
                    <w:jc w:val="center"/>
                    <w:rPr>
                      <w:rFonts w:ascii="Times New Roman" w:hAnsi="Times New Roman"/>
                      <w:color w:val="auto"/>
                      <w:kern w:val="0"/>
                      <w:szCs w:val="21"/>
                      <w:lang w:bidi="ar"/>
                    </w:rPr>
                  </w:pPr>
                  <w:r>
                    <w:rPr>
                      <w:rFonts w:ascii="Times New Roman" w:hAnsi="Times New Roman"/>
                      <w:color w:val="auto"/>
                      <w:kern w:val="0"/>
                      <w:szCs w:val="21"/>
                      <w:lang w:bidi="ar"/>
                    </w:rPr>
                    <w:t>云南高原湿地区域</w:t>
                  </w:r>
                </w:p>
              </w:tc>
              <w:tc>
                <w:tcPr>
                  <w:tcW w:w="2508" w:type="pct"/>
                  <w:tcBorders>
                    <w:tl2br w:val="nil"/>
                    <w:tr2bl w:val="nil"/>
                  </w:tcBorders>
                  <w:vAlign w:val="center"/>
                </w:tcPr>
                <w:p w14:paraId="318B990D">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①滇中高原湖泊区</w:t>
                  </w:r>
                </w:p>
              </w:tc>
            </w:tr>
            <w:tr w14:paraId="5BDBD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3CF37EA9">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644EF255">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43B39805">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②滇西北高原湖泊区</w:t>
                  </w:r>
                </w:p>
              </w:tc>
            </w:tr>
            <w:tr w14:paraId="065C8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vAlign w:val="center"/>
                </w:tcPr>
                <w:p w14:paraId="1C9F1957">
                  <w:pPr>
                    <w:autoSpaceDE w:val="0"/>
                    <w:autoSpaceDN w:val="0"/>
                    <w:adjustRightInd w:val="0"/>
                    <w:snapToGrid w:val="0"/>
                    <w:jc w:val="center"/>
                    <w:rPr>
                      <w:rFonts w:ascii="Times New Roman" w:hAnsi="Times New Roman"/>
                      <w:color w:val="auto"/>
                      <w:kern w:val="0"/>
                      <w:szCs w:val="21"/>
                      <w:lang w:bidi="ar"/>
                    </w:rPr>
                  </w:pPr>
                </w:p>
              </w:tc>
              <w:tc>
                <w:tcPr>
                  <w:tcW w:w="2061" w:type="pct"/>
                  <w:vMerge w:val="continue"/>
                  <w:tcBorders>
                    <w:tl2br w:val="nil"/>
                    <w:tr2bl w:val="nil"/>
                  </w:tcBorders>
                  <w:vAlign w:val="center"/>
                </w:tcPr>
                <w:p w14:paraId="1E9BEE42">
                  <w:pPr>
                    <w:autoSpaceDE w:val="0"/>
                    <w:autoSpaceDN w:val="0"/>
                    <w:adjustRightInd w:val="0"/>
                    <w:snapToGrid w:val="0"/>
                    <w:jc w:val="center"/>
                    <w:rPr>
                      <w:rFonts w:ascii="Times New Roman" w:hAnsi="Times New Roman"/>
                      <w:color w:val="auto"/>
                      <w:kern w:val="0"/>
                      <w:szCs w:val="21"/>
                      <w:lang w:bidi="ar"/>
                    </w:rPr>
                  </w:pPr>
                </w:p>
              </w:tc>
              <w:tc>
                <w:tcPr>
                  <w:tcW w:w="2508" w:type="pct"/>
                  <w:tcBorders>
                    <w:tl2br w:val="nil"/>
                    <w:tr2bl w:val="nil"/>
                  </w:tcBorders>
                  <w:vAlign w:val="center"/>
                </w:tcPr>
                <w:p w14:paraId="5F1010AC">
                  <w:pPr>
                    <w:autoSpaceDE w:val="0"/>
                    <w:autoSpaceDN w:val="0"/>
                    <w:adjustRightInd w:val="0"/>
                    <w:snapToGrid w:val="0"/>
                    <w:jc w:val="left"/>
                    <w:rPr>
                      <w:rFonts w:ascii="Times New Roman" w:hAnsi="Times New Roman"/>
                      <w:color w:val="auto"/>
                      <w:kern w:val="0"/>
                      <w:szCs w:val="21"/>
                      <w:lang w:bidi="ar"/>
                    </w:rPr>
                  </w:pPr>
                  <w:r>
                    <w:rPr>
                      <w:rFonts w:ascii="Times New Roman" w:hAnsi="Times New Roman"/>
                      <w:color w:val="auto"/>
                      <w:kern w:val="0"/>
                      <w:szCs w:val="21"/>
                      <w:lang w:bidi="ar"/>
                    </w:rPr>
                    <w:t>③滇东北高山沼泽化草甸区</w:t>
                  </w:r>
                </w:p>
              </w:tc>
            </w:tr>
          </w:tbl>
          <w:p w14:paraId="26BD8A4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ascii="Times New Roman" w:hAnsi="Times New Roman"/>
                <w:color w:val="auto"/>
                <w:sz w:val="24"/>
                <w:szCs w:val="24"/>
              </w:rPr>
              <w:t>，经核实，项目区不在划定的全省生物多样性保护优先区域范围</w:t>
            </w:r>
            <w:r>
              <w:rPr>
                <w:rFonts w:ascii="Times New Roman" w:hAnsi="Times New Roman"/>
                <w:snapToGrid w:val="0"/>
                <w:color w:val="auto"/>
                <w:sz w:val="24"/>
                <w:szCs w:val="24"/>
              </w:rPr>
              <w:t>。</w:t>
            </w:r>
            <w:r>
              <w:rPr>
                <w:rFonts w:ascii="Times New Roman" w:hAnsi="Times New Roman"/>
                <w:color w:val="auto"/>
                <w:sz w:val="24"/>
                <w:szCs w:val="24"/>
              </w:rPr>
              <w:t>项目在最大程度保护项目场址及周边生态环境的基础上，与《云南省生物多样性保护战略与行动计划（2012~2030年）》不冲突。</w:t>
            </w:r>
          </w:p>
          <w:p w14:paraId="506D9796">
            <w:pPr>
              <w:adjustRightInd w:val="0"/>
              <w:snapToGrid w:val="0"/>
              <w:jc w:val="center"/>
              <w:rPr>
                <w:rFonts w:ascii="Times New Roman" w:hAnsi="Times New Roman"/>
                <w:color w:val="auto"/>
              </w:rPr>
            </w:pPr>
            <w:r>
              <w:rPr>
                <w:color w:val="auto"/>
              </w:rPr>
              <w:drawing>
                <wp:inline distT="0" distB="0" distL="114300" distR="114300">
                  <wp:extent cx="4629150" cy="3181350"/>
                  <wp:effectExtent l="0" t="0" r="0" b="0"/>
                  <wp:docPr id="83" name="图片 6" descr="附图9本项目与云南生物多样性保护优先区域位置关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descr="附图9本项目与云南生物多样性保护优先区域位置关系图"/>
                          <pic:cNvPicPr>
                            <a:picLocks noChangeAspect="1"/>
                          </pic:cNvPicPr>
                        </pic:nvPicPr>
                        <pic:blipFill>
                          <a:blip r:embed="rId19"/>
                          <a:srcRect t="5777"/>
                          <a:stretch>
                            <a:fillRect/>
                          </a:stretch>
                        </pic:blipFill>
                        <pic:spPr>
                          <a:xfrm>
                            <a:off x="0" y="0"/>
                            <a:ext cx="4629150" cy="3181350"/>
                          </a:xfrm>
                          <a:prstGeom prst="rect">
                            <a:avLst/>
                          </a:prstGeom>
                          <a:noFill/>
                          <a:ln>
                            <a:noFill/>
                          </a:ln>
                        </pic:spPr>
                      </pic:pic>
                    </a:graphicData>
                  </a:graphic>
                </wp:inline>
              </w:drawing>
            </w:r>
          </w:p>
          <w:p w14:paraId="175D234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图1-</w:t>
            </w:r>
            <w:r>
              <w:rPr>
                <w:rFonts w:hint="eastAsia" w:ascii="Times New Roman" w:hAnsi="Times New Roman"/>
                <w:b/>
                <w:bCs/>
                <w:color w:val="auto"/>
                <w:kern w:val="0"/>
                <w:szCs w:val="21"/>
              </w:rPr>
              <w:t>6</w:t>
            </w:r>
            <w:r>
              <w:rPr>
                <w:rFonts w:ascii="Times New Roman" w:hAnsi="Times New Roman"/>
                <w:b/>
                <w:bCs/>
                <w:color w:val="auto"/>
                <w:kern w:val="0"/>
                <w:szCs w:val="21"/>
              </w:rPr>
              <w:t xml:space="preserve">  项目与《云南省生物多样性保护战略与行动计划（2012-2030年）》位置关系</w:t>
            </w:r>
          </w:p>
          <w:p w14:paraId="6B1ED65F">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同时，2024年5月20日云南省生态环境厅、云南省发展和改革委员会等11部门关于印发《云南省生物多样性保护战略与行动计划（2024—2030年）》的通知，根据《云南省生物多样性保护战略与行动计划（2024—2030年）》，本项目不涉及</w:t>
            </w:r>
            <w:r>
              <w:rPr>
                <w:rFonts w:hint="eastAsia" w:ascii="Times New Roman" w:hAnsi="Times New Roman"/>
                <w:color w:val="auto"/>
                <w:sz w:val="24"/>
                <w:szCs w:val="24"/>
              </w:rPr>
              <w:t>云南省</w:t>
            </w:r>
            <w:r>
              <w:rPr>
                <w:rFonts w:ascii="Times New Roman" w:hAnsi="Times New Roman"/>
                <w:color w:val="auto"/>
                <w:sz w:val="24"/>
                <w:szCs w:val="24"/>
              </w:rPr>
              <w:t>生物多样性保护优先区</w:t>
            </w:r>
            <w:r>
              <w:rPr>
                <w:rFonts w:hint="eastAsia" w:ascii="Times New Roman" w:hAnsi="Times New Roman"/>
                <w:color w:val="auto"/>
                <w:sz w:val="24"/>
                <w:szCs w:val="24"/>
              </w:rPr>
              <w:t>范围内优先保护</w:t>
            </w:r>
            <w:r>
              <w:rPr>
                <w:rFonts w:ascii="Times New Roman" w:hAnsi="Times New Roman"/>
                <w:color w:val="auto"/>
                <w:sz w:val="24"/>
              </w:rPr>
              <w:t>单元，不涉及九大高原湖泊流域生态空间格局；本项目运营期无生产废气产生，无生活废水产生，固废处置率可达100%；项目运营期采取措施后对环境影响较小，项目在最大程度保护项目场址及周边生态环境的基础上，与《云南省生物多样性保护战略与行动计划（2024~2030年）》不冲突。</w:t>
            </w:r>
          </w:p>
          <w:p w14:paraId="1912DF38">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综上所述，本项目与《云南省生物多样性保护战略与行动计划（2024~2030年）》不冲突。</w:t>
            </w:r>
          </w:p>
          <w:p w14:paraId="040A1F9E">
            <w:pPr>
              <w:autoSpaceDE w:val="0"/>
              <w:autoSpaceDN w:val="0"/>
              <w:adjustRightInd w:val="0"/>
              <w:snapToGrid w:val="0"/>
              <w:spacing w:line="440" w:lineRule="exact"/>
              <w:rPr>
                <w:rFonts w:ascii="Times New Roman" w:hAnsi="Times New Roman"/>
                <w:b/>
                <w:color w:val="auto"/>
                <w:sz w:val="24"/>
                <w:szCs w:val="24"/>
              </w:rPr>
            </w:pPr>
            <w:r>
              <w:rPr>
                <w:rFonts w:hint="eastAsia" w:ascii="Times New Roman" w:hAnsi="Times New Roman"/>
                <w:b/>
                <w:color w:val="auto"/>
                <w:spacing w:val="-11"/>
                <w:kern w:val="0"/>
                <w:sz w:val="24"/>
                <w:szCs w:val="20"/>
              </w:rPr>
              <w:t>6</w:t>
            </w:r>
            <w:r>
              <w:rPr>
                <w:rFonts w:ascii="Times New Roman" w:hAnsi="Times New Roman"/>
                <w:b/>
                <w:color w:val="auto"/>
                <w:spacing w:val="-11"/>
                <w:kern w:val="0"/>
                <w:sz w:val="24"/>
                <w:szCs w:val="20"/>
              </w:rPr>
              <w:t>、</w:t>
            </w:r>
            <w:r>
              <w:rPr>
                <w:rFonts w:ascii="Times New Roman" w:hAnsi="Times New Roman"/>
                <w:b/>
                <w:color w:val="auto"/>
                <w:sz w:val="24"/>
                <w:szCs w:val="24"/>
              </w:rPr>
              <w:t>与《长江经济带发展负面清单指南（试行，2022年版）》（长江办〔2022〕7号）的通知符合性分析</w:t>
            </w:r>
          </w:p>
          <w:p w14:paraId="136BB3B0">
            <w:pPr>
              <w:adjustRightInd w:val="0"/>
              <w:snapToGrid w:val="0"/>
              <w:spacing w:line="440" w:lineRule="exact"/>
              <w:ind w:firstLine="480" w:firstLineChars="200"/>
              <w:rPr>
                <w:rFonts w:ascii="Times New Roman" w:hAnsi="Times New Roman"/>
                <w:bCs/>
                <w:color w:val="auto"/>
                <w:kern w:val="0"/>
                <w:sz w:val="24"/>
                <w:szCs w:val="20"/>
              </w:rPr>
            </w:pPr>
            <w:r>
              <w:rPr>
                <w:rFonts w:ascii="Times New Roman" w:hAnsi="Times New Roman"/>
                <w:bCs/>
                <w:color w:val="auto"/>
                <w:sz w:val="24"/>
                <w:szCs w:val="24"/>
              </w:rPr>
              <w:t>推动</w:t>
            </w:r>
            <w:r>
              <w:rPr>
                <w:rFonts w:hint="eastAsia" w:ascii="Times New Roman" w:hAnsi="Times New Roman"/>
                <w:bCs/>
                <w:color w:val="auto"/>
                <w:sz w:val="24"/>
                <w:szCs w:val="24"/>
              </w:rPr>
              <w:t>长江经济带发展</w:t>
            </w:r>
            <w:r>
              <w:rPr>
                <w:rFonts w:ascii="Times New Roman" w:hAnsi="Times New Roman"/>
                <w:bCs/>
                <w:color w:val="auto"/>
                <w:sz w:val="24"/>
                <w:szCs w:val="24"/>
              </w:rPr>
              <w:t>领导小组办公室于2022年1月19日关于印发《长江经济带发展负面清单指南（试行，2022年版）》的通知，</w:t>
            </w:r>
            <w:r>
              <w:rPr>
                <w:rFonts w:ascii="Times New Roman" w:hAnsi="Times New Roman"/>
                <w:bCs/>
                <w:color w:val="auto"/>
                <w:kern w:val="0"/>
                <w:sz w:val="24"/>
                <w:szCs w:val="20"/>
              </w:rPr>
              <w:t>通过该负面清单与本项目的对比，确定本项目符合该“负面清单”的相关要求。</w:t>
            </w:r>
          </w:p>
          <w:p w14:paraId="25D91EC3">
            <w:pPr>
              <w:jc w:val="center"/>
              <w:rPr>
                <w:rFonts w:ascii="Times New Roman" w:hAnsi="Times New Roman"/>
                <w:b/>
                <w:color w:val="auto"/>
                <w:sz w:val="24"/>
                <w:szCs w:val="24"/>
              </w:rPr>
            </w:pPr>
            <w:r>
              <w:rPr>
                <w:rFonts w:ascii="Times New Roman" w:hAnsi="Times New Roman"/>
                <w:b/>
                <w:color w:val="auto"/>
                <w:sz w:val="24"/>
                <w:szCs w:val="24"/>
              </w:rPr>
              <w:t>表1-6  项目与长江办〔2022〕7号的符合对照表</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6"/>
              <w:gridCol w:w="4080"/>
              <w:gridCol w:w="1907"/>
              <w:gridCol w:w="681"/>
            </w:tblGrid>
            <w:tr w14:paraId="1BF669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157DDEAF">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2883" w:type="pct"/>
                  <w:tcBorders>
                    <w:tl2br w:val="nil"/>
                    <w:tr2bl w:val="nil"/>
                  </w:tcBorders>
                  <w:vAlign w:val="center"/>
                </w:tcPr>
                <w:p w14:paraId="18D489C3">
                  <w:pPr>
                    <w:adjustRightInd w:val="0"/>
                    <w:snapToGrid w:val="0"/>
                    <w:jc w:val="center"/>
                    <w:rPr>
                      <w:rFonts w:ascii="Times New Roman" w:hAnsi="Times New Roman"/>
                      <w:b/>
                      <w:bCs/>
                      <w:color w:val="auto"/>
                      <w:szCs w:val="21"/>
                    </w:rPr>
                  </w:pPr>
                  <w:r>
                    <w:rPr>
                      <w:rFonts w:ascii="Times New Roman" w:hAnsi="Times New Roman"/>
                      <w:b/>
                      <w:bCs/>
                      <w:color w:val="auto"/>
                      <w:szCs w:val="21"/>
                    </w:rPr>
                    <w:t>负面清单</w:t>
                  </w:r>
                </w:p>
              </w:tc>
              <w:tc>
                <w:tcPr>
                  <w:tcW w:w="1347" w:type="pct"/>
                  <w:tcBorders>
                    <w:tl2br w:val="nil"/>
                    <w:tr2bl w:val="nil"/>
                  </w:tcBorders>
                  <w:vAlign w:val="center"/>
                </w:tcPr>
                <w:p w14:paraId="2CB5BB6F">
                  <w:pPr>
                    <w:adjustRightInd w:val="0"/>
                    <w:snapToGrid w:val="0"/>
                    <w:jc w:val="center"/>
                    <w:rPr>
                      <w:rFonts w:ascii="Times New Roman" w:hAnsi="Times New Roman"/>
                      <w:b/>
                      <w:bCs/>
                      <w:color w:val="auto"/>
                      <w:szCs w:val="21"/>
                    </w:rPr>
                  </w:pPr>
                  <w:r>
                    <w:rPr>
                      <w:rFonts w:ascii="Times New Roman" w:hAnsi="Times New Roman"/>
                      <w:b/>
                      <w:bCs/>
                      <w:color w:val="auto"/>
                      <w:szCs w:val="21"/>
                    </w:rPr>
                    <w:t>项目情况</w:t>
                  </w:r>
                </w:p>
              </w:tc>
              <w:tc>
                <w:tcPr>
                  <w:tcW w:w="481" w:type="pct"/>
                  <w:tcBorders>
                    <w:tl2br w:val="nil"/>
                    <w:tr2bl w:val="nil"/>
                  </w:tcBorders>
                  <w:vAlign w:val="center"/>
                </w:tcPr>
                <w:p w14:paraId="52E450A3">
                  <w:pPr>
                    <w:adjustRightInd w:val="0"/>
                    <w:snapToGrid w:val="0"/>
                    <w:jc w:val="center"/>
                    <w:rPr>
                      <w:rFonts w:ascii="Times New Roman" w:hAnsi="Times New Roman"/>
                      <w:b/>
                      <w:bCs/>
                      <w:color w:val="auto"/>
                      <w:szCs w:val="21"/>
                    </w:rPr>
                  </w:pPr>
                  <w:r>
                    <w:rPr>
                      <w:rFonts w:ascii="Times New Roman" w:hAnsi="Times New Roman"/>
                      <w:b/>
                      <w:bCs/>
                      <w:color w:val="auto"/>
                      <w:szCs w:val="21"/>
                    </w:rPr>
                    <w:t>符合性</w:t>
                  </w:r>
                </w:p>
              </w:tc>
            </w:tr>
            <w:tr w14:paraId="4D53E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5742458E">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2883" w:type="pct"/>
                  <w:tcBorders>
                    <w:tl2br w:val="nil"/>
                    <w:tr2bl w:val="nil"/>
                  </w:tcBorders>
                  <w:vAlign w:val="center"/>
                </w:tcPr>
                <w:p w14:paraId="24733BA5">
                  <w:pPr>
                    <w:adjustRightInd w:val="0"/>
                    <w:snapToGrid w:val="0"/>
                    <w:jc w:val="center"/>
                    <w:rPr>
                      <w:rFonts w:ascii="Times New Roman" w:hAnsi="Times New Roman"/>
                      <w:color w:val="auto"/>
                      <w:szCs w:val="21"/>
                    </w:rPr>
                  </w:pPr>
                  <w:r>
                    <w:rPr>
                      <w:rFonts w:ascii="Times New Roman" w:hAnsi="Times New Roman"/>
                      <w:color w:val="auto"/>
                      <w:szCs w:val="21"/>
                    </w:rPr>
                    <w:t>禁止建设不符合全国和省级港口布局规划以及港口总体规划的码头项目，禁止建设不符合《长江干线过江通道布局规划》的过长江通道项目。</w:t>
                  </w:r>
                </w:p>
              </w:tc>
              <w:tc>
                <w:tcPr>
                  <w:tcW w:w="1347" w:type="pct"/>
                  <w:tcBorders>
                    <w:tl2br w:val="nil"/>
                    <w:tr2bl w:val="nil"/>
                  </w:tcBorders>
                  <w:vAlign w:val="center"/>
                </w:tcPr>
                <w:p w14:paraId="73C3E15C">
                  <w:pPr>
                    <w:adjustRightInd w:val="0"/>
                    <w:snapToGrid w:val="0"/>
                    <w:jc w:val="center"/>
                    <w:rPr>
                      <w:rFonts w:ascii="Times New Roman" w:hAnsi="Times New Roman"/>
                      <w:color w:val="auto"/>
                      <w:szCs w:val="21"/>
                    </w:rPr>
                  </w:pPr>
                  <w:r>
                    <w:rPr>
                      <w:rFonts w:ascii="Times New Roman" w:hAnsi="Times New Roman"/>
                      <w:color w:val="auto"/>
                      <w:szCs w:val="21"/>
                    </w:rPr>
                    <w:t>本项目属于输变电工程，不属于禁止港口码头项目</w:t>
                  </w:r>
                </w:p>
              </w:tc>
              <w:tc>
                <w:tcPr>
                  <w:tcW w:w="481" w:type="pct"/>
                  <w:tcBorders>
                    <w:tl2br w:val="nil"/>
                    <w:tr2bl w:val="nil"/>
                  </w:tcBorders>
                  <w:vAlign w:val="center"/>
                </w:tcPr>
                <w:p w14:paraId="3CA97E02">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7C90D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2711CF13">
                  <w:pPr>
                    <w:adjustRightInd w:val="0"/>
                    <w:snapToGrid w:val="0"/>
                    <w:jc w:val="center"/>
                    <w:rPr>
                      <w:rFonts w:ascii="Times New Roman" w:hAnsi="Times New Roman"/>
                      <w:color w:val="auto"/>
                      <w:szCs w:val="21"/>
                    </w:rPr>
                  </w:pPr>
                  <w:r>
                    <w:rPr>
                      <w:rFonts w:ascii="Times New Roman" w:hAnsi="Times New Roman"/>
                      <w:color w:val="auto"/>
                      <w:szCs w:val="21"/>
                    </w:rPr>
                    <w:t>2</w:t>
                  </w:r>
                </w:p>
              </w:tc>
              <w:tc>
                <w:tcPr>
                  <w:tcW w:w="2883" w:type="pct"/>
                  <w:tcBorders>
                    <w:tl2br w:val="nil"/>
                    <w:tr2bl w:val="nil"/>
                  </w:tcBorders>
                  <w:vAlign w:val="center"/>
                </w:tcPr>
                <w:p w14:paraId="7141D568">
                  <w:pPr>
                    <w:adjustRightInd w:val="0"/>
                    <w:snapToGrid w:val="0"/>
                    <w:jc w:val="center"/>
                    <w:rPr>
                      <w:rFonts w:ascii="Times New Roman" w:hAnsi="Times New Roman"/>
                      <w:color w:val="auto"/>
                      <w:szCs w:val="21"/>
                    </w:rPr>
                  </w:pPr>
                  <w:r>
                    <w:rPr>
                      <w:rFonts w:ascii="Times New Roman" w:hAnsi="Times New Roman"/>
                      <w:color w:val="auto"/>
                      <w:szCs w:val="21"/>
                    </w:rPr>
                    <w:t>禁止在自然保护区核心区、缓冲区的岸线和河段范围内投资建设旅游和生产经营项目。禁止在风景名胜区核心景区的岸线和河段范围内投资建设与风景名胜资源保护无关的项目。</w:t>
                  </w:r>
                </w:p>
              </w:tc>
              <w:tc>
                <w:tcPr>
                  <w:tcW w:w="1347" w:type="pct"/>
                  <w:tcBorders>
                    <w:tl2br w:val="nil"/>
                    <w:tr2bl w:val="nil"/>
                  </w:tcBorders>
                  <w:vAlign w:val="center"/>
                </w:tcPr>
                <w:p w14:paraId="05A4D7E4">
                  <w:pPr>
                    <w:adjustRightInd w:val="0"/>
                    <w:snapToGrid w:val="0"/>
                    <w:jc w:val="center"/>
                    <w:rPr>
                      <w:rFonts w:ascii="Times New Roman" w:hAnsi="Times New Roman"/>
                      <w:color w:val="auto"/>
                      <w:szCs w:val="21"/>
                    </w:rPr>
                  </w:pPr>
                  <w:r>
                    <w:rPr>
                      <w:rFonts w:ascii="Times New Roman" w:hAnsi="Times New Roman"/>
                      <w:color w:val="auto"/>
                      <w:szCs w:val="21"/>
                    </w:rPr>
                    <w:t>本项目不涉及自然保护区、风景名胜区</w:t>
                  </w:r>
                </w:p>
              </w:tc>
              <w:tc>
                <w:tcPr>
                  <w:tcW w:w="481" w:type="pct"/>
                  <w:tcBorders>
                    <w:tl2br w:val="nil"/>
                    <w:tr2bl w:val="nil"/>
                  </w:tcBorders>
                  <w:vAlign w:val="center"/>
                </w:tcPr>
                <w:p w14:paraId="1FFB08E4">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67933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5C58EA5F">
                  <w:pPr>
                    <w:adjustRightInd w:val="0"/>
                    <w:snapToGrid w:val="0"/>
                    <w:jc w:val="center"/>
                    <w:rPr>
                      <w:rFonts w:ascii="Times New Roman" w:hAnsi="Times New Roman"/>
                      <w:color w:val="auto"/>
                      <w:szCs w:val="21"/>
                    </w:rPr>
                  </w:pPr>
                  <w:r>
                    <w:rPr>
                      <w:rFonts w:ascii="Times New Roman" w:hAnsi="Times New Roman"/>
                      <w:color w:val="auto"/>
                      <w:szCs w:val="21"/>
                    </w:rPr>
                    <w:t>3</w:t>
                  </w:r>
                </w:p>
              </w:tc>
              <w:tc>
                <w:tcPr>
                  <w:tcW w:w="2883" w:type="pct"/>
                  <w:tcBorders>
                    <w:tl2br w:val="nil"/>
                    <w:tr2bl w:val="nil"/>
                  </w:tcBorders>
                  <w:vAlign w:val="center"/>
                </w:tcPr>
                <w:p w14:paraId="5A24345F">
                  <w:pPr>
                    <w:adjustRightInd w:val="0"/>
                    <w:snapToGrid w:val="0"/>
                    <w:jc w:val="center"/>
                    <w:rPr>
                      <w:rFonts w:ascii="Times New Roman" w:hAnsi="Times New Roman"/>
                      <w:color w:val="auto"/>
                      <w:szCs w:val="21"/>
                    </w:rPr>
                  </w:pPr>
                  <w:r>
                    <w:rPr>
                      <w:rFonts w:ascii="Times New Roman" w:hAnsi="Times New Roman"/>
                      <w:color w:val="auto"/>
                      <w:szCs w:val="21"/>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347" w:type="pct"/>
                  <w:tcBorders>
                    <w:tl2br w:val="nil"/>
                    <w:tr2bl w:val="nil"/>
                  </w:tcBorders>
                  <w:vAlign w:val="center"/>
                </w:tcPr>
                <w:p w14:paraId="39FA1600">
                  <w:pPr>
                    <w:adjustRightInd w:val="0"/>
                    <w:snapToGrid w:val="0"/>
                    <w:jc w:val="center"/>
                    <w:rPr>
                      <w:rFonts w:ascii="Times New Roman" w:hAnsi="Times New Roman"/>
                      <w:color w:val="auto"/>
                      <w:szCs w:val="21"/>
                    </w:rPr>
                  </w:pPr>
                  <w:r>
                    <w:rPr>
                      <w:rFonts w:ascii="Times New Roman" w:hAnsi="Times New Roman"/>
                      <w:color w:val="auto"/>
                      <w:szCs w:val="21"/>
                    </w:rPr>
                    <w:t>项目占地不在饮用水水源地一级保护区的岸线和河段范围内和二级保护区的岸线和河段范围内</w:t>
                  </w:r>
                </w:p>
              </w:tc>
              <w:tc>
                <w:tcPr>
                  <w:tcW w:w="481" w:type="pct"/>
                  <w:tcBorders>
                    <w:tl2br w:val="nil"/>
                    <w:tr2bl w:val="nil"/>
                  </w:tcBorders>
                  <w:vAlign w:val="center"/>
                </w:tcPr>
                <w:p w14:paraId="4A2AD0A5">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084E9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14D30A2F">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2883" w:type="pct"/>
                  <w:tcBorders>
                    <w:tl2br w:val="nil"/>
                    <w:tr2bl w:val="nil"/>
                  </w:tcBorders>
                  <w:vAlign w:val="center"/>
                </w:tcPr>
                <w:p w14:paraId="7F3A5755">
                  <w:pPr>
                    <w:adjustRightInd w:val="0"/>
                    <w:snapToGrid w:val="0"/>
                    <w:jc w:val="center"/>
                    <w:rPr>
                      <w:rFonts w:ascii="Times New Roman" w:hAnsi="Times New Roman"/>
                      <w:color w:val="auto"/>
                      <w:szCs w:val="21"/>
                    </w:rPr>
                  </w:pPr>
                  <w:r>
                    <w:rPr>
                      <w:rFonts w:ascii="Times New Roman" w:hAnsi="Times New Roman"/>
                      <w:color w:val="auto"/>
                      <w:szCs w:val="21"/>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347" w:type="pct"/>
                  <w:tcBorders>
                    <w:tl2br w:val="nil"/>
                    <w:tr2bl w:val="nil"/>
                  </w:tcBorders>
                  <w:vAlign w:val="center"/>
                </w:tcPr>
                <w:p w14:paraId="7C3542CC">
                  <w:pPr>
                    <w:adjustRightInd w:val="0"/>
                    <w:snapToGrid w:val="0"/>
                    <w:jc w:val="center"/>
                    <w:rPr>
                      <w:rFonts w:ascii="Times New Roman" w:hAnsi="Times New Roman"/>
                      <w:color w:val="auto"/>
                      <w:szCs w:val="21"/>
                    </w:rPr>
                  </w:pPr>
                  <w:r>
                    <w:rPr>
                      <w:rFonts w:ascii="Times New Roman" w:hAnsi="Times New Roman"/>
                      <w:color w:val="auto"/>
                      <w:szCs w:val="21"/>
                    </w:rPr>
                    <w:t>项目不涉及水产种质资源保护区、国家湿地公园，项目符合《云南省主体功能区规划》定位</w:t>
                  </w:r>
                </w:p>
              </w:tc>
              <w:tc>
                <w:tcPr>
                  <w:tcW w:w="481" w:type="pct"/>
                  <w:tcBorders>
                    <w:tl2br w:val="nil"/>
                    <w:tr2bl w:val="nil"/>
                  </w:tcBorders>
                  <w:vAlign w:val="center"/>
                </w:tcPr>
                <w:p w14:paraId="2250941B">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66160F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4AF7AC30">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2883" w:type="pct"/>
                  <w:tcBorders>
                    <w:tl2br w:val="nil"/>
                    <w:tr2bl w:val="nil"/>
                  </w:tcBorders>
                  <w:vAlign w:val="center"/>
                </w:tcPr>
                <w:p w14:paraId="1A957825">
                  <w:pPr>
                    <w:adjustRightInd w:val="0"/>
                    <w:snapToGrid w:val="0"/>
                    <w:jc w:val="center"/>
                    <w:rPr>
                      <w:rFonts w:ascii="Times New Roman" w:hAnsi="Times New Roman"/>
                      <w:color w:val="auto"/>
                      <w:szCs w:val="21"/>
                    </w:rPr>
                  </w:pPr>
                  <w:r>
                    <w:rPr>
                      <w:rFonts w:ascii="Times New Roman" w:hAnsi="Times New Roman"/>
                      <w:color w:val="auto"/>
                      <w:szCs w:val="21"/>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347" w:type="pct"/>
                  <w:tcBorders>
                    <w:tl2br w:val="nil"/>
                    <w:tr2bl w:val="nil"/>
                  </w:tcBorders>
                  <w:vAlign w:val="center"/>
                </w:tcPr>
                <w:p w14:paraId="732EDA96">
                  <w:pPr>
                    <w:adjustRightInd w:val="0"/>
                    <w:snapToGrid w:val="0"/>
                    <w:jc w:val="center"/>
                    <w:rPr>
                      <w:rFonts w:ascii="Times New Roman" w:hAnsi="Times New Roman"/>
                      <w:color w:val="auto"/>
                      <w:szCs w:val="21"/>
                    </w:rPr>
                  </w:pPr>
                  <w:r>
                    <w:rPr>
                      <w:rFonts w:ascii="Times New Roman" w:hAnsi="Times New Roman"/>
                      <w:color w:val="auto"/>
                      <w:szCs w:val="21"/>
                    </w:rPr>
                    <w:t>本项目不涉及利用、占用长江流域河湖岸线</w:t>
                  </w:r>
                </w:p>
              </w:tc>
              <w:tc>
                <w:tcPr>
                  <w:tcW w:w="481" w:type="pct"/>
                  <w:tcBorders>
                    <w:tl2br w:val="nil"/>
                    <w:tr2bl w:val="nil"/>
                  </w:tcBorders>
                  <w:vAlign w:val="center"/>
                </w:tcPr>
                <w:p w14:paraId="6784A0B4">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6E471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774E3FFE">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2883" w:type="pct"/>
                  <w:tcBorders>
                    <w:tl2br w:val="nil"/>
                    <w:tr2bl w:val="nil"/>
                  </w:tcBorders>
                  <w:vAlign w:val="center"/>
                </w:tcPr>
                <w:p w14:paraId="0FF9F487">
                  <w:pPr>
                    <w:adjustRightInd w:val="0"/>
                    <w:snapToGrid w:val="0"/>
                    <w:jc w:val="center"/>
                    <w:rPr>
                      <w:rFonts w:ascii="Times New Roman" w:hAnsi="Times New Roman"/>
                      <w:color w:val="auto"/>
                      <w:szCs w:val="21"/>
                    </w:rPr>
                  </w:pPr>
                  <w:r>
                    <w:rPr>
                      <w:rFonts w:ascii="Times New Roman" w:hAnsi="Times New Roman"/>
                      <w:color w:val="auto"/>
                      <w:szCs w:val="21"/>
                    </w:rPr>
                    <w:t>禁止未经许可在长江干支流及湖泊新设、改设或扩大排污口。</w:t>
                  </w:r>
                </w:p>
              </w:tc>
              <w:tc>
                <w:tcPr>
                  <w:tcW w:w="1347" w:type="pct"/>
                  <w:tcBorders>
                    <w:tl2br w:val="nil"/>
                    <w:tr2bl w:val="nil"/>
                  </w:tcBorders>
                  <w:vAlign w:val="center"/>
                </w:tcPr>
                <w:p w14:paraId="03269F43">
                  <w:pPr>
                    <w:adjustRightInd w:val="0"/>
                    <w:snapToGrid w:val="0"/>
                    <w:jc w:val="center"/>
                    <w:rPr>
                      <w:rFonts w:ascii="Times New Roman" w:hAnsi="Times New Roman"/>
                      <w:color w:val="auto"/>
                      <w:szCs w:val="21"/>
                    </w:rPr>
                  </w:pPr>
                  <w:r>
                    <w:rPr>
                      <w:rFonts w:ascii="Times New Roman" w:hAnsi="Times New Roman"/>
                      <w:color w:val="auto"/>
                      <w:szCs w:val="21"/>
                    </w:rPr>
                    <w:t>不涉及</w:t>
                  </w:r>
                </w:p>
              </w:tc>
              <w:tc>
                <w:tcPr>
                  <w:tcW w:w="481" w:type="pct"/>
                  <w:tcBorders>
                    <w:tl2br w:val="nil"/>
                    <w:tr2bl w:val="nil"/>
                  </w:tcBorders>
                  <w:vAlign w:val="center"/>
                </w:tcPr>
                <w:p w14:paraId="7BB87400">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6168A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38B259AC">
                  <w:pPr>
                    <w:adjustRightInd w:val="0"/>
                    <w:snapToGrid w:val="0"/>
                    <w:jc w:val="center"/>
                    <w:rPr>
                      <w:rFonts w:ascii="Times New Roman" w:hAnsi="Times New Roman"/>
                      <w:color w:val="auto"/>
                      <w:szCs w:val="21"/>
                    </w:rPr>
                  </w:pPr>
                  <w:r>
                    <w:rPr>
                      <w:rFonts w:ascii="Times New Roman" w:hAnsi="Times New Roman"/>
                      <w:color w:val="auto"/>
                      <w:szCs w:val="21"/>
                    </w:rPr>
                    <w:t>7</w:t>
                  </w:r>
                </w:p>
              </w:tc>
              <w:tc>
                <w:tcPr>
                  <w:tcW w:w="2883" w:type="pct"/>
                  <w:tcBorders>
                    <w:tl2br w:val="nil"/>
                    <w:tr2bl w:val="nil"/>
                  </w:tcBorders>
                  <w:vAlign w:val="center"/>
                </w:tcPr>
                <w:p w14:paraId="2D26ED62">
                  <w:pPr>
                    <w:adjustRightInd w:val="0"/>
                    <w:snapToGrid w:val="0"/>
                    <w:jc w:val="center"/>
                    <w:rPr>
                      <w:rFonts w:ascii="Times New Roman" w:hAnsi="Times New Roman"/>
                      <w:color w:val="auto"/>
                      <w:szCs w:val="21"/>
                    </w:rPr>
                  </w:pPr>
                  <w:r>
                    <w:rPr>
                      <w:rFonts w:ascii="Times New Roman" w:hAnsi="Times New Roman"/>
                      <w:color w:val="auto"/>
                      <w:szCs w:val="21"/>
                    </w:rPr>
                    <w:t>禁止在“一江一口两湖七河”和332个水生生物保护区开展生产性捕捞。</w:t>
                  </w:r>
                </w:p>
              </w:tc>
              <w:tc>
                <w:tcPr>
                  <w:tcW w:w="1347" w:type="pct"/>
                  <w:tcBorders>
                    <w:tl2br w:val="nil"/>
                    <w:tr2bl w:val="nil"/>
                  </w:tcBorders>
                  <w:vAlign w:val="center"/>
                </w:tcPr>
                <w:p w14:paraId="496D9088">
                  <w:pPr>
                    <w:adjustRightInd w:val="0"/>
                    <w:snapToGrid w:val="0"/>
                    <w:jc w:val="center"/>
                    <w:rPr>
                      <w:rFonts w:ascii="Times New Roman" w:hAnsi="Times New Roman"/>
                      <w:color w:val="auto"/>
                      <w:szCs w:val="21"/>
                    </w:rPr>
                  </w:pPr>
                  <w:r>
                    <w:rPr>
                      <w:rFonts w:ascii="Times New Roman" w:hAnsi="Times New Roman"/>
                      <w:color w:val="auto"/>
                      <w:szCs w:val="21"/>
                    </w:rPr>
                    <w:t>不涉及</w:t>
                  </w:r>
                </w:p>
              </w:tc>
              <w:tc>
                <w:tcPr>
                  <w:tcW w:w="481" w:type="pct"/>
                  <w:tcBorders>
                    <w:tl2br w:val="nil"/>
                    <w:tr2bl w:val="nil"/>
                  </w:tcBorders>
                  <w:vAlign w:val="center"/>
                </w:tcPr>
                <w:p w14:paraId="0B4E99A3">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72ECEF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071DCF5A">
                  <w:pPr>
                    <w:adjustRightInd w:val="0"/>
                    <w:snapToGrid w:val="0"/>
                    <w:jc w:val="center"/>
                    <w:rPr>
                      <w:rFonts w:ascii="Times New Roman" w:hAnsi="Times New Roman"/>
                      <w:color w:val="auto"/>
                      <w:szCs w:val="21"/>
                    </w:rPr>
                  </w:pPr>
                  <w:r>
                    <w:rPr>
                      <w:rFonts w:ascii="Times New Roman" w:hAnsi="Times New Roman"/>
                      <w:color w:val="auto"/>
                      <w:szCs w:val="21"/>
                    </w:rPr>
                    <w:t>8</w:t>
                  </w:r>
                </w:p>
              </w:tc>
              <w:tc>
                <w:tcPr>
                  <w:tcW w:w="2883" w:type="pct"/>
                  <w:tcBorders>
                    <w:tl2br w:val="nil"/>
                    <w:tr2bl w:val="nil"/>
                  </w:tcBorders>
                  <w:vAlign w:val="center"/>
                </w:tcPr>
                <w:p w14:paraId="1DA852C4">
                  <w:pPr>
                    <w:adjustRightInd w:val="0"/>
                    <w:snapToGrid w:val="0"/>
                    <w:jc w:val="center"/>
                    <w:rPr>
                      <w:rFonts w:ascii="Times New Roman" w:hAnsi="Times New Roman"/>
                      <w:color w:val="auto"/>
                      <w:szCs w:val="21"/>
                    </w:rPr>
                  </w:pPr>
                  <w:r>
                    <w:rPr>
                      <w:rFonts w:ascii="Times New Roman" w:hAnsi="Times New Roman"/>
                      <w:color w:val="auto"/>
                      <w:szCs w:val="21"/>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347" w:type="pct"/>
                  <w:tcBorders>
                    <w:tl2br w:val="nil"/>
                    <w:tr2bl w:val="nil"/>
                  </w:tcBorders>
                  <w:vAlign w:val="center"/>
                </w:tcPr>
                <w:p w14:paraId="5D7BDCFA">
                  <w:pPr>
                    <w:adjustRightInd w:val="0"/>
                    <w:snapToGrid w:val="0"/>
                    <w:jc w:val="center"/>
                    <w:rPr>
                      <w:rFonts w:ascii="Times New Roman" w:hAnsi="Times New Roman"/>
                      <w:color w:val="auto"/>
                      <w:szCs w:val="21"/>
                    </w:rPr>
                  </w:pPr>
                  <w:r>
                    <w:rPr>
                      <w:rFonts w:ascii="Times New Roman" w:hAnsi="Times New Roman"/>
                      <w:color w:val="auto"/>
                      <w:szCs w:val="21"/>
                    </w:rPr>
                    <w:t>本项目为输变电项目，不在长江干支流、重要湖泊岸线一公里范围</w:t>
                  </w:r>
                </w:p>
              </w:tc>
              <w:tc>
                <w:tcPr>
                  <w:tcW w:w="481" w:type="pct"/>
                  <w:tcBorders>
                    <w:tl2br w:val="nil"/>
                    <w:tr2bl w:val="nil"/>
                  </w:tcBorders>
                  <w:vAlign w:val="center"/>
                </w:tcPr>
                <w:p w14:paraId="73D9505D">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295ED4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069BBBE3">
                  <w:pPr>
                    <w:adjustRightInd w:val="0"/>
                    <w:snapToGrid w:val="0"/>
                    <w:jc w:val="center"/>
                    <w:rPr>
                      <w:rFonts w:ascii="Times New Roman" w:hAnsi="Times New Roman"/>
                      <w:color w:val="auto"/>
                      <w:szCs w:val="21"/>
                    </w:rPr>
                  </w:pPr>
                  <w:r>
                    <w:rPr>
                      <w:rFonts w:ascii="Times New Roman" w:hAnsi="Times New Roman"/>
                      <w:color w:val="auto"/>
                      <w:szCs w:val="21"/>
                    </w:rPr>
                    <w:t>9</w:t>
                  </w:r>
                </w:p>
              </w:tc>
              <w:tc>
                <w:tcPr>
                  <w:tcW w:w="2883" w:type="pct"/>
                  <w:tcBorders>
                    <w:tl2br w:val="nil"/>
                    <w:tr2bl w:val="nil"/>
                  </w:tcBorders>
                  <w:vAlign w:val="center"/>
                </w:tcPr>
                <w:p w14:paraId="1F83B82D">
                  <w:pPr>
                    <w:adjustRightInd w:val="0"/>
                    <w:snapToGrid w:val="0"/>
                    <w:jc w:val="center"/>
                    <w:rPr>
                      <w:rFonts w:ascii="Times New Roman" w:hAnsi="Times New Roman"/>
                      <w:color w:val="auto"/>
                      <w:szCs w:val="21"/>
                    </w:rPr>
                  </w:pPr>
                  <w:r>
                    <w:rPr>
                      <w:rFonts w:ascii="Times New Roman" w:hAnsi="Times New Roman"/>
                      <w:color w:val="auto"/>
                      <w:szCs w:val="21"/>
                    </w:rPr>
                    <w:t>禁止在合规园区外新建、扩建钢铁、石化、化工、焦化、建材、有色、制浆造纸等高污染项目。</w:t>
                  </w:r>
                </w:p>
              </w:tc>
              <w:tc>
                <w:tcPr>
                  <w:tcW w:w="1347" w:type="pct"/>
                  <w:tcBorders>
                    <w:tl2br w:val="nil"/>
                    <w:tr2bl w:val="nil"/>
                  </w:tcBorders>
                  <w:vAlign w:val="center"/>
                </w:tcPr>
                <w:p w14:paraId="1B3D5F7B">
                  <w:pPr>
                    <w:adjustRightInd w:val="0"/>
                    <w:snapToGrid w:val="0"/>
                    <w:jc w:val="center"/>
                    <w:rPr>
                      <w:rFonts w:ascii="Times New Roman" w:hAnsi="Times New Roman"/>
                      <w:color w:val="auto"/>
                      <w:szCs w:val="21"/>
                    </w:rPr>
                  </w:pPr>
                  <w:r>
                    <w:rPr>
                      <w:rFonts w:ascii="Times New Roman" w:hAnsi="Times New Roman"/>
                      <w:color w:val="auto"/>
                      <w:szCs w:val="21"/>
                    </w:rPr>
                    <w:t>本项目为输变电项目，不属于高污染项目</w:t>
                  </w:r>
                </w:p>
              </w:tc>
              <w:tc>
                <w:tcPr>
                  <w:tcW w:w="481" w:type="pct"/>
                  <w:tcBorders>
                    <w:tl2br w:val="nil"/>
                    <w:tr2bl w:val="nil"/>
                  </w:tcBorders>
                  <w:vAlign w:val="center"/>
                </w:tcPr>
                <w:p w14:paraId="1C84AFF4">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70F46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361C0F52">
                  <w:pPr>
                    <w:adjustRightInd w:val="0"/>
                    <w:snapToGrid w:val="0"/>
                    <w:jc w:val="center"/>
                    <w:rPr>
                      <w:rFonts w:ascii="Times New Roman" w:hAnsi="Times New Roman"/>
                      <w:color w:val="auto"/>
                      <w:szCs w:val="21"/>
                    </w:rPr>
                  </w:pPr>
                  <w:r>
                    <w:rPr>
                      <w:rFonts w:ascii="Times New Roman" w:hAnsi="Times New Roman"/>
                      <w:color w:val="auto"/>
                      <w:szCs w:val="21"/>
                    </w:rPr>
                    <w:t>10</w:t>
                  </w:r>
                </w:p>
              </w:tc>
              <w:tc>
                <w:tcPr>
                  <w:tcW w:w="2883" w:type="pct"/>
                  <w:tcBorders>
                    <w:tl2br w:val="nil"/>
                    <w:tr2bl w:val="nil"/>
                  </w:tcBorders>
                  <w:vAlign w:val="center"/>
                </w:tcPr>
                <w:p w14:paraId="6D849A99">
                  <w:pPr>
                    <w:adjustRightInd w:val="0"/>
                    <w:snapToGrid w:val="0"/>
                    <w:jc w:val="center"/>
                    <w:rPr>
                      <w:rFonts w:ascii="Times New Roman" w:hAnsi="Times New Roman"/>
                      <w:color w:val="auto"/>
                      <w:szCs w:val="21"/>
                    </w:rPr>
                  </w:pPr>
                  <w:r>
                    <w:rPr>
                      <w:rFonts w:ascii="Times New Roman" w:hAnsi="Times New Roman"/>
                      <w:color w:val="auto"/>
                      <w:szCs w:val="21"/>
                    </w:rPr>
                    <w:t>禁止新建、扩建不符合国家石化、现代煤化工等产业布局规划的项目。</w:t>
                  </w:r>
                </w:p>
              </w:tc>
              <w:tc>
                <w:tcPr>
                  <w:tcW w:w="1347" w:type="pct"/>
                  <w:tcBorders>
                    <w:tl2br w:val="nil"/>
                    <w:tr2bl w:val="nil"/>
                  </w:tcBorders>
                  <w:vAlign w:val="center"/>
                </w:tcPr>
                <w:p w14:paraId="132BC94F">
                  <w:pPr>
                    <w:adjustRightInd w:val="0"/>
                    <w:snapToGrid w:val="0"/>
                    <w:jc w:val="center"/>
                    <w:rPr>
                      <w:rFonts w:ascii="Times New Roman" w:hAnsi="Times New Roman"/>
                      <w:color w:val="auto"/>
                      <w:szCs w:val="21"/>
                    </w:rPr>
                  </w:pPr>
                  <w:r>
                    <w:rPr>
                      <w:rFonts w:ascii="Times New Roman" w:hAnsi="Times New Roman"/>
                      <w:color w:val="auto"/>
                      <w:szCs w:val="21"/>
                    </w:rPr>
                    <w:t>本项目为输变电项目，符合规划布局</w:t>
                  </w:r>
                </w:p>
              </w:tc>
              <w:tc>
                <w:tcPr>
                  <w:tcW w:w="481" w:type="pct"/>
                  <w:tcBorders>
                    <w:tl2br w:val="nil"/>
                    <w:tr2bl w:val="nil"/>
                  </w:tcBorders>
                  <w:vAlign w:val="center"/>
                </w:tcPr>
                <w:p w14:paraId="11D69A91">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026165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6C610F96">
                  <w:pPr>
                    <w:adjustRightInd w:val="0"/>
                    <w:snapToGrid w:val="0"/>
                    <w:jc w:val="center"/>
                    <w:rPr>
                      <w:rFonts w:ascii="Times New Roman" w:hAnsi="Times New Roman"/>
                      <w:color w:val="auto"/>
                      <w:szCs w:val="21"/>
                    </w:rPr>
                  </w:pPr>
                  <w:r>
                    <w:rPr>
                      <w:rFonts w:ascii="Times New Roman" w:hAnsi="Times New Roman"/>
                      <w:color w:val="auto"/>
                      <w:szCs w:val="21"/>
                    </w:rPr>
                    <w:t>11</w:t>
                  </w:r>
                </w:p>
              </w:tc>
              <w:tc>
                <w:tcPr>
                  <w:tcW w:w="2883" w:type="pct"/>
                  <w:tcBorders>
                    <w:tl2br w:val="nil"/>
                    <w:tr2bl w:val="nil"/>
                  </w:tcBorders>
                  <w:vAlign w:val="center"/>
                </w:tcPr>
                <w:p w14:paraId="629FCE5F">
                  <w:pPr>
                    <w:adjustRightInd w:val="0"/>
                    <w:snapToGrid w:val="0"/>
                    <w:jc w:val="center"/>
                    <w:rPr>
                      <w:rFonts w:ascii="Times New Roman" w:hAnsi="Times New Roman"/>
                      <w:color w:val="auto"/>
                      <w:szCs w:val="21"/>
                    </w:rPr>
                  </w:pPr>
                  <w:r>
                    <w:rPr>
                      <w:rFonts w:ascii="Times New Roman" w:hAnsi="Times New Roman"/>
                      <w:color w:val="auto"/>
                      <w:szCs w:val="21"/>
                    </w:rPr>
                    <w:t>禁止新建、扩建法律法规和相关政策明令禁止的落后产能项目。禁止新建、扩建不符合国家产能置换要求的严重过剩产能行业的项目。禁止新建、扩建不符合要求的高耗能高排放项目。</w:t>
                  </w:r>
                </w:p>
              </w:tc>
              <w:tc>
                <w:tcPr>
                  <w:tcW w:w="1347" w:type="pct"/>
                  <w:tcBorders>
                    <w:tl2br w:val="nil"/>
                    <w:tr2bl w:val="nil"/>
                  </w:tcBorders>
                  <w:vAlign w:val="center"/>
                </w:tcPr>
                <w:p w14:paraId="27BD0D79">
                  <w:pPr>
                    <w:adjustRightInd w:val="0"/>
                    <w:snapToGrid w:val="0"/>
                    <w:jc w:val="center"/>
                    <w:rPr>
                      <w:rFonts w:ascii="Times New Roman" w:hAnsi="Times New Roman"/>
                      <w:color w:val="auto"/>
                      <w:szCs w:val="21"/>
                    </w:rPr>
                  </w:pPr>
                  <w:r>
                    <w:rPr>
                      <w:rFonts w:ascii="Times New Roman" w:hAnsi="Times New Roman"/>
                      <w:color w:val="auto"/>
                      <w:szCs w:val="21"/>
                    </w:rPr>
                    <w:t>本项目为输变电工程，不属于严重过剩产能行业的项目和高耗能高排放项目</w:t>
                  </w:r>
                </w:p>
              </w:tc>
              <w:tc>
                <w:tcPr>
                  <w:tcW w:w="481" w:type="pct"/>
                  <w:tcBorders>
                    <w:tl2br w:val="nil"/>
                    <w:tr2bl w:val="nil"/>
                  </w:tcBorders>
                  <w:vAlign w:val="center"/>
                </w:tcPr>
                <w:p w14:paraId="1ABA9135">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57E0E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tcBorders>
                    <w:tl2br w:val="nil"/>
                    <w:tr2bl w:val="nil"/>
                  </w:tcBorders>
                  <w:vAlign w:val="center"/>
                </w:tcPr>
                <w:p w14:paraId="6D74A2FA">
                  <w:pPr>
                    <w:adjustRightInd w:val="0"/>
                    <w:snapToGrid w:val="0"/>
                    <w:jc w:val="center"/>
                    <w:rPr>
                      <w:rFonts w:ascii="Times New Roman" w:hAnsi="Times New Roman"/>
                      <w:color w:val="auto"/>
                      <w:szCs w:val="21"/>
                    </w:rPr>
                  </w:pPr>
                  <w:r>
                    <w:rPr>
                      <w:rFonts w:ascii="Times New Roman" w:hAnsi="Times New Roman"/>
                      <w:color w:val="auto"/>
                      <w:szCs w:val="21"/>
                    </w:rPr>
                    <w:t>12</w:t>
                  </w:r>
                </w:p>
              </w:tc>
              <w:tc>
                <w:tcPr>
                  <w:tcW w:w="2883" w:type="pct"/>
                  <w:tcBorders>
                    <w:tl2br w:val="nil"/>
                    <w:tr2bl w:val="nil"/>
                  </w:tcBorders>
                  <w:vAlign w:val="center"/>
                </w:tcPr>
                <w:p w14:paraId="2E9D5346">
                  <w:pPr>
                    <w:adjustRightInd w:val="0"/>
                    <w:snapToGrid w:val="0"/>
                    <w:jc w:val="center"/>
                    <w:rPr>
                      <w:rFonts w:ascii="Times New Roman" w:hAnsi="Times New Roman"/>
                      <w:color w:val="auto"/>
                      <w:szCs w:val="21"/>
                    </w:rPr>
                  </w:pPr>
                  <w:r>
                    <w:rPr>
                      <w:rFonts w:ascii="Times New Roman" w:hAnsi="Times New Roman"/>
                      <w:color w:val="auto"/>
                      <w:szCs w:val="21"/>
                    </w:rPr>
                    <w:t>法律法规及相关政策文件有更加严格规定的从其规定。</w:t>
                  </w:r>
                </w:p>
              </w:tc>
              <w:tc>
                <w:tcPr>
                  <w:tcW w:w="1347" w:type="pct"/>
                  <w:tcBorders>
                    <w:tl2br w:val="nil"/>
                    <w:tr2bl w:val="nil"/>
                  </w:tcBorders>
                  <w:vAlign w:val="center"/>
                </w:tcPr>
                <w:p w14:paraId="649077F9">
                  <w:pPr>
                    <w:adjustRightInd w:val="0"/>
                    <w:snapToGrid w:val="0"/>
                    <w:jc w:val="center"/>
                    <w:rPr>
                      <w:rFonts w:ascii="Times New Roman" w:hAnsi="Times New Roman"/>
                      <w:color w:val="auto"/>
                      <w:szCs w:val="21"/>
                    </w:rPr>
                  </w:pPr>
                  <w:r>
                    <w:rPr>
                      <w:rFonts w:ascii="Times New Roman" w:hAnsi="Times New Roman"/>
                      <w:color w:val="auto"/>
                      <w:szCs w:val="21"/>
                    </w:rPr>
                    <w:t>项目属于《产业结构调整指导目录》（2024年本）中鼓励类，符合相关产业政策。</w:t>
                  </w:r>
                </w:p>
              </w:tc>
              <w:tc>
                <w:tcPr>
                  <w:tcW w:w="481" w:type="pct"/>
                  <w:tcBorders>
                    <w:tl2br w:val="nil"/>
                    <w:tr2bl w:val="nil"/>
                  </w:tcBorders>
                  <w:vAlign w:val="center"/>
                </w:tcPr>
                <w:p w14:paraId="1557799B">
                  <w:pPr>
                    <w:adjustRightInd w:val="0"/>
                    <w:snapToGrid w:val="0"/>
                    <w:jc w:val="center"/>
                    <w:rPr>
                      <w:rFonts w:ascii="Times New Roman" w:hAnsi="Times New Roman"/>
                      <w:color w:val="auto"/>
                      <w:szCs w:val="21"/>
                    </w:rPr>
                  </w:pPr>
                  <w:r>
                    <w:rPr>
                      <w:rFonts w:ascii="Times New Roman" w:hAnsi="Times New Roman"/>
                      <w:color w:val="auto"/>
                      <w:szCs w:val="21"/>
                    </w:rPr>
                    <w:t>符合</w:t>
                  </w:r>
                </w:p>
              </w:tc>
            </w:tr>
          </w:tbl>
          <w:p w14:paraId="697A49EA">
            <w:pPr>
              <w:autoSpaceDE w:val="0"/>
              <w:autoSpaceDN w:val="0"/>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szCs w:val="24"/>
              </w:rPr>
              <w:t>从上表可以看出，项目满足</w:t>
            </w:r>
            <w:r>
              <w:rPr>
                <w:rFonts w:ascii="Times New Roman" w:hAnsi="Times New Roman"/>
                <w:bCs/>
                <w:color w:val="auto"/>
                <w:sz w:val="24"/>
                <w:szCs w:val="24"/>
              </w:rPr>
              <w:t>《长江经济带发展负面清单指南（试行，2022年版）》</w:t>
            </w:r>
            <w:r>
              <w:rPr>
                <w:rFonts w:ascii="Times New Roman" w:hAnsi="Times New Roman"/>
                <w:color w:val="auto"/>
                <w:sz w:val="24"/>
                <w:szCs w:val="24"/>
              </w:rPr>
              <w:t>的相关要求。</w:t>
            </w:r>
          </w:p>
          <w:p w14:paraId="13727D0A">
            <w:pPr>
              <w:autoSpaceDE w:val="0"/>
              <w:autoSpaceDN w:val="0"/>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7</w:t>
            </w:r>
            <w:r>
              <w:rPr>
                <w:rFonts w:ascii="Times New Roman" w:hAnsi="Times New Roman"/>
                <w:b/>
                <w:color w:val="auto"/>
                <w:sz w:val="24"/>
                <w:szCs w:val="24"/>
              </w:rPr>
              <w:t>、与《云南省长江经济带发展负面清单指南实施细则（试行，2022版）》的符合性分析</w:t>
            </w:r>
          </w:p>
          <w:p w14:paraId="2A3392BF">
            <w:pPr>
              <w:adjustRightInd w:val="0"/>
              <w:snapToGrid w:val="0"/>
              <w:spacing w:line="440" w:lineRule="exact"/>
              <w:ind w:firstLine="480" w:firstLineChars="200"/>
              <w:rPr>
                <w:rFonts w:ascii="Times New Roman" w:hAnsi="Times New Roman"/>
                <w:color w:val="auto"/>
                <w:kern w:val="0"/>
                <w:sz w:val="24"/>
                <w:szCs w:val="20"/>
              </w:rPr>
            </w:pPr>
            <w:r>
              <w:rPr>
                <w:rFonts w:ascii="Times New Roman" w:hAnsi="Times New Roman"/>
                <w:bCs/>
                <w:color w:val="auto"/>
                <w:sz w:val="24"/>
                <w:szCs w:val="24"/>
              </w:rPr>
              <w:t>云南省推动</w:t>
            </w:r>
            <w:r>
              <w:rPr>
                <w:rFonts w:hint="eastAsia" w:ascii="Times New Roman" w:hAnsi="Times New Roman"/>
                <w:bCs/>
                <w:color w:val="auto"/>
                <w:sz w:val="24"/>
                <w:szCs w:val="24"/>
              </w:rPr>
              <w:t>长江经济带发展</w:t>
            </w:r>
            <w:r>
              <w:rPr>
                <w:rFonts w:ascii="Times New Roman" w:hAnsi="Times New Roman"/>
                <w:bCs/>
                <w:color w:val="auto"/>
                <w:sz w:val="24"/>
                <w:szCs w:val="24"/>
              </w:rPr>
              <w:t>领导小组办公室于2022年8月19日关于印发《云南省长江经济带发展负面清单指南实施细则（试行，2022年版）》的通知（云发改基础〔2022〕894号），</w:t>
            </w:r>
            <w:r>
              <w:rPr>
                <w:rFonts w:ascii="Times New Roman" w:hAnsi="Times New Roman"/>
                <w:color w:val="auto"/>
                <w:kern w:val="0"/>
                <w:sz w:val="24"/>
                <w:szCs w:val="20"/>
              </w:rPr>
              <w:t>项目与实施细则“负面清单”的相关要求。</w:t>
            </w:r>
          </w:p>
          <w:p w14:paraId="17916003">
            <w:pPr>
              <w:adjustRightInd w:val="0"/>
              <w:snapToGrid w:val="0"/>
              <w:jc w:val="center"/>
              <w:rPr>
                <w:rFonts w:ascii="Times New Roman" w:hAnsi="Times New Roman"/>
                <w:b/>
                <w:color w:val="auto"/>
                <w:szCs w:val="21"/>
              </w:rPr>
            </w:pPr>
            <w:r>
              <w:rPr>
                <w:rFonts w:ascii="Times New Roman" w:hAnsi="Times New Roman"/>
                <w:b/>
                <w:color w:val="auto"/>
                <w:szCs w:val="21"/>
              </w:rPr>
              <w:t>表1-7与《云南省长江经济带发展负面清单指南实施细则（试行，2022版）》符合性</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69"/>
              <w:gridCol w:w="1912"/>
              <w:gridCol w:w="696"/>
            </w:tblGrid>
            <w:tr w14:paraId="32E15F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3F1D1687">
                  <w:pPr>
                    <w:adjustRightInd w:val="0"/>
                    <w:snapToGrid w:val="0"/>
                    <w:jc w:val="center"/>
                    <w:rPr>
                      <w:rFonts w:ascii="Times New Roman" w:hAnsi="Times New Roman"/>
                      <w:b/>
                      <w:bCs/>
                      <w:color w:val="auto"/>
                    </w:rPr>
                  </w:pPr>
                  <w:r>
                    <w:rPr>
                      <w:rFonts w:ascii="Times New Roman" w:hAnsi="Times New Roman"/>
                      <w:b/>
                      <w:bCs/>
                      <w:color w:val="auto"/>
                    </w:rPr>
                    <w:t>《实施细则》要求</w:t>
                  </w:r>
                </w:p>
              </w:tc>
              <w:tc>
                <w:tcPr>
                  <w:tcW w:w="1351" w:type="pct"/>
                  <w:tcBorders>
                    <w:tl2br w:val="nil"/>
                    <w:tr2bl w:val="nil"/>
                  </w:tcBorders>
                  <w:tcMar>
                    <w:top w:w="57" w:type="dxa"/>
                    <w:left w:w="57" w:type="dxa"/>
                    <w:bottom w:w="57" w:type="dxa"/>
                    <w:right w:w="57" w:type="dxa"/>
                  </w:tcMar>
                  <w:vAlign w:val="center"/>
                </w:tcPr>
                <w:p w14:paraId="59F5FECD">
                  <w:pPr>
                    <w:adjustRightInd w:val="0"/>
                    <w:snapToGrid w:val="0"/>
                    <w:jc w:val="center"/>
                    <w:rPr>
                      <w:rFonts w:ascii="Times New Roman" w:hAnsi="Times New Roman"/>
                      <w:b/>
                      <w:bCs/>
                      <w:color w:val="auto"/>
                    </w:rPr>
                  </w:pPr>
                  <w:r>
                    <w:rPr>
                      <w:rFonts w:ascii="Times New Roman" w:hAnsi="Times New Roman"/>
                      <w:b/>
                      <w:bCs/>
                      <w:color w:val="auto"/>
                    </w:rPr>
                    <w:t>本项目</w:t>
                  </w:r>
                </w:p>
              </w:tc>
              <w:tc>
                <w:tcPr>
                  <w:tcW w:w="492" w:type="pct"/>
                  <w:tcBorders>
                    <w:tl2br w:val="nil"/>
                    <w:tr2bl w:val="nil"/>
                  </w:tcBorders>
                  <w:tcMar>
                    <w:top w:w="57" w:type="dxa"/>
                    <w:left w:w="57" w:type="dxa"/>
                    <w:bottom w:w="57" w:type="dxa"/>
                    <w:right w:w="57" w:type="dxa"/>
                  </w:tcMar>
                  <w:vAlign w:val="center"/>
                </w:tcPr>
                <w:p w14:paraId="4D3CDC6F">
                  <w:pPr>
                    <w:adjustRightInd w:val="0"/>
                    <w:snapToGrid w:val="0"/>
                    <w:jc w:val="center"/>
                    <w:rPr>
                      <w:rFonts w:ascii="Times New Roman" w:hAnsi="Times New Roman"/>
                      <w:b/>
                      <w:bCs/>
                      <w:color w:val="auto"/>
                    </w:rPr>
                  </w:pPr>
                  <w:r>
                    <w:rPr>
                      <w:rFonts w:ascii="Times New Roman" w:hAnsi="Times New Roman"/>
                      <w:b/>
                      <w:bCs/>
                      <w:color w:val="auto"/>
                    </w:rPr>
                    <w:t>相符性</w:t>
                  </w:r>
                </w:p>
              </w:tc>
            </w:tr>
            <w:tr w14:paraId="71E35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0B1E33AD">
                  <w:pPr>
                    <w:adjustRightInd w:val="0"/>
                    <w:snapToGrid w:val="0"/>
                    <w:jc w:val="center"/>
                    <w:rPr>
                      <w:rFonts w:ascii="Times New Roman" w:hAnsi="Times New Roman"/>
                      <w:color w:val="auto"/>
                    </w:rPr>
                  </w:pPr>
                  <w:r>
                    <w:rPr>
                      <w:rFonts w:ascii="Times New Roman" w:hAnsi="Times New Roman"/>
                      <w:color w:val="auto"/>
                    </w:rPr>
                    <w:t>（一）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351" w:type="pct"/>
                  <w:tcBorders>
                    <w:tl2br w:val="nil"/>
                    <w:tr2bl w:val="nil"/>
                  </w:tcBorders>
                  <w:tcMar>
                    <w:top w:w="57" w:type="dxa"/>
                    <w:left w:w="57" w:type="dxa"/>
                    <w:bottom w:w="57" w:type="dxa"/>
                    <w:right w:w="57" w:type="dxa"/>
                  </w:tcMar>
                  <w:vAlign w:val="center"/>
                </w:tcPr>
                <w:p w14:paraId="20B13051">
                  <w:pPr>
                    <w:adjustRightInd w:val="0"/>
                    <w:snapToGrid w:val="0"/>
                    <w:jc w:val="center"/>
                    <w:rPr>
                      <w:rFonts w:ascii="Times New Roman" w:hAnsi="Times New Roman"/>
                      <w:color w:val="auto"/>
                    </w:rPr>
                  </w:pPr>
                  <w:r>
                    <w:rPr>
                      <w:rFonts w:ascii="Times New Roman" w:hAnsi="Times New Roman"/>
                      <w:color w:val="auto"/>
                    </w:rPr>
                    <w:t>本项目为输变电项目，不属于码头建设项目。</w:t>
                  </w:r>
                </w:p>
              </w:tc>
              <w:tc>
                <w:tcPr>
                  <w:tcW w:w="492" w:type="pct"/>
                  <w:tcBorders>
                    <w:tl2br w:val="nil"/>
                    <w:tr2bl w:val="nil"/>
                  </w:tcBorders>
                  <w:tcMar>
                    <w:top w:w="57" w:type="dxa"/>
                    <w:left w:w="57" w:type="dxa"/>
                    <w:bottom w:w="57" w:type="dxa"/>
                    <w:right w:w="57" w:type="dxa"/>
                  </w:tcMar>
                  <w:vAlign w:val="center"/>
                </w:tcPr>
                <w:p w14:paraId="48975D4E">
                  <w:pPr>
                    <w:adjustRightInd w:val="0"/>
                    <w:snapToGrid w:val="0"/>
                    <w:jc w:val="center"/>
                    <w:rPr>
                      <w:rFonts w:ascii="Times New Roman" w:hAnsi="Times New Roman"/>
                      <w:color w:val="auto"/>
                    </w:rPr>
                  </w:pPr>
                  <w:r>
                    <w:rPr>
                      <w:rFonts w:ascii="Times New Roman" w:hAnsi="Times New Roman"/>
                      <w:color w:val="auto"/>
                    </w:rPr>
                    <w:t>相符</w:t>
                  </w:r>
                </w:p>
              </w:tc>
            </w:tr>
            <w:tr w14:paraId="10EC6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398A708E">
                  <w:pPr>
                    <w:adjustRightInd w:val="0"/>
                    <w:snapToGrid w:val="0"/>
                    <w:jc w:val="center"/>
                    <w:rPr>
                      <w:rFonts w:ascii="Times New Roman" w:hAnsi="Times New Roman"/>
                      <w:color w:val="auto"/>
                    </w:rPr>
                  </w:pPr>
                  <w:r>
                    <w:rPr>
                      <w:rFonts w:ascii="Times New Roman" w:hAnsi="Times New Roman"/>
                      <w:color w:val="auto"/>
                    </w:rPr>
                    <w:t>（二）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351" w:type="pct"/>
                  <w:tcBorders>
                    <w:tl2br w:val="nil"/>
                    <w:tr2bl w:val="nil"/>
                  </w:tcBorders>
                  <w:tcMar>
                    <w:top w:w="57" w:type="dxa"/>
                    <w:left w:w="57" w:type="dxa"/>
                    <w:bottom w:w="57" w:type="dxa"/>
                    <w:right w:w="57" w:type="dxa"/>
                  </w:tcMar>
                  <w:vAlign w:val="center"/>
                </w:tcPr>
                <w:p w14:paraId="0F0CC2BE">
                  <w:pPr>
                    <w:adjustRightInd w:val="0"/>
                    <w:snapToGrid w:val="0"/>
                    <w:jc w:val="center"/>
                    <w:rPr>
                      <w:rFonts w:ascii="Times New Roman" w:hAnsi="Times New Roman"/>
                      <w:color w:val="auto"/>
                    </w:rPr>
                  </w:pPr>
                  <w:r>
                    <w:rPr>
                      <w:rFonts w:ascii="Times New Roman" w:hAnsi="Times New Roman"/>
                      <w:color w:val="auto"/>
                    </w:rPr>
                    <w:t>项目位于</w:t>
                  </w:r>
                  <w:r>
                    <w:rPr>
                      <w:rFonts w:hint="eastAsia" w:ascii="Times New Roman" w:hAnsi="Times New Roman"/>
                      <w:color w:val="auto"/>
                    </w:rPr>
                    <w:t>会泽县乐业镇境内</w:t>
                  </w:r>
                  <w:r>
                    <w:rPr>
                      <w:rFonts w:ascii="Times New Roman" w:hAnsi="Times New Roman"/>
                      <w:color w:val="auto"/>
                    </w:rPr>
                    <w:t>，不在自然保护区核心区、缓冲区的岸线和河段范围内，也不在风景名胜区核心景区的岸线和河段范围。</w:t>
                  </w:r>
                </w:p>
              </w:tc>
              <w:tc>
                <w:tcPr>
                  <w:tcW w:w="492" w:type="pct"/>
                  <w:tcBorders>
                    <w:tl2br w:val="nil"/>
                    <w:tr2bl w:val="nil"/>
                  </w:tcBorders>
                  <w:tcMar>
                    <w:top w:w="57" w:type="dxa"/>
                    <w:left w:w="57" w:type="dxa"/>
                    <w:bottom w:w="57" w:type="dxa"/>
                    <w:right w:w="57" w:type="dxa"/>
                  </w:tcMar>
                  <w:vAlign w:val="center"/>
                </w:tcPr>
                <w:p w14:paraId="7797AD9D">
                  <w:pPr>
                    <w:adjustRightInd w:val="0"/>
                    <w:snapToGrid w:val="0"/>
                    <w:jc w:val="center"/>
                    <w:rPr>
                      <w:rFonts w:ascii="Times New Roman" w:hAnsi="Times New Roman"/>
                      <w:color w:val="auto"/>
                    </w:rPr>
                  </w:pPr>
                  <w:r>
                    <w:rPr>
                      <w:rFonts w:ascii="Times New Roman" w:hAnsi="Times New Roman"/>
                      <w:color w:val="auto"/>
                    </w:rPr>
                    <w:t>相符</w:t>
                  </w:r>
                </w:p>
              </w:tc>
            </w:tr>
            <w:tr w14:paraId="7F463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57741310">
                  <w:pPr>
                    <w:adjustRightInd w:val="0"/>
                    <w:snapToGrid w:val="0"/>
                    <w:jc w:val="center"/>
                    <w:rPr>
                      <w:rFonts w:ascii="Times New Roman" w:hAnsi="Times New Roman"/>
                      <w:color w:val="auto"/>
                    </w:rPr>
                  </w:pPr>
                  <w:r>
                    <w:rPr>
                      <w:rFonts w:ascii="Times New Roman" w:hAnsi="Times New Roman"/>
                      <w:color w:val="auto"/>
                    </w:rPr>
                    <w:t>（三）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351" w:type="pct"/>
                  <w:tcBorders>
                    <w:tl2br w:val="nil"/>
                    <w:tr2bl w:val="nil"/>
                  </w:tcBorders>
                  <w:tcMar>
                    <w:top w:w="57" w:type="dxa"/>
                    <w:left w:w="57" w:type="dxa"/>
                    <w:bottom w:w="57" w:type="dxa"/>
                    <w:right w:w="57" w:type="dxa"/>
                  </w:tcMar>
                  <w:vAlign w:val="center"/>
                </w:tcPr>
                <w:p w14:paraId="1B0C1F3C">
                  <w:pPr>
                    <w:adjustRightInd w:val="0"/>
                    <w:snapToGrid w:val="0"/>
                    <w:jc w:val="center"/>
                    <w:rPr>
                      <w:rFonts w:ascii="Times New Roman" w:hAnsi="Times New Roman"/>
                      <w:color w:val="auto"/>
                    </w:rPr>
                  </w:pPr>
                  <w:r>
                    <w:rPr>
                      <w:rFonts w:ascii="Times New Roman" w:hAnsi="Times New Roman"/>
                      <w:color w:val="auto"/>
                    </w:rPr>
                    <w:t>项目位于</w:t>
                  </w:r>
                  <w:r>
                    <w:rPr>
                      <w:rFonts w:hint="eastAsia" w:ascii="Times New Roman" w:hAnsi="Times New Roman"/>
                      <w:color w:val="auto"/>
                    </w:rPr>
                    <w:t>会泽县乐业镇境内</w:t>
                  </w:r>
                  <w:r>
                    <w:rPr>
                      <w:rFonts w:ascii="Times New Roman" w:hAnsi="Times New Roman"/>
                      <w:color w:val="auto"/>
                    </w:rPr>
                    <w:t>，不在风景名胜区核心景区的岸线和河段范围内。</w:t>
                  </w:r>
                </w:p>
              </w:tc>
              <w:tc>
                <w:tcPr>
                  <w:tcW w:w="492" w:type="pct"/>
                  <w:tcBorders>
                    <w:tl2br w:val="nil"/>
                    <w:tr2bl w:val="nil"/>
                  </w:tcBorders>
                  <w:tcMar>
                    <w:top w:w="57" w:type="dxa"/>
                    <w:left w:w="57" w:type="dxa"/>
                    <w:bottom w:w="57" w:type="dxa"/>
                    <w:right w:w="57" w:type="dxa"/>
                  </w:tcMar>
                  <w:vAlign w:val="center"/>
                </w:tcPr>
                <w:p w14:paraId="3B171325">
                  <w:pPr>
                    <w:adjustRightInd w:val="0"/>
                    <w:snapToGrid w:val="0"/>
                    <w:jc w:val="center"/>
                    <w:rPr>
                      <w:rFonts w:ascii="Times New Roman" w:hAnsi="Times New Roman"/>
                      <w:color w:val="auto"/>
                    </w:rPr>
                  </w:pPr>
                  <w:r>
                    <w:rPr>
                      <w:rFonts w:ascii="Times New Roman" w:hAnsi="Times New Roman"/>
                      <w:color w:val="auto"/>
                    </w:rPr>
                    <w:t>相符</w:t>
                  </w:r>
                </w:p>
              </w:tc>
            </w:tr>
            <w:tr w14:paraId="2D6D9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44BE70CA">
                  <w:pPr>
                    <w:adjustRightInd w:val="0"/>
                    <w:snapToGrid w:val="0"/>
                    <w:jc w:val="center"/>
                    <w:rPr>
                      <w:rFonts w:ascii="Times New Roman" w:hAnsi="Times New Roman"/>
                      <w:color w:val="auto"/>
                    </w:rPr>
                  </w:pPr>
                  <w:r>
                    <w:rPr>
                      <w:rFonts w:ascii="Times New Roman" w:hAnsi="Times New Roman"/>
                      <w:color w:val="auto"/>
                    </w:rPr>
                    <w:t>（四）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351" w:type="pct"/>
                  <w:tcBorders>
                    <w:tl2br w:val="nil"/>
                    <w:tr2bl w:val="nil"/>
                  </w:tcBorders>
                  <w:tcMar>
                    <w:top w:w="57" w:type="dxa"/>
                    <w:left w:w="57" w:type="dxa"/>
                    <w:bottom w:w="57" w:type="dxa"/>
                    <w:right w:w="57" w:type="dxa"/>
                  </w:tcMar>
                  <w:vAlign w:val="center"/>
                </w:tcPr>
                <w:p w14:paraId="58F9C495">
                  <w:pPr>
                    <w:adjustRightInd w:val="0"/>
                    <w:snapToGrid w:val="0"/>
                    <w:jc w:val="center"/>
                    <w:rPr>
                      <w:rFonts w:ascii="Times New Roman" w:hAnsi="Times New Roman"/>
                      <w:color w:val="auto"/>
                    </w:rPr>
                  </w:pPr>
                  <w:r>
                    <w:rPr>
                      <w:rFonts w:ascii="Times New Roman" w:hAnsi="Times New Roman"/>
                      <w:color w:val="auto"/>
                    </w:rPr>
                    <w:t>本项目不在饮用水水源一级保护区的岸线和河段范围及饮用水水源二级保护区的岸线和河段范围内，符合生态保护红线要求。</w:t>
                  </w:r>
                </w:p>
              </w:tc>
              <w:tc>
                <w:tcPr>
                  <w:tcW w:w="492" w:type="pct"/>
                  <w:tcBorders>
                    <w:tl2br w:val="nil"/>
                    <w:tr2bl w:val="nil"/>
                  </w:tcBorders>
                  <w:tcMar>
                    <w:top w:w="57" w:type="dxa"/>
                    <w:left w:w="57" w:type="dxa"/>
                    <w:bottom w:w="57" w:type="dxa"/>
                    <w:right w:w="57" w:type="dxa"/>
                  </w:tcMar>
                  <w:vAlign w:val="center"/>
                </w:tcPr>
                <w:p w14:paraId="00F761BF">
                  <w:pPr>
                    <w:adjustRightInd w:val="0"/>
                    <w:snapToGrid w:val="0"/>
                    <w:jc w:val="center"/>
                    <w:rPr>
                      <w:rFonts w:ascii="Times New Roman" w:hAnsi="Times New Roman"/>
                      <w:color w:val="auto"/>
                    </w:rPr>
                  </w:pPr>
                  <w:r>
                    <w:rPr>
                      <w:rFonts w:ascii="Times New Roman" w:hAnsi="Times New Roman"/>
                      <w:color w:val="auto"/>
                    </w:rPr>
                    <w:t>相符</w:t>
                  </w:r>
                </w:p>
              </w:tc>
            </w:tr>
            <w:tr w14:paraId="42EAE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609952EC">
                  <w:pPr>
                    <w:adjustRightInd w:val="0"/>
                    <w:snapToGrid w:val="0"/>
                    <w:jc w:val="center"/>
                    <w:rPr>
                      <w:rFonts w:ascii="Times New Roman" w:hAnsi="Times New Roman"/>
                      <w:color w:val="auto"/>
                    </w:rPr>
                  </w:pPr>
                  <w:r>
                    <w:rPr>
                      <w:rFonts w:ascii="Times New Roman" w:hAnsi="Times New Roman"/>
                      <w:color w:val="auto"/>
                    </w:rPr>
                    <w:t>（五）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351" w:type="pct"/>
                  <w:tcBorders>
                    <w:tl2br w:val="nil"/>
                    <w:tr2bl w:val="nil"/>
                  </w:tcBorders>
                  <w:tcMar>
                    <w:top w:w="57" w:type="dxa"/>
                    <w:left w:w="57" w:type="dxa"/>
                    <w:bottom w:w="57" w:type="dxa"/>
                    <w:right w:w="57" w:type="dxa"/>
                  </w:tcMar>
                  <w:vAlign w:val="center"/>
                </w:tcPr>
                <w:p w14:paraId="750F0056">
                  <w:pPr>
                    <w:adjustRightInd w:val="0"/>
                    <w:snapToGrid w:val="0"/>
                    <w:jc w:val="center"/>
                    <w:rPr>
                      <w:rFonts w:ascii="Times New Roman" w:hAnsi="Times New Roman"/>
                      <w:color w:val="auto"/>
                    </w:rPr>
                  </w:pPr>
                  <w:r>
                    <w:rPr>
                      <w:rFonts w:ascii="Times New Roman" w:hAnsi="Times New Roman"/>
                      <w:color w:val="auto"/>
                    </w:rPr>
                    <w:t>经现场踏勘及资料核实，项目区不涉及水产种质资源保护区及国家湿地公园。</w:t>
                  </w:r>
                </w:p>
              </w:tc>
              <w:tc>
                <w:tcPr>
                  <w:tcW w:w="492" w:type="pct"/>
                  <w:tcBorders>
                    <w:tl2br w:val="nil"/>
                    <w:tr2bl w:val="nil"/>
                  </w:tcBorders>
                  <w:tcMar>
                    <w:top w:w="57" w:type="dxa"/>
                    <w:left w:w="57" w:type="dxa"/>
                    <w:bottom w:w="57" w:type="dxa"/>
                    <w:right w:w="57" w:type="dxa"/>
                  </w:tcMar>
                  <w:vAlign w:val="center"/>
                </w:tcPr>
                <w:p w14:paraId="5B8CC83F">
                  <w:pPr>
                    <w:adjustRightInd w:val="0"/>
                    <w:snapToGrid w:val="0"/>
                    <w:jc w:val="center"/>
                    <w:rPr>
                      <w:rFonts w:ascii="Times New Roman" w:hAnsi="Times New Roman"/>
                      <w:color w:val="auto"/>
                    </w:rPr>
                  </w:pPr>
                  <w:r>
                    <w:rPr>
                      <w:rFonts w:ascii="Times New Roman" w:hAnsi="Times New Roman"/>
                      <w:color w:val="auto"/>
                    </w:rPr>
                    <w:t>相符</w:t>
                  </w:r>
                </w:p>
              </w:tc>
            </w:tr>
            <w:tr w14:paraId="764D5E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49942512">
                  <w:pPr>
                    <w:adjustRightInd w:val="0"/>
                    <w:snapToGrid w:val="0"/>
                    <w:jc w:val="center"/>
                    <w:rPr>
                      <w:rFonts w:ascii="Times New Roman" w:hAnsi="Times New Roman"/>
                      <w:color w:val="auto"/>
                    </w:rPr>
                  </w:pPr>
                  <w:r>
                    <w:rPr>
                      <w:rFonts w:ascii="Times New Roman" w:hAnsi="Times New Roman"/>
                      <w:color w:val="auto"/>
                    </w:rPr>
                    <w:t>（六）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351" w:type="pct"/>
                  <w:tcBorders>
                    <w:tl2br w:val="nil"/>
                    <w:tr2bl w:val="nil"/>
                  </w:tcBorders>
                  <w:tcMar>
                    <w:top w:w="57" w:type="dxa"/>
                    <w:left w:w="57" w:type="dxa"/>
                    <w:bottom w:w="57" w:type="dxa"/>
                    <w:right w:w="57" w:type="dxa"/>
                  </w:tcMar>
                  <w:vAlign w:val="center"/>
                </w:tcPr>
                <w:p w14:paraId="535F0339">
                  <w:pPr>
                    <w:adjustRightInd w:val="0"/>
                    <w:snapToGrid w:val="0"/>
                    <w:jc w:val="center"/>
                    <w:rPr>
                      <w:rFonts w:ascii="Times New Roman" w:hAnsi="Times New Roman"/>
                      <w:color w:val="auto"/>
                    </w:rPr>
                  </w:pPr>
                  <w:r>
                    <w:rPr>
                      <w:rFonts w:ascii="Times New Roman" w:hAnsi="Times New Roman"/>
                      <w:color w:val="auto"/>
                    </w:rPr>
                    <w:t>经现场踏勘及资料核实，本项目所在地不在《长江岸线保护和开发利用总体规划》划定的岸线保护区以及《全国重要江河湖泊水功能区划》划定的河段保护区、保留区内。</w:t>
                  </w:r>
                </w:p>
              </w:tc>
              <w:tc>
                <w:tcPr>
                  <w:tcW w:w="492" w:type="pct"/>
                  <w:tcBorders>
                    <w:tl2br w:val="nil"/>
                    <w:tr2bl w:val="nil"/>
                  </w:tcBorders>
                  <w:tcMar>
                    <w:top w:w="57" w:type="dxa"/>
                    <w:left w:w="57" w:type="dxa"/>
                    <w:bottom w:w="57" w:type="dxa"/>
                    <w:right w:w="57" w:type="dxa"/>
                  </w:tcMar>
                  <w:vAlign w:val="center"/>
                </w:tcPr>
                <w:p w14:paraId="7F0B79D2">
                  <w:pPr>
                    <w:adjustRightInd w:val="0"/>
                    <w:snapToGrid w:val="0"/>
                    <w:jc w:val="center"/>
                    <w:rPr>
                      <w:rFonts w:ascii="Times New Roman" w:hAnsi="Times New Roman"/>
                      <w:color w:val="auto"/>
                    </w:rPr>
                  </w:pPr>
                  <w:r>
                    <w:rPr>
                      <w:rFonts w:ascii="Times New Roman" w:hAnsi="Times New Roman"/>
                      <w:color w:val="auto"/>
                    </w:rPr>
                    <w:t>相符</w:t>
                  </w:r>
                </w:p>
              </w:tc>
            </w:tr>
            <w:tr w14:paraId="5F42D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112F6663">
                  <w:pPr>
                    <w:adjustRightInd w:val="0"/>
                    <w:snapToGrid w:val="0"/>
                    <w:jc w:val="center"/>
                    <w:rPr>
                      <w:rFonts w:ascii="Times New Roman" w:hAnsi="Times New Roman"/>
                      <w:color w:val="auto"/>
                    </w:rPr>
                  </w:pPr>
                  <w:r>
                    <w:rPr>
                      <w:rFonts w:ascii="Times New Roman" w:hAnsi="Times New Roman"/>
                      <w:color w:val="auto"/>
                    </w:rPr>
                    <w:t>（七）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351" w:type="pct"/>
                  <w:tcBorders>
                    <w:tl2br w:val="nil"/>
                    <w:tr2bl w:val="nil"/>
                  </w:tcBorders>
                  <w:tcMar>
                    <w:top w:w="57" w:type="dxa"/>
                    <w:left w:w="57" w:type="dxa"/>
                    <w:bottom w:w="57" w:type="dxa"/>
                    <w:right w:w="57" w:type="dxa"/>
                  </w:tcMar>
                  <w:vAlign w:val="center"/>
                </w:tcPr>
                <w:p w14:paraId="6277B09D">
                  <w:pPr>
                    <w:adjustRightInd w:val="0"/>
                    <w:snapToGrid w:val="0"/>
                    <w:jc w:val="center"/>
                    <w:rPr>
                      <w:rFonts w:ascii="Times New Roman" w:hAnsi="Times New Roman"/>
                      <w:color w:val="auto"/>
                    </w:rPr>
                  </w:pPr>
                  <w:r>
                    <w:rPr>
                      <w:rFonts w:ascii="Times New Roman" w:hAnsi="Times New Roman"/>
                      <w:color w:val="auto"/>
                    </w:rPr>
                    <w:t>本项目不属于过江基础设施项目；本项目无废水排放。无排污口。</w:t>
                  </w:r>
                </w:p>
              </w:tc>
              <w:tc>
                <w:tcPr>
                  <w:tcW w:w="492" w:type="pct"/>
                  <w:tcBorders>
                    <w:tl2br w:val="nil"/>
                    <w:tr2bl w:val="nil"/>
                  </w:tcBorders>
                  <w:tcMar>
                    <w:top w:w="57" w:type="dxa"/>
                    <w:left w:w="57" w:type="dxa"/>
                    <w:bottom w:w="57" w:type="dxa"/>
                    <w:right w:w="57" w:type="dxa"/>
                  </w:tcMar>
                  <w:vAlign w:val="center"/>
                </w:tcPr>
                <w:p w14:paraId="24BF7045">
                  <w:pPr>
                    <w:adjustRightInd w:val="0"/>
                    <w:snapToGrid w:val="0"/>
                    <w:jc w:val="center"/>
                    <w:rPr>
                      <w:rFonts w:ascii="Times New Roman" w:hAnsi="Times New Roman"/>
                      <w:color w:val="auto"/>
                    </w:rPr>
                  </w:pPr>
                  <w:r>
                    <w:rPr>
                      <w:rFonts w:ascii="Times New Roman" w:hAnsi="Times New Roman"/>
                      <w:color w:val="auto"/>
                    </w:rPr>
                    <w:t>相符</w:t>
                  </w:r>
                </w:p>
              </w:tc>
            </w:tr>
            <w:tr w14:paraId="397DD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231FBCF0">
                  <w:pPr>
                    <w:adjustRightInd w:val="0"/>
                    <w:snapToGrid w:val="0"/>
                    <w:jc w:val="center"/>
                    <w:rPr>
                      <w:rFonts w:ascii="Times New Roman" w:hAnsi="Times New Roman"/>
                      <w:color w:val="auto"/>
                    </w:rPr>
                  </w:pPr>
                  <w:r>
                    <w:rPr>
                      <w:rFonts w:ascii="Times New Roman" w:hAnsi="Times New Roman"/>
                      <w:color w:val="auto"/>
                    </w:rPr>
                    <w:t>（八）禁止在金沙江干流、长江一级支流、水生生物保护区和长江流域禁捕水域开展天然渔业资源生产性捕捞。</w:t>
                  </w:r>
                </w:p>
              </w:tc>
              <w:tc>
                <w:tcPr>
                  <w:tcW w:w="1351" w:type="pct"/>
                  <w:tcBorders>
                    <w:tl2br w:val="nil"/>
                    <w:tr2bl w:val="nil"/>
                  </w:tcBorders>
                  <w:tcMar>
                    <w:top w:w="57" w:type="dxa"/>
                    <w:left w:w="57" w:type="dxa"/>
                    <w:bottom w:w="57" w:type="dxa"/>
                    <w:right w:w="57" w:type="dxa"/>
                  </w:tcMar>
                  <w:vAlign w:val="center"/>
                </w:tcPr>
                <w:p w14:paraId="13A014F0">
                  <w:pPr>
                    <w:adjustRightInd w:val="0"/>
                    <w:snapToGrid w:val="0"/>
                    <w:jc w:val="center"/>
                    <w:rPr>
                      <w:rFonts w:ascii="Times New Roman" w:hAnsi="Times New Roman"/>
                      <w:color w:val="auto"/>
                    </w:rPr>
                  </w:pPr>
                  <w:r>
                    <w:rPr>
                      <w:rFonts w:ascii="Times New Roman" w:hAnsi="Times New Roman"/>
                      <w:color w:val="auto"/>
                    </w:rPr>
                    <w:t>本项目不涉及渔业资源捕捞。</w:t>
                  </w:r>
                </w:p>
              </w:tc>
              <w:tc>
                <w:tcPr>
                  <w:tcW w:w="492" w:type="pct"/>
                  <w:tcBorders>
                    <w:tl2br w:val="nil"/>
                    <w:tr2bl w:val="nil"/>
                  </w:tcBorders>
                  <w:tcMar>
                    <w:top w:w="57" w:type="dxa"/>
                    <w:left w:w="57" w:type="dxa"/>
                    <w:bottom w:w="57" w:type="dxa"/>
                    <w:right w:w="57" w:type="dxa"/>
                  </w:tcMar>
                  <w:vAlign w:val="center"/>
                </w:tcPr>
                <w:p w14:paraId="7F4FF52E">
                  <w:pPr>
                    <w:adjustRightInd w:val="0"/>
                    <w:snapToGrid w:val="0"/>
                    <w:jc w:val="center"/>
                    <w:rPr>
                      <w:rFonts w:ascii="Times New Roman" w:hAnsi="Times New Roman"/>
                      <w:color w:val="auto"/>
                    </w:rPr>
                  </w:pPr>
                  <w:r>
                    <w:rPr>
                      <w:rFonts w:ascii="Times New Roman" w:hAnsi="Times New Roman"/>
                      <w:color w:val="auto"/>
                    </w:rPr>
                    <w:t>相符</w:t>
                  </w:r>
                </w:p>
              </w:tc>
            </w:tr>
            <w:tr w14:paraId="6D39CD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2B8E6EEA">
                  <w:pPr>
                    <w:adjustRightInd w:val="0"/>
                    <w:snapToGrid w:val="0"/>
                    <w:jc w:val="center"/>
                    <w:rPr>
                      <w:rFonts w:ascii="Times New Roman" w:hAnsi="Times New Roman"/>
                      <w:color w:val="auto"/>
                    </w:rPr>
                  </w:pPr>
                  <w:r>
                    <w:rPr>
                      <w:rFonts w:ascii="Times New Roman" w:hAnsi="Times New Roman"/>
                      <w:color w:val="auto"/>
                    </w:rPr>
                    <w:t>（九）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351" w:type="pct"/>
                  <w:tcBorders>
                    <w:tl2br w:val="nil"/>
                    <w:tr2bl w:val="nil"/>
                  </w:tcBorders>
                  <w:tcMar>
                    <w:top w:w="57" w:type="dxa"/>
                    <w:left w:w="57" w:type="dxa"/>
                    <w:bottom w:w="57" w:type="dxa"/>
                    <w:right w:w="57" w:type="dxa"/>
                  </w:tcMar>
                  <w:vAlign w:val="center"/>
                </w:tcPr>
                <w:p w14:paraId="1241D66F">
                  <w:pPr>
                    <w:adjustRightInd w:val="0"/>
                    <w:snapToGrid w:val="0"/>
                    <w:jc w:val="center"/>
                    <w:rPr>
                      <w:rFonts w:ascii="Times New Roman" w:hAnsi="Times New Roman"/>
                      <w:color w:val="auto"/>
                    </w:rPr>
                  </w:pPr>
                  <w:r>
                    <w:rPr>
                      <w:rFonts w:ascii="Times New Roman" w:hAnsi="Times New Roman"/>
                      <w:color w:val="auto"/>
                    </w:rPr>
                    <w:t>本项目为输变电项目，不属于在金沙江干流3公里范围内禁止建设类项目。</w:t>
                  </w:r>
                </w:p>
              </w:tc>
              <w:tc>
                <w:tcPr>
                  <w:tcW w:w="492" w:type="pct"/>
                  <w:tcBorders>
                    <w:tl2br w:val="nil"/>
                    <w:tr2bl w:val="nil"/>
                  </w:tcBorders>
                  <w:tcMar>
                    <w:top w:w="57" w:type="dxa"/>
                    <w:left w:w="57" w:type="dxa"/>
                    <w:bottom w:w="57" w:type="dxa"/>
                    <w:right w:w="57" w:type="dxa"/>
                  </w:tcMar>
                  <w:vAlign w:val="center"/>
                </w:tcPr>
                <w:p w14:paraId="02CC287C">
                  <w:pPr>
                    <w:adjustRightInd w:val="0"/>
                    <w:snapToGrid w:val="0"/>
                    <w:jc w:val="center"/>
                    <w:rPr>
                      <w:rFonts w:ascii="Times New Roman" w:hAnsi="Times New Roman"/>
                      <w:color w:val="auto"/>
                    </w:rPr>
                  </w:pPr>
                  <w:r>
                    <w:rPr>
                      <w:rFonts w:ascii="Times New Roman" w:hAnsi="Times New Roman"/>
                      <w:color w:val="auto"/>
                    </w:rPr>
                    <w:t>相符</w:t>
                  </w:r>
                </w:p>
              </w:tc>
            </w:tr>
            <w:tr w14:paraId="21DBF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5D8B9BA8">
                  <w:pPr>
                    <w:adjustRightInd w:val="0"/>
                    <w:snapToGrid w:val="0"/>
                    <w:jc w:val="center"/>
                    <w:rPr>
                      <w:rFonts w:ascii="Times New Roman" w:hAnsi="Times New Roman"/>
                      <w:color w:val="auto"/>
                    </w:rPr>
                  </w:pPr>
                  <w:r>
                    <w:rPr>
                      <w:rFonts w:ascii="Times New Roman" w:hAnsi="Times New Roman"/>
                      <w:color w:val="auto"/>
                    </w:rPr>
                    <w:t>（十）禁止在合规园区外新建、扩建钢铁、石化、化工、焦化、建材、有色、制浆造纸行业中的高污染项目。</w:t>
                  </w:r>
                </w:p>
              </w:tc>
              <w:tc>
                <w:tcPr>
                  <w:tcW w:w="1351" w:type="pct"/>
                  <w:tcBorders>
                    <w:tl2br w:val="nil"/>
                    <w:tr2bl w:val="nil"/>
                  </w:tcBorders>
                  <w:tcMar>
                    <w:top w:w="57" w:type="dxa"/>
                    <w:left w:w="57" w:type="dxa"/>
                    <w:bottom w:w="57" w:type="dxa"/>
                    <w:right w:w="57" w:type="dxa"/>
                  </w:tcMar>
                  <w:vAlign w:val="center"/>
                </w:tcPr>
                <w:p w14:paraId="4FDF5592">
                  <w:pPr>
                    <w:adjustRightInd w:val="0"/>
                    <w:snapToGrid w:val="0"/>
                    <w:jc w:val="center"/>
                    <w:rPr>
                      <w:rFonts w:ascii="Times New Roman" w:hAnsi="Times New Roman"/>
                      <w:color w:val="auto"/>
                    </w:rPr>
                  </w:pPr>
                  <w:r>
                    <w:rPr>
                      <w:rFonts w:ascii="Times New Roman" w:hAnsi="Times New Roman"/>
                      <w:color w:val="auto"/>
                    </w:rPr>
                    <w:t>项目位于</w:t>
                  </w:r>
                  <w:r>
                    <w:rPr>
                      <w:rFonts w:hint="eastAsia" w:ascii="Times New Roman" w:hAnsi="Times New Roman"/>
                      <w:color w:val="auto"/>
                    </w:rPr>
                    <w:t>会泽县乐业镇境内</w:t>
                  </w:r>
                  <w:r>
                    <w:rPr>
                      <w:rFonts w:ascii="Times New Roman" w:hAnsi="Times New Roman"/>
                      <w:color w:val="auto"/>
                    </w:rPr>
                    <w:t>，不属于禁止项目</w:t>
                  </w:r>
                </w:p>
              </w:tc>
              <w:tc>
                <w:tcPr>
                  <w:tcW w:w="492" w:type="pct"/>
                  <w:tcBorders>
                    <w:tl2br w:val="nil"/>
                    <w:tr2bl w:val="nil"/>
                  </w:tcBorders>
                  <w:tcMar>
                    <w:top w:w="57" w:type="dxa"/>
                    <w:left w:w="57" w:type="dxa"/>
                    <w:bottom w:w="57" w:type="dxa"/>
                    <w:right w:w="57" w:type="dxa"/>
                  </w:tcMar>
                  <w:vAlign w:val="center"/>
                </w:tcPr>
                <w:p w14:paraId="45E29E33">
                  <w:pPr>
                    <w:adjustRightInd w:val="0"/>
                    <w:snapToGrid w:val="0"/>
                    <w:jc w:val="center"/>
                    <w:rPr>
                      <w:rFonts w:ascii="Times New Roman" w:hAnsi="Times New Roman"/>
                      <w:color w:val="auto"/>
                    </w:rPr>
                  </w:pPr>
                  <w:r>
                    <w:rPr>
                      <w:rFonts w:ascii="Times New Roman" w:hAnsi="Times New Roman"/>
                      <w:color w:val="auto"/>
                    </w:rPr>
                    <w:t>相符</w:t>
                  </w:r>
                </w:p>
              </w:tc>
            </w:tr>
            <w:tr w14:paraId="52EF9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0E3BE026">
                  <w:pPr>
                    <w:adjustRightInd w:val="0"/>
                    <w:snapToGrid w:val="0"/>
                    <w:jc w:val="center"/>
                    <w:rPr>
                      <w:rFonts w:ascii="Times New Roman" w:hAnsi="Times New Roman"/>
                      <w:color w:val="auto"/>
                    </w:rPr>
                  </w:pPr>
                  <w:r>
                    <w:rPr>
                      <w:rFonts w:ascii="Times New Roman" w:hAnsi="Times New Roman"/>
                      <w:color w:val="auto"/>
                    </w:rPr>
                    <w:t>（十一）禁止新建、扩建不符合国家石化、现代煤化工等产业布局规划的项目。禁止列入《云南省城镇人口密集区危险化学品生产企业搬迁改造名单》的搬迁改造企业在原址新建、扩建危险化学品生产项目。</w:t>
                  </w:r>
                </w:p>
              </w:tc>
              <w:tc>
                <w:tcPr>
                  <w:tcW w:w="1351" w:type="pct"/>
                  <w:tcBorders>
                    <w:tl2br w:val="nil"/>
                    <w:tr2bl w:val="nil"/>
                  </w:tcBorders>
                  <w:tcMar>
                    <w:top w:w="57" w:type="dxa"/>
                    <w:left w:w="57" w:type="dxa"/>
                    <w:bottom w:w="57" w:type="dxa"/>
                    <w:right w:w="57" w:type="dxa"/>
                  </w:tcMar>
                  <w:vAlign w:val="center"/>
                </w:tcPr>
                <w:p w14:paraId="2A12C548">
                  <w:pPr>
                    <w:adjustRightInd w:val="0"/>
                    <w:snapToGrid w:val="0"/>
                    <w:jc w:val="center"/>
                    <w:rPr>
                      <w:rFonts w:ascii="Times New Roman" w:hAnsi="Times New Roman"/>
                      <w:color w:val="auto"/>
                    </w:rPr>
                  </w:pPr>
                  <w:r>
                    <w:rPr>
                      <w:rFonts w:ascii="Times New Roman" w:hAnsi="Times New Roman"/>
                      <w:color w:val="auto"/>
                    </w:rPr>
                    <w:t>本项目不涉及。</w:t>
                  </w:r>
                </w:p>
              </w:tc>
              <w:tc>
                <w:tcPr>
                  <w:tcW w:w="492" w:type="pct"/>
                  <w:tcBorders>
                    <w:tl2br w:val="nil"/>
                    <w:tr2bl w:val="nil"/>
                  </w:tcBorders>
                  <w:tcMar>
                    <w:top w:w="57" w:type="dxa"/>
                    <w:left w:w="57" w:type="dxa"/>
                    <w:bottom w:w="57" w:type="dxa"/>
                    <w:right w:w="57" w:type="dxa"/>
                  </w:tcMar>
                  <w:vAlign w:val="center"/>
                </w:tcPr>
                <w:p w14:paraId="2D272CD4">
                  <w:pPr>
                    <w:adjustRightInd w:val="0"/>
                    <w:snapToGrid w:val="0"/>
                    <w:jc w:val="center"/>
                    <w:rPr>
                      <w:rFonts w:ascii="Times New Roman" w:hAnsi="Times New Roman"/>
                      <w:color w:val="auto"/>
                    </w:rPr>
                  </w:pPr>
                  <w:r>
                    <w:rPr>
                      <w:rFonts w:ascii="Times New Roman" w:hAnsi="Times New Roman"/>
                      <w:color w:val="auto"/>
                    </w:rPr>
                    <w:t>相符</w:t>
                  </w:r>
                </w:p>
              </w:tc>
            </w:tr>
            <w:tr w14:paraId="665ACC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6" w:type="pct"/>
                  <w:tcBorders>
                    <w:tl2br w:val="nil"/>
                    <w:tr2bl w:val="nil"/>
                  </w:tcBorders>
                  <w:tcMar>
                    <w:top w:w="57" w:type="dxa"/>
                    <w:left w:w="57" w:type="dxa"/>
                    <w:bottom w:w="57" w:type="dxa"/>
                    <w:right w:w="57" w:type="dxa"/>
                  </w:tcMar>
                  <w:vAlign w:val="center"/>
                </w:tcPr>
                <w:p w14:paraId="4D035602">
                  <w:pPr>
                    <w:adjustRightInd w:val="0"/>
                    <w:snapToGrid w:val="0"/>
                    <w:jc w:val="center"/>
                    <w:rPr>
                      <w:rFonts w:ascii="Times New Roman" w:hAnsi="Times New Roman"/>
                      <w:color w:val="auto"/>
                    </w:rPr>
                  </w:pPr>
                  <w:r>
                    <w:rPr>
                      <w:rFonts w:ascii="Times New Roman" w:hAnsi="Times New Roman"/>
                      <w:color w:val="auto"/>
                    </w:rPr>
                    <w:t>（十二）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351" w:type="pct"/>
                  <w:tcBorders>
                    <w:tl2br w:val="nil"/>
                    <w:tr2bl w:val="nil"/>
                  </w:tcBorders>
                  <w:tcMar>
                    <w:top w:w="57" w:type="dxa"/>
                    <w:left w:w="57" w:type="dxa"/>
                    <w:bottom w:w="57" w:type="dxa"/>
                    <w:right w:w="57" w:type="dxa"/>
                  </w:tcMar>
                  <w:vAlign w:val="center"/>
                </w:tcPr>
                <w:p w14:paraId="1407567B">
                  <w:pPr>
                    <w:adjustRightInd w:val="0"/>
                    <w:snapToGrid w:val="0"/>
                    <w:jc w:val="center"/>
                    <w:rPr>
                      <w:rFonts w:ascii="Times New Roman" w:hAnsi="Times New Roman"/>
                      <w:color w:val="auto"/>
                    </w:rPr>
                  </w:pPr>
                  <w:r>
                    <w:rPr>
                      <w:rFonts w:ascii="Times New Roman" w:hAnsi="Times New Roman"/>
                      <w:color w:val="auto"/>
                    </w:rPr>
                    <w:t>项目属于输变电项目，不属于法律法规和相关政策明令禁止的落后产能项目，也不属于依法依规淘汰不符合生态要求的项目。</w:t>
                  </w:r>
                </w:p>
              </w:tc>
              <w:tc>
                <w:tcPr>
                  <w:tcW w:w="492" w:type="pct"/>
                  <w:tcBorders>
                    <w:tl2br w:val="nil"/>
                    <w:tr2bl w:val="nil"/>
                  </w:tcBorders>
                  <w:tcMar>
                    <w:top w:w="57" w:type="dxa"/>
                    <w:left w:w="57" w:type="dxa"/>
                    <w:bottom w:w="57" w:type="dxa"/>
                    <w:right w:w="57" w:type="dxa"/>
                  </w:tcMar>
                  <w:vAlign w:val="center"/>
                </w:tcPr>
                <w:p w14:paraId="788D78A8">
                  <w:pPr>
                    <w:adjustRightInd w:val="0"/>
                    <w:snapToGrid w:val="0"/>
                    <w:jc w:val="center"/>
                    <w:rPr>
                      <w:rFonts w:ascii="Times New Roman" w:hAnsi="Times New Roman"/>
                      <w:color w:val="auto"/>
                    </w:rPr>
                  </w:pPr>
                  <w:r>
                    <w:rPr>
                      <w:rFonts w:ascii="Times New Roman" w:hAnsi="Times New Roman"/>
                      <w:color w:val="auto"/>
                    </w:rPr>
                    <w:t>相符</w:t>
                  </w:r>
                </w:p>
              </w:tc>
            </w:tr>
          </w:tbl>
          <w:p w14:paraId="445B9463">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从上表可以看出，项目满足</w:t>
            </w:r>
            <w:r>
              <w:rPr>
                <w:rFonts w:ascii="Times New Roman" w:hAnsi="Times New Roman"/>
                <w:color w:val="auto"/>
                <w:kern w:val="0"/>
                <w:sz w:val="24"/>
                <w:szCs w:val="24"/>
              </w:rPr>
              <w:t>《云南省长江经济带发展负面清单指南实施细则（试行，2022版）》</w:t>
            </w:r>
            <w:r>
              <w:rPr>
                <w:rFonts w:ascii="Times New Roman" w:hAnsi="Times New Roman"/>
                <w:color w:val="auto"/>
                <w:sz w:val="24"/>
                <w:szCs w:val="24"/>
              </w:rPr>
              <w:t>的相关要求。</w:t>
            </w:r>
          </w:p>
          <w:p w14:paraId="08587694">
            <w:pPr>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8、</w:t>
            </w:r>
            <w:r>
              <w:rPr>
                <w:rFonts w:ascii="Times New Roman" w:hAnsi="Times New Roman"/>
                <w:b/>
                <w:color w:val="auto"/>
                <w:sz w:val="24"/>
                <w:szCs w:val="24"/>
              </w:rPr>
              <w:t>与公益林符合性分析</w:t>
            </w:r>
          </w:p>
          <w:p w14:paraId="44C9D2B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根据管理部门意见及林业调查数据结果，项目不涉及占用国家一级公益林和国家二级公益林。项目占用省级公益林</w:t>
            </w:r>
            <w:r>
              <w:rPr>
                <w:rFonts w:hint="eastAsia" w:ascii="Times New Roman" w:hAnsi="Times New Roman"/>
                <w:color w:val="auto"/>
                <w:sz w:val="24"/>
                <w:szCs w:val="24"/>
              </w:rPr>
              <w:t>0.1665</w:t>
            </w:r>
            <w:r>
              <w:rPr>
                <w:rFonts w:ascii="Times New Roman" w:hAnsi="Times New Roman"/>
                <w:color w:val="auto"/>
                <w:sz w:val="24"/>
                <w:szCs w:val="24"/>
              </w:rPr>
              <w:t>公顷，其中塔基永久占地</w:t>
            </w:r>
            <w:r>
              <w:rPr>
                <w:rFonts w:hint="eastAsia" w:ascii="Times New Roman" w:hAnsi="Times New Roman"/>
                <w:color w:val="auto"/>
                <w:sz w:val="24"/>
                <w:szCs w:val="24"/>
              </w:rPr>
              <w:t>0.02445</w:t>
            </w:r>
            <w:r>
              <w:rPr>
                <w:rFonts w:ascii="Times New Roman" w:hAnsi="Times New Roman"/>
                <w:color w:val="auto"/>
                <w:sz w:val="24"/>
                <w:szCs w:val="24"/>
              </w:rPr>
              <w:t>公顷，临时占地</w:t>
            </w:r>
            <w:r>
              <w:rPr>
                <w:rFonts w:hint="eastAsia" w:ascii="Times New Roman" w:hAnsi="Times New Roman"/>
                <w:color w:val="auto"/>
                <w:sz w:val="24"/>
                <w:szCs w:val="24"/>
              </w:rPr>
              <w:t>0.14205</w:t>
            </w:r>
            <w:r>
              <w:rPr>
                <w:rFonts w:ascii="Times New Roman" w:hAnsi="Times New Roman"/>
                <w:color w:val="auto"/>
                <w:sz w:val="24"/>
                <w:szCs w:val="24"/>
              </w:rPr>
              <w:t>公顷。其中塔基N19、N43、N44、N45、N46、N56共6个塔基占用省级公益林，面积约为</w:t>
            </w:r>
            <w:r>
              <w:rPr>
                <w:rFonts w:hint="eastAsia" w:ascii="Times New Roman" w:hAnsi="Times New Roman"/>
                <w:color w:val="auto"/>
                <w:sz w:val="24"/>
                <w:szCs w:val="24"/>
              </w:rPr>
              <w:t>0.02445</w:t>
            </w:r>
            <w:r>
              <w:rPr>
                <w:rFonts w:ascii="Times New Roman" w:hAnsi="Times New Roman"/>
                <w:color w:val="auto"/>
                <w:sz w:val="24"/>
                <w:szCs w:val="24"/>
              </w:rPr>
              <w:t>公顷，主要功能为水土保持。临时占地主要为施工便道、人抬道路等。</w:t>
            </w:r>
          </w:p>
          <w:p w14:paraId="0DA5DD93">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项目占用公益林面积占会泽县生态公益林总面积比例较小，不会损害公益林主导生态功能的持续发挥，对其整体生态服务能力影响不大，但需按林业部门管理要求，办理相关手续，对区域</w:t>
            </w:r>
            <w:r>
              <w:rPr>
                <w:rFonts w:hint="eastAsia" w:ascii="Times New Roman" w:hAnsi="Times New Roman"/>
                <w:color w:val="auto"/>
                <w:sz w:val="24"/>
                <w:szCs w:val="24"/>
                <w:lang w:eastAsia="zh-CN"/>
              </w:rPr>
              <w:t>生</w:t>
            </w:r>
            <w:r>
              <w:rPr>
                <w:rFonts w:hint="eastAsia" w:ascii="Times New Roman" w:hAnsi="Times New Roman"/>
                <w:color w:val="auto"/>
                <w:sz w:val="24"/>
                <w:szCs w:val="24"/>
              </w:rPr>
              <w:t>态公益林需要采取补偿措施以降低影响。</w:t>
            </w:r>
          </w:p>
          <w:p w14:paraId="2F320621">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w:t>
            </w:r>
            <w:r>
              <w:rPr>
                <w:rFonts w:ascii="Times New Roman" w:hAnsi="Times New Roman"/>
                <w:color w:val="auto"/>
                <w:sz w:val="24"/>
                <w:szCs w:val="24"/>
              </w:rPr>
              <w:t>《云南省公益林管理办法》（云林规〔2019〕2号）第二十五条：“严格控制勘查、采矿和工程建设使用公益林地。纳入生态保护红线范围的公益林，按生态管控红线相关要求执行；未纳入生态保护红线范围、确需使用的公益林，由县级以上林业和草原主管部门进行核查，严格按照相关规定办理使用林地和林木采伐手续……”。第二十九条：“省级公益林在不影响整体森林生态系统功能发挥的前提下，应当参照《国家级公益林管理办法》第十二条第三款的规定开展抚育和更新性质的采伐。在不破坏森林植被的前提下，可以合理利用林地资源，适度开展林下种植养殖和森林游憩等非木质资源开发与利用，科学发展林下经济……”</w:t>
            </w:r>
          </w:p>
          <w:p w14:paraId="2D21DC8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按照《云南省公益林管理办法》（云林规〔2019〕2号）的相关规定，目前，项目占用的公益林正在按照林草局相关规定办理使用林地和林木采伐手续，因此，项目的建设符合现行国家和地方公益林管控要求。</w:t>
            </w:r>
          </w:p>
          <w:p w14:paraId="07161E42">
            <w:pPr>
              <w:adjustRightInd w:val="0"/>
              <w:snapToGrid w:val="0"/>
              <w:spacing w:line="440" w:lineRule="exact"/>
              <w:rPr>
                <w:rFonts w:ascii="Times New Roman" w:hAnsi="Times New Roman"/>
                <w:b/>
                <w:color w:val="auto"/>
                <w:sz w:val="24"/>
                <w:szCs w:val="24"/>
              </w:rPr>
            </w:pPr>
            <w:r>
              <w:rPr>
                <w:rFonts w:hint="eastAsia" w:ascii="Times New Roman" w:hAnsi="Times New Roman"/>
                <w:b/>
                <w:color w:val="auto"/>
                <w:sz w:val="24"/>
                <w:szCs w:val="24"/>
              </w:rPr>
              <w:t>9</w:t>
            </w:r>
            <w:r>
              <w:rPr>
                <w:rFonts w:ascii="Times New Roman" w:hAnsi="Times New Roman"/>
                <w:b/>
                <w:color w:val="auto"/>
                <w:sz w:val="24"/>
                <w:szCs w:val="24"/>
              </w:rPr>
              <w:t>、技术规范符合性分析</w:t>
            </w:r>
          </w:p>
          <w:p w14:paraId="76937D1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根据《输变电建设项目环境保护技术要求》（HJ1113-2020）中选址选线、设计等相关技术要求，对比分析相关符合性分析见下表。</w:t>
            </w:r>
          </w:p>
          <w:p w14:paraId="13323D76">
            <w:pPr>
              <w:adjustRightInd w:val="0"/>
              <w:snapToGrid w:val="0"/>
              <w:ind w:firstLine="482" w:firstLineChars="200"/>
              <w:jc w:val="center"/>
              <w:rPr>
                <w:rFonts w:ascii="Times New Roman" w:hAnsi="Times New Roman"/>
                <w:b/>
                <w:bCs/>
                <w:color w:val="auto"/>
                <w:sz w:val="24"/>
                <w:szCs w:val="24"/>
              </w:rPr>
            </w:pPr>
            <w:r>
              <w:rPr>
                <w:rFonts w:ascii="Times New Roman" w:hAnsi="Times New Roman"/>
                <w:b/>
                <w:bCs/>
                <w:color w:val="auto"/>
                <w:sz w:val="24"/>
                <w:szCs w:val="24"/>
              </w:rPr>
              <w:t>表1-</w:t>
            </w:r>
            <w:r>
              <w:rPr>
                <w:rFonts w:hint="eastAsia" w:ascii="Times New Roman" w:hAnsi="Times New Roman"/>
                <w:b/>
                <w:bCs/>
                <w:color w:val="auto"/>
                <w:sz w:val="24"/>
                <w:szCs w:val="24"/>
              </w:rPr>
              <w:t>8</w:t>
            </w:r>
            <w:r>
              <w:rPr>
                <w:rFonts w:ascii="Times New Roman" w:hAnsi="Times New Roman"/>
                <w:b/>
                <w:bCs/>
                <w:color w:val="auto"/>
                <w:sz w:val="24"/>
                <w:szCs w:val="24"/>
              </w:rPr>
              <w:t xml:space="preserve"> 与《输变电建设项目环境保护技术要求》的符合性分析</w:t>
            </w:r>
          </w:p>
          <w:tbl>
            <w:tblPr>
              <w:tblStyle w:val="27"/>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9"/>
              <w:gridCol w:w="514"/>
              <w:gridCol w:w="3662"/>
              <w:gridCol w:w="1860"/>
              <w:gridCol w:w="682"/>
            </w:tblGrid>
            <w:tr w14:paraId="462D4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03" w:type="pct"/>
                  <w:gridSpan w:val="3"/>
                  <w:tcBorders>
                    <w:tl2br w:val="nil"/>
                    <w:tr2bl w:val="nil"/>
                  </w:tcBorders>
                  <w:shd w:val="clear" w:color="auto" w:fill="auto"/>
                  <w:vAlign w:val="center"/>
                </w:tcPr>
                <w:p w14:paraId="096C9F94">
                  <w:pPr>
                    <w:adjustRightInd w:val="0"/>
                    <w:snapToGrid w:val="0"/>
                    <w:jc w:val="center"/>
                    <w:rPr>
                      <w:rFonts w:ascii="Times New Roman" w:hAnsi="Times New Roman"/>
                      <w:b/>
                      <w:bCs/>
                      <w:color w:val="auto"/>
                      <w:szCs w:val="21"/>
                    </w:rPr>
                  </w:pPr>
                  <w:r>
                    <w:rPr>
                      <w:rFonts w:ascii="Times New Roman" w:hAnsi="Times New Roman"/>
                      <w:b/>
                      <w:bCs/>
                      <w:color w:val="auto"/>
                      <w:szCs w:val="21"/>
                    </w:rPr>
                    <w:t>相关要求</w:t>
                  </w:r>
                </w:p>
              </w:tc>
              <w:tc>
                <w:tcPr>
                  <w:tcW w:w="1314" w:type="pct"/>
                  <w:tcBorders>
                    <w:tl2br w:val="nil"/>
                    <w:tr2bl w:val="nil"/>
                  </w:tcBorders>
                  <w:shd w:val="clear" w:color="auto" w:fill="auto"/>
                  <w:vAlign w:val="center"/>
                </w:tcPr>
                <w:p w14:paraId="27329DB9">
                  <w:pPr>
                    <w:adjustRightInd w:val="0"/>
                    <w:snapToGrid w:val="0"/>
                    <w:jc w:val="center"/>
                    <w:rPr>
                      <w:rFonts w:ascii="Times New Roman" w:hAnsi="Times New Roman"/>
                      <w:b/>
                      <w:bCs/>
                      <w:color w:val="auto"/>
                      <w:szCs w:val="21"/>
                    </w:rPr>
                  </w:pPr>
                  <w:r>
                    <w:rPr>
                      <w:rFonts w:ascii="Times New Roman" w:hAnsi="Times New Roman"/>
                      <w:b/>
                      <w:bCs/>
                      <w:color w:val="auto"/>
                      <w:szCs w:val="21"/>
                    </w:rPr>
                    <w:t>本工程情况</w:t>
                  </w:r>
                </w:p>
              </w:tc>
              <w:tc>
                <w:tcPr>
                  <w:tcW w:w="482" w:type="pct"/>
                  <w:tcBorders>
                    <w:tl2br w:val="nil"/>
                    <w:tr2bl w:val="nil"/>
                  </w:tcBorders>
                  <w:shd w:val="clear" w:color="auto" w:fill="auto"/>
                  <w:vAlign w:val="center"/>
                </w:tcPr>
                <w:p w14:paraId="5BD99B72">
                  <w:pPr>
                    <w:adjustRightInd w:val="0"/>
                    <w:snapToGrid w:val="0"/>
                    <w:jc w:val="center"/>
                    <w:rPr>
                      <w:rFonts w:ascii="Times New Roman" w:hAnsi="Times New Roman"/>
                      <w:b/>
                      <w:bCs/>
                      <w:color w:val="auto"/>
                      <w:szCs w:val="21"/>
                    </w:rPr>
                  </w:pPr>
                  <w:r>
                    <w:rPr>
                      <w:rFonts w:ascii="Times New Roman" w:hAnsi="Times New Roman"/>
                      <w:b/>
                      <w:bCs/>
                      <w:color w:val="auto"/>
                      <w:szCs w:val="21"/>
                    </w:rPr>
                    <w:t>符合性</w:t>
                  </w:r>
                </w:p>
              </w:tc>
            </w:tr>
            <w:tr w14:paraId="3C730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restart"/>
                  <w:tcBorders>
                    <w:tl2br w:val="nil"/>
                    <w:tr2bl w:val="nil"/>
                  </w:tcBorders>
                  <w:shd w:val="clear" w:color="auto" w:fill="auto"/>
                  <w:vAlign w:val="center"/>
                </w:tcPr>
                <w:p w14:paraId="52A59F2B">
                  <w:pPr>
                    <w:adjustRightInd w:val="0"/>
                    <w:snapToGrid w:val="0"/>
                    <w:jc w:val="center"/>
                    <w:rPr>
                      <w:rFonts w:ascii="Times New Roman" w:hAnsi="Times New Roman"/>
                      <w:color w:val="auto"/>
                      <w:szCs w:val="21"/>
                    </w:rPr>
                  </w:pPr>
                  <w:r>
                    <w:rPr>
                      <w:rFonts w:ascii="Times New Roman" w:hAnsi="Times New Roman"/>
                      <w:color w:val="auto"/>
                      <w:szCs w:val="21"/>
                    </w:rPr>
                    <w:t>选址选线</w:t>
                  </w:r>
                </w:p>
              </w:tc>
              <w:tc>
                <w:tcPr>
                  <w:tcW w:w="2948" w:type="pct"/>
                  <w:gridSpan w:val="2"/>
                  <w:tcBorders>
                    <w:tl2br w:val="nil"/>
                    <w:tr2bl w:val="nil"/>
                  </w:tcBorders>
                  <w:shd w:val="clear" w:color="auto" w:fill="auto"/>
                  <w:vAlign w:val="center"/>
                </w:tcPr>
                <w:p w14:paraId="36D82637">
                  <w:pPr>
                    <w:adjustRightInd w:val="0"/>
                    <w:snapToGrid w:val="0"/>
                    <w:jc w:val="center"/>
                    <w:rPr>
                      <w:rFonts w:ascii="Times New Roman" w:hAnsi="Times New Roman"/>
                      <w:color w:val="auto"/>
                      <w:szCs w:val="21"/>
                    </w:rPr>
                  </w:pPr>
                  <w:r>
                    <w:rPr>
                      <w:rFonts w:ascii="Times New Roman" w:hAnsi="Times New Roman"/>
                      <w:color w:val="auto"/>
                      <w:szCs w:val="21"/>
                    </w:rPr>
                    <w:t>工程选址选线应符合规划环境影响评价文件的要求。</w:t>
                  </w:r>
                </w:p>
              </w:tc>
              <w:tc>
                <w:tcPr>
                  <w:tcW w:w="1314" w:type="pct"/>
                  <w:tcBorders>
                    <w:tl2br w:val="nil"/>
                    <w:tr2bl w:val="nil"/>
                  </w:tcBorders>
                  <w:shd w:val="clear" w:color="auto" w:fill="auto"/>
                  <w:vAlign w:val="center"/>
                </w:tcPr>
                <w:p w14:paraId="1D3ECD8C">
                  <w:pPr>
                    <w:adjustRightInd w:val="0"/>
                    <w:snapToGrid w:val="0"/>
                    <w:jc w:val="center"/>
                    <w:rPr>
                      <w:rFonts w:ascii="Times New Roman" w:hAnsi="Times New Roman"/>
                      <w:color w:val="auto"/>
                      <w:szCs w:val="21"/>
                    </w:rPr>
                  </w:pPr>
                  <w:r>
                    <w:rPr>
                      <w:rFonts w:ascii="Times New Roman" w:hAnsi="Times New Roman"/>
                      <w:color w:val="auto"/>
                      <w:szCs w:val="21"/>
                    </w:rPr>
                    <w:t>项目符合会泽县电网规划</w:t>
                  </w:r>
                  <w:r>
                    <w:rPr>
                      <w:rFonts w:hint="eastAsia" w:ascii="Times New Roman" w:hAnsi="Times New Roman"/>
                      <w:color w:val="auto"/>
                      <w:szCs w:val="21"/>
                    </w:rPr>
                    <w:t>相关</w:t>
                  </w:r>
                  <w:r>
                    <w:rPr>
                      <w:rFonts w:ascii="Times New Roman" w:hAnsi="Times New Roman"/>
                      <w:color w:val="auto"/>
                      <w:szCs w:val="21"/>
                    </w:rPr>
                    <w:t>要求</w:t>
                  </w:r>
                </w:p>
              </w:tc>
              <w:tc>
                <w:tcPr>
                  <w:tcW w:w="482" w:type="pct"/>
                  <w:tcBorders>
                    <w:tl2br w:val="nil"/>
                    <w:tr2bl w:val="nil"/>
                  </w:tcBorders>
                  <w:shd w:val="clear" w:color="auto" w:fill="auto"/>
                  <w:vAlign w:val="center"/>
                </w:tcPr>
                <w:p w14:paraId="0D6024DE">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342DF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23744702">
                  <w:pPr>
                    <w:adjustRightInd w:val="0"/>
                    <w:snapToGrid w:val="0"/>
                    <w:jc w:val="center"/>
                    <w:rPr>
                      <w:rFonts w:ascii="Times New Roman" w:hAnsi="Times New Roman"/>
                      <w:color w:val="auto"/>
                      <w:szCs w:val="21"/>
                    </w:rPr>
                  </w:pPr>
                </w:p>
              </w:tc>
              <w:tc>
                <w:tcPr>
                  <w:tcW w:w="2948" w:type="pct"/>
                  <w:gridSpan w:val="2"/>
                  <w:tcBorders>
                    <w:tl2br w:val="nil"/>
                    <w:tr2bl w:val="nil"/>
                  </w:tcBorders>
                  <w:shd w:val="clear" w:color="auto" w:fill="auto"/>
                  <w:vAlign w:val="center"/>
                </w:tcPr>
                <w:p w14:paraId="3ED4D997">
                  <w:pPr>
                    <w:adjustRightInd w:val="0"/>
                    <w:snapToGrid w:val="0"/>
                    <w:jc w:val="center"/>
                    <w:rPr>
                      <w:rFonts w:ascii="Times New Roman" w:hAnsi="Times New Roman"/>
                      <w:color w:val="auto"/>
                      <w:szCs w:val="21"/>
                    </w:rPr>
                  </w:pPr>
                  <w:r>
                    <w:rPr>
                      <w:rFonts w:ascii="Times New Roman" w:hAnsi="Times New Roman"/>
                      <w:color w:val="auto"/>
                      <w:szCs w:val="21"/>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314" w:type="pct"/>
                  <w:vMerge w:val="restart"/>
                  <w:tcBorders>
                    <w:tl2br w:val="nil"/>
                    <w:tr2bl w:val="nil"/>
                  </w:tcBorders>
                  <w:shd w:val="clear" w:color="auto" w:fill="auto"/>
                  <w:vAlign w:val="center"/>
                </w:tcPr>
                <w:p w14:paraId="06AC42BC">
                  <w:pPr>
                    <w:adjustRightInd w:val="0"/>
                    <w:snapToGrid w:val="0"/>
                    <w:jc w:val="center"/>
                    <w:rPr>
                      <w:rFonts w:ascii="Times New Roman" w:hAnsi="Times New Roman"/>
                      <w:color w:val="auto"/>
                      <w:szCs w:val="21"/>
                    </w:rPr>
                  </w:pPr>
                  <w:r>
                    <w:rPr>
                      <w:rFonts w:ascii="Times New Roman" w:hAnsi="Times New Roman"/>
                      <w:color w:val="auto"/>
                      <w:szCs w:val="21"/>
                    </w:rPr>
                    <w:t>本项目不涉及占用自然保护区、饮用水水源保护区等环境敏感区。</w:t>
                  </w:r>
                </w:p>
              </w:tc>
              <w:tc>
                <w:tcPr>
                  <w:tcW w:w="482" w:type="pct"/>
                  <w:tcBorders>
                    <w:tl2br w:val="nil"/>
                    <w:tr2bl w:val="nil"/>
                  </w:tcBorders>
                  <w:shd w:val="clear" w:color="auto" w:fill="auto"/>
                  <w:vAlign w:val="center"/>
                </w:tcPr>
                <w:p w14:paraId="1988E7B6">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3415A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62F1A6FF">
                  <w:pPr>
                    <w:adjustRightInd w:val="0"/>
                    <w:snapToGrid w:val="0"/>
                    <w:jc w:val="center"/>
                    <w:rPr>
                      <w:rFonts w:ascii="Times New Roman" w:hAnsi="Times New Roman"/>
                      <w:color w:val="auto"/>
                      <w:szCs w:val="21"/>
                    </w:rPr>
                  </w:pPr>
                </w:p>
              </w:tc>
              <w:tc>
                <w:tcPr>
                  <w:tcW w:w="2948" w:type="pct"/>
                  <w:gridSpan w:val="2"/>
                  <w:tcBorders>
                    <w:tl2br w:val="nil"/>
                    <w:tr2bl w:val="nil"/>
                  </w:tcBorders>
                  <w:shd w:val="clear" w:color="auto" w:fill="auto"/>
                  <w:vAlign w:val="center"/>
                </w:tcPr>
                <w:p w14:paraId="6BA0722E">
                  <w:pPr>
                    <w:adjustRightInd w:val="0"/>
                    <w:snapToGrid w:val="0"/>
                    <w:jc w:val="center"/>
                    <w:rPr>
                      <w:rFonts w:ascii="Times New Roman" w:hAnsi="Times New Roman"/>
                      <w:color w:val="auto"/>
                      <w:szCs w:val="21"/>
                    </w:rPr>
                  </w:pPr>
                  <w:r>
                    <w:rPr>
                      <w:rFonts w:ascii="Times New Roman" w:hAnsi="Times New Roman"/>
                      <w:color w:val="auto"/>
                      <w:szCs w:val="21"/>
                    </w:rPr>
                    <w:t>变电工程在选址时应按终期规模综合考虑进出线走廊规划，避免进出线进入自然保护区、饮用水水源保护区等环境敏感区。</w:t>
                  </w:r>
                </w:p>
              </w:tc>
              <w:tc>
                <w:tcPr>
                  <w:tcW w:w="1314" w:type="pct"/>
                  <w:vMerge w:val="continue"/>
                  <w:tcBorders>
                    <w:tl2br w:val="nil"/>
                    <w:tr2bl w:val="nil"/>
                  </w:tcBorders>
                  <w:shd w:val="clear" w:color="auto" w:fill="auto"/>
                  <w:vAlign w:val="center"/>
                </w:tcPr>
                <w:p w14:paraId="05493DFC">
                  <w:pPr>
                    <w:adjustRightInd w:val="0"/>
                    <w:snapToGrid w:val="0"/>
                    <w:jc w:val="center"/>
                    <w:rPr>
                      <w:rFonts w:ascii="Times New Roman" w:hAnsi="Times New Roman"/>
                      <w:color w:val="auto"/>
                      <w:szCs w:val="21"/>
                    </w:rPr>
                  </w:pPr>
                </w:p>
              </w:tc>
              <w:tc>
                <w:tcPr>
                  <w:tcW w:w="482" w:type="pct"/>
                  <w:tcBorders>
                    <w:tl2br w:val="nil"/>
                    <w:tr2bl w:val="nil"/>
                  </w:tcBorders>
                  <w:shd w:val="clear" w:color="auto" w:fill="auto"/>
                  <w:vAlign w:val="center"/>
                </w:tcPr>
                <w:p w14:paraId="65DB95FB">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0E8BF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3E08323D">
                  <w:pPr>
                    <w:adjustRightInd w:val="0"/>
                    <w:snapToGrid w:val="0"/>
                    <w:jc w:val="center"/>
                    <w:rPr>
                      <w:rFonts w:ascii="Times New Roman" w:hAnsi="Times New Roman"/>
                      <w:color w:val="auto"/>
                      <w:szCs w:val="21"/>
                    </w:rPr>
                  </w:pPr>
                </w:p>
              </w:tc>
              <w:tc>
                <w:tcPr>
                  <w:tcW w:w="2948" w:type="pct"/>
                  <w:gridSpan w:val="2"/>
                  <w:tcBorders>
                    <w:tl2br w:val="nil"/>
                    <w:tr2bl w:val="nil"/>
                  </w:tcBorders>
                  <w:shd w:val="clear" w:color="auto" w:fill="auto"/>
                  <w:vAlign w:val="center"/>
                </w:tcPr>
                <w:p w14:paraId="5B7C108C">
                  <w:pPr>
                    <w:adjustRightInd w:val="0"/>
                    <w:snapToGrid w:val="0"/>
                    <w:jc w:val="center"/>
                    <w:rPr>
                      <w:rFonts w:ascii="Times New Roman" w:hAnsi="Times New Roman"/>
                      <w:color w:val="auto"/>
                      <w:szCs w:val="21"/>
                    </w:rPr>
                  </w:pPr>
                  <w:r>
                    <w:rPr>
                      <w:rFonts w:ascii="Times New Roman" w:hAnsi="Times New Roman"/>
                      <w:color w:val="auto"/>
                      <w:szCs w:val="21"/>
                    </w:rPr>
                    <w:t>户外变电工程及规划架空进出线选址选线时，应关注以居住、医疗卫生、文化教育、科研、行政办公等为主要功能的区域，采取综合措施，减少电磁和声环境影响。</w:t>
                  </w:r>
                </w:p>
              </w:tc>
              <w:tc>
                <w:tcPr>
                  <w:tcW w:w="1314" w:type="pct"/>
                  <w:tcBorders>
                    <w:tl2br w:val="nil"/>
                    <w:tr2bl w:val="nil"/>
                  </w:tcBorders>
                  <w:shd w:val="clear" w:color="auto" w:fill="auto"/>
                  <w:vAlign w:val="center"/>
                </w:tcPr>
                <w:p w14:paraId="4193A227">
                  <w:pPr>
                    <w:adjustRightInd w:val="0"/>
                    <w:snapToGrid w:val="0"/>
                    <w:jc w:val="center"/>
                    <w:rPr>
                      <w:rFonts w:ascii="Times New Roman" w:hAnsi="Times New Roman"/>
                      <w:color w:val="auto"/>
                      <w:szCs w:val="21"/>
                    </w:rPr>
                  </w:pPr>
                  <w:r>
                    <w:rPr>
                      <w:rFonts w:ascii="Times New Roman" w:hAnsi="Times New Roman"/>
                      <w:color w:val="auto"/>
                      <w:szCs w:val="21"/>
                    </w:rPr>
                    <w:t>项目采取措施后，敏感目标电磁和声环境影响满足相应标准要求。</w:t>
                  </w:r>
                </w:p>
              </w:tc>
              <w:tc>
                <w:tcPr>
                  <w:tcW w:w="482" w:type="pct"/>
                  <w:tcBorders>
                    <w:tl2br w:val="nil"/>
                    <w:tr2bl w:val="nil"/>
                  </w:tcBorders>
                  <w:shd w:val="clear" w:color="auto" w:fill="auto"/>
                  <w:vAlign w:val="center"/>
                </w:tcPr>
                <w:p w14:paraId="57C07D18">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574AF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2A21A434">
                  <w:pPr>
                    <w:adjustRightInd w:val="0"/>
                    <w:snapToGrid w:val="0"/>
                    <w:jc w:val="center"/>
                    <w:rPr>
                      <w:rFonts w:ascii="Times New Roman" w:hAnsi="Times New Roman"/>
                      <w:color w:val="auto"/>
                      <w:szCs w:val="21"/>
                    </w:rPr>
                  </w:pPr>
                </w:p>
              </w:tc>
              <w:tc>
                <w:tcPr>
                  <w:tcW w:w="2948" w:type="pct"/>
                  <w:gridSpan w:val="2"/>
                  <w:tcBorders>
                    <w:tl2br w:val="nil"/>
                    <w:tr2bl w:val="nil"/>
                  </w:tcBorders>
                  <w:shd w:val="clear" w:color="auto" w:fill="auto"/>
                  <w:vAlign w:val="center"/>
                </w:tcPr>
                <w:p w14:paraId="67A52F49">
                  <w:pPr>
                    <w:adjustRightInd w:val="0"/>
                    <w:snapToGrid w:val="0"/>
                    <w:jc w:val="center"/>
                    <w:rPr>
                      <w:rFonts w:ascii="Times New Roman" w:hAnsi="Times New Roman"/>
                      <w:color w:val="auto"/>
                      <w:szCs w:val="21"/>
                    </w:rPr>
                  </w:pPr>
                  <w:r>
                    <w:rPr>
                      <w:rFonts w:ascii="Times New Roman" w:hAnsi="Times New Roman"/>
                      <w:color w:val="auto"/>
                      <w:szCs w:val="21"/>
                    </w:rPr>
                    <w:t>原则上避免在0类声环境功能区建设变电工程。</w:t>
                  </w:r>
                </w:p>
              </w:tc>
              <w:tc>
                <w:tcPr>
                  <w:tcW w:w="1314" w:type="pct"/>
                  <w:tcBorders>
                    <w:tl2br w:val="nil"/>
                    <w:tr2bl w:val="nil"/>
                  </w:tcBorders>
                  <w:shd w:val="clear" w:color="auto" w:fill="auto"/>
                  <w:vAlign w:val="center"/>
                </w:tcPr>
                <w:p w14:paraId="4713FFE6">
                  <w:pPr>
                    <w:adjustRightInd w:val="0"/>
                    <w:snapToGrid w:val="0"/>
                    <w:jc w:val="center"/>
                    <w:rPr>
                      <w:rFonts w:ascii="Times New Roman" w:hAnsi="Times New Roman"/>
                      <w:color w:val="auto"/>
                      <w:szCs w:val="21"/>
                    </w:rPr>
                  </w:pPr>
                  <w:r>
                    <w:rPr>
                      <w:rFonts w:ascii="Times New Roman" w:hAnsi="Times New Roman"/>
                      <w:color w:val="auto"/>
                      <w:szCs w:val="21"/>
                    </w:rPr>
                    <w:t>本项目不位于0类区域。</w:t>
                  </w:r>
                </w:p>
              </w:tc>
              <w:tc>
                <w:tcPr>
                  <w:tcW w:w="482" w:type="pct"/>
                  <w:tcBorders>
                    <w:tl2br w:val="nil"/>
                    <w:tr2bl w:val="nil"/>
                  </w:tcBorders>
                  <w:shd w:val="clear" w:color="auto" w:fill="auto"/>
                  <w:vAlign w:val="center"/>
                </w:tcPr>
                <w:p w14:paraId="654D0879">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651B1F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71C0DBDF">
                  <w:pPr>
                    <w:adjustRightInd w:val="0"/>
                    <w:snapToGrid w:val="0"/>
                    <w:jc w:val="center"/>
                    <w:rPr>
                      <w:rFonts w:ascii="Times New Roman" w:hAnsi="Times New Roman"/>
                      <w:color w:val="auto"/>
                      <w:szCs w:val="21"/>
                    </w:rPr>
                  </w:pPr>
                </w:p>
              </w:tc>
              <w:tc>
                <w:tcPr>
                  <w:tcW w:w="2948" w:type="pct"/>
                  <w:gridSpan w:val="2"/>
                  <w:tcBorders>
                    <w:tl2br w:val="nil"/>
                    <w:tr2bl w:val="nil"/>
                  </w:tcBorders>
                  <w:shd w:val="clear" w:color="auto" w:fill="auto"/>
                  <w:vAlign w:val="center"/>
                </w:tcPr>
                <w:p w14:paraId="0EBFDFEB">
                  <w:pPr>
                    <w:adjustRightInd w:val="0"/>
                    <w:snapToGrid w:val="0"/>
                    <w:jc w:val="center"/>
                    <w:rPr>
                      <w:rFonts w:ascii="Times New Roman" w:hAnsi="Times New Roman"/>
                      <w:color w:val="auto"/>
                      <w:szCs w:val="21"/>
                    </w:rPr>
                  </w:pPr>
                  <w:r>
                    <w:rPr>
                      <w:rFonts w:ascii="Times New Roman" w:hAnsi="Times New Roman"/>
                      <w:color w:val="auto"/>
                      <w:szCs w:val="21"/>
                    </w:rPr>
                    <w:t>变电工程选址时，应综合考虑减少土地占用、植被砍伐和弃土弃渣等，以减少对生态环境的不利影响。</w:t>
                  </w:r>
                </w:p>
              </w:tc>
              <w:tc>
                <w:tcPr>
                  <w:tcW w:w="1314" w:type="pct"/>
                  <w:tcBorders>
                    <w:tl2br w:val="nil"/>
                    <w:tr2bl w:val="nil"/>
                  </w:tcBorders>
                  <w:shd w:val="clear" w:color="auto" w:fill="auto"/>
                  <w:vAlign w:val="center"/>
                </w:tcPr>
                <w:p w14:paraId="71FDEF0B">
                  <w:pPr>
                    <w:adjustRightInd w:val="0"/>
                    <w:snapToGrid w:val="0"/>
                    <w:jc w:val="center"/>
                    <w:rPr>
                      <w:rFonts w:ascii="Times New Roman" w:hAnsi="Times New Roman"/>
                      <w:color w:val="auto"/>
                      <w:szCs w:val="21"/>
                    </w:rPr>
                  </w:pPr>
                  <w:r>
                    <w:rPr>
                      <w:rFonts w:ascii="Times New Roman" w:hAnsi="Times New Roman"/>
                      <w:color w:val="auto"/>
                      <w:szCs w:val="21"/>
                    </w:rPr>
                    <w:t>本项目选址选线尽量少占用地</w:t>
                  </w:r>
                </w:p>
              </w:tc>
              <w:tc>
                <w:tcPr>
                  <w:tcW w:w="482" w:type="pct"/>
                  <w:tcBorders>
                    <w:tl2br w:val="nil"/>
                    <w:tr2bl w:val="nil"/>
                  </w:tcBorders>
                  <w:shd w:val="clear" w:color="auto" w:fill="auto"/>
                  <w:vAlign w:val="center"/>
                </w:tcPr>
                <w:p w14:paraId="35C86D70">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52D54E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restart"/>
                  <w:tcBorders>
                    <w:tl2br w:val="nil"/>
                    <w:tr2bl w:val="nil"/>
                  </w:tcBorders>
                  <w:shd w:val="clear" w:color="auto" w:fill="auto"/>
                  <w:vAlign w:val="center"/>
                </w:tcPr>
                <w:p w14:paraId="5C9A2BD3">
                  <w:pPr>
                    <w:adjustRightInd w:val="0"/>
                    <w:snapToGrid w:val="0"/>
                    <w:jc w:val="center"/>
                    <w:rPr>
                      <w:rFonts w:ascii="Times New Roman" w:hAnsi="Times New Roman"/>
                      <w:color w:val="auto"/>
                      <w:szCs w:val="21"/>
                    </w:rPr>
                  </w:pPr>
                  <w:r>
                    <w:rPr>
                      <w:rFonts w:ascii="Times New Roman" w:hAnsi="Times New Roman"/>
                      <w:color w:val="auto"/>
                      <w:szCs w:val="21"/>
                    </w:rPr>
                    <w:t>设计</w:t>
                  </w:r>
                </w:p>
              </w:tc>
              <w:tc>
                <w:tcPr>
                  <w:tcW w:w="363" w:type="pct"/>
                  <w:vMerge w:val="restart"/>
                  <w:tcBorders>
                    <w:tl2br w:val="nil"/>
                    <w:tr2bl w:val="nil"/>
                  </w:tcBorders>
                  <w:shd w:val="clear" w:color="auto" w:fill="auto"/>
                  <w:vAlign w:val="center"/>
                </w:tcPr>
                <w:p w14:paraId="2190158C">
                  <w:pPr>
                    <w:adjustRightInd w:val="0"/>
                    <w:snapToGrid w:val="0"/>
                    <w:jc w:val="center"/>
                    <w:rPr>
                      <w:rFonts w:ascii="Times New Roman" w:hAnsi="Times New Roman"/>
                      <w:color w:val="auto"/>
                      <w:szCs w:val="21"/>
                    </w:rPr>
                  </w:pPr>
                  <w:r>
                    <w:rPr>
                      <w:rFonts w:ascii="Times New Roman" w:hAnsi="Times New Roman"/>
                      <w:color w:val="auto"/>
                      <w:szCs w:val="21"/>
                    </w:rPr>
                    <w:t>总体要求</w:t>
                  </w:r>
                </w:p>
              </w:tc>
              <w:tc>
                <w:tcPr>
                  <w:tcW w:w="2584" w:type="pct"/>
                  <w:tcBorders>
                    <w:tl2br w:val="nil"/>
                    <w:tr2bl w:val="nil"/>
                  </w:tcBorders>
                  <w:shd w:val="clear" w:color="auto" w:fill="auto"/>
                  <w:vAlign w:val="center"/>
                </w:tcPr>
                <w:p w14:paraId="2F9751CF">
                  <w:pPr>
                    <w:adjustRightInd w:val="0"/>
                    <w:snapToGrid w:val="0"/>
                    <w:jc w:val="center"/>
                    <w:rPr>
                      <w:rFonts w:ascii="Times New Roman" w:hAnsi="Times New Roman"/>
                      <w:color w:val="auto"/>
                      <w:szCs w:val="21"/>
                    </w:rPr>
                  </w:pPr>
                  <w:r>
                    <w:rPr>
                      <w:rFonts w:ascii="Times New Roman" w:hAnsi="Times New Roman"/>
                      <w:color w:val="auto"/>
                      <w:szCs w:val="21"/>
                    </w:rPr>
                    <w:t>改建、扩建输变电建设项目应采取措施，治理与该项目有关的原有环境污染和生态破坏。</w:t>
                  </w:r>
                </w:p>
              </w:tc>
              <w:tc>
                <w:tcPr>
                  <w:tcW w:w="1314" w:type="pct"/>
                  <w:tcBorders>
                    <w:tl2br w:val="nil"/>
                    <w:tr2bl w:val="nil"/>
                  </w:tcBorders>
                  <w:shd w:val="clear" w:color="auto" w:fill="auto"/>
                  <w:vAlign w:val="center"/>
                </w:tcPr>
                <w:p w14:paraId="5B2A43A5">
                  <w:pPr>
                    <w:adjustRightInd w:val="0"/>
                    <w:snapToGrid w:val="0"/>
                    <w:jc w:val="center"/>
                    <w:rPr>
                      <w:rFonts w:ascii="Times New Roman" w:hAnsi="Times New Roman"/>
                      <w:color w:val="auto"/>
                      <w:szCs w:val="21"/>
                    </w:rPr>
                  </w:pPr>
                  <w:r>
                    <w:rPr>
                      <w:rFonts w:ascii="Times New Roman" w:hAnsi="Times New Roman"/>
                      <w:color w:val="auto"/>
                      <w:szCs w:val="21"/>
                    </w:rPr>
                    <w:t>本次不涉及新建变电站</w:t>
                  </w:r>
                </w:p>
              </w:tc>
              <w:tc>
                <w:tcPr>
                  <w:tcW w:w="482" w:type="pct"/>
                  <w:tcBorders>
                    <w:tl2br w:val="nil"/>
                    <w:tr2bl w:val="nil"/>
                  </w:tcBorders>
                  <w:shd w:val="clear" w:color="auto" w:fill="auto"/>
                  <w:vAlign w:val="center"/>
                </w:tcPr>
                <w:p w14:paraId="7F71FBC9">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3908C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5C437129">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22590F68">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4DB0D6A2">
                  <w:pPr>
                    <w:adjustRightInd w:val="0"/>
                    <w:snapToGrid w:val="0"/>
                    <w:jc w:val="center"/>
                    <w:rPr>
                      <w:rFonts w:ascii="Times New Roman" w:hAnsi="Times New Roman"/>
                      <w:color w:val="auto"/>
                      <w:szCs w:val="21"/>
                    </w:rPr>
                  </w:pPr>
                  <w:r>
                    <w:rPr>
                      <w:rFonts w:ascii="Times New Roman" w:hAnsi="Times New Roman"/>
                      <w:color w:val="auto"/>
                      <w:szCs w:val="21"/>
                    </w:rPr>
                    <w:t>变电工程应设置足够容量的事故油池及其配套的拦截、防雨、防渗等措施和设施。一旦发生泄漏，应能及时进行拦截和处理，确保油及油水混合物全部收集、不外排。</w:t>
                  </w:r>
                </w:p>
              </w:tc>
              <w:tc>
                <w:tcPr>
                  <w:tcW w:w="1314" w:type="pct"/>
                  <w:tcBorders>
                    <w:tl2br w:val="nil"/>
                    <w:tr2bl w:val="nil"/>
                  </w:tcBorders>
                  <w:shd w:val="clear" w:color="auto" w:fill="auto"/>
                  <w:vAlign w:val="center"/>
                </w:tcPr>
                <w:p w14:paraId="1426D421">
                  <w:pPr>
                    <w:adjustRightInd w:val="0"/>
                    <w:snapToGrid w:val="0"/>
                    <w:jc w:val="center"/>
                    <w:rPr>
                      <w:rFonts w:ascii="Times New Roman" w:hAnsi="Times New Roman"/>
                      <w:color w:val="auto"/>
                      <w:szCs w:val="21"/>
                    </w:rPr>
                  </w:pPr>
                  <w:r>
                    <w:rPr>
                      <w:rFonts w:ascii="Times New Roman" w:hAnsi="Times New Roman"/>
                      <w:color w:val="auto"/>
                      <w:szCs w:val="21"/>
                    </w:rPr>
                    <w:t>本工程依托现有设施</w:t>
                  </w:r>
                </w:p>
              </w:tc>
              <w:tc>
                <w:tcPr>
                  <w:tcW w:w="482" w:type="pct"/>
                  <w:tcBorders>
                    <w:tl2br w:val="nil"/>
                    <w:tr2bl w:val="nil"/>
                  </w:tcBorders>
                  <w:shd w:val="clear" w:color="auto" w:fill="auto"/>
                  <w:vAlign w:val="center"/>
                </w:tcPr>
                <w:p w14:paraId="30A4B035">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55C09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1FC4B078">
                  <w:pPr>
                    <w:adjustRightInd w:val="0"/>
                    <w:snapToGrid w:val="0"/>
                    <w:jc w:val="center"/>
                    <w:rPr>
                      <w:rFonts w:ascii="Times New Roman" w:hAnsi="Times New Roman"/>
                      <w:color w:val="auto"/>
                      <w:szCs w:val="21"/>
                    </w:rPr>
                  </w:pPr>
                </w:p>
              </w:tc>
              <w:tc>
                <w:tcPr>
                  <w:tcW w:w="363" w:type="pct"/>
                  <w:vMerge w:val="restart"/>
                  <w:tcBorders>
                    <w:tl2br w:val="nil"/>
                    <w:tr2bl w:val="nil"/>
                  </w:tcBorders>
                  <w:shd w:val="clear" w:color="auto" w:fill="auto"/>
                  <w:vAlign w:val="center"/>
                </w:tcPr>
                <w:p w14:paraId="57B2B52C">
                  <w:pPr>
                    <w:adjustRightInd w:val="0"/>
                    <w:snapToGrid w:val="0"/>
                    <w:jc w:val="center"/>
                    <w:rPr>
                      <w:rFonts w:ascii="Times New Roman" w:hAnsi="Times New Roman"/>
                      <w:color w:val="auto"/>
                      <w:szCs w:val="21"/>
                    </w:rPr>
                  </w:pPr>
                  <w:r>
                    <w:rPr>
                      <w:rFonts w:ascii="Times New Roman" w:hAnsi="Times New Roman"/>
                      <w:color w:val="auto"/>
                      <w:szCs w:val="21"/>
                    </w:rPr>
                    <w:t>电磁环境保护</w:t>
                  </w:r>
                </w:p>
              </w:tc>
              <w:tc>
                <w:tcPr>
                  <w:tcW w:w="2584" w:type="pct"/>
                  <w:tcBorders>
                    <w:tl2br w:val="nil"/>
                    <w:tr2bl w:val="nil"/>
                  </w:tcBorders>
                  <w:shd w:val="clear" w:color="auto" w:fill="auto"/>
                  <w:vAlign w:val="center"/>
                </w:tcPr>
                <w:p w14:paraId="7DDD410E">
                  <w:pPr>
                    <w:adjustRightInd w:val="0"/>
                    <w:snapToGrid w:val="0"/>
                    <w:jc w:val="center"/>
                    <w:rPr>
                      <w:rFonts w:ascii="Times New Roman" w:hAnsi="Times New Roman"/>
                      <w:color w:val="auto"/>
                      <w:szCs w:val="21"/>
                    </w:rPr>
                  </w:pPr>
                  <w:r>
                    <w:rPr>
                      <w:rFonts w:ascii="Times New Roman" w:hAnsi="Times New Roman"/>
                      <w:color w:val="auto"/>
                      <w:szCs w:val="21"/>
                    </w:rPr>
                    <w:t>工程设计应对产生的工频电场、工频磁场、直流合成电场等电磁环境影响因子进行验算，采取相应防护措施，确保电磁环境影响满足国家标准要求。</w:t>
                  </w:r>
                </w:p>
              </w:tc>
              <w:tc>
                <w:tcPr>
                  <w:tcW w:w="1314" w:type="pct"/>
                  <w:tcBorders>
                    <w:tl2br w:val="nil"/>
                    <w:tr2bl w:val="nil"/>
                  </w:tcBorders>
                  <w:shd w:val="clear" w:color="auto" w:fill="auto"/>
                  <w:vAlign w:val="center"/>
                </w:tcPr>
                <w:p w14:paraId="2C15C1C1">
                  <w:pPr>
                    <w:adjustRightInd w:val="0"/>
                    <w:snapToGrid w:val="0"/>
                    <w:jc w:val="center"/>
                    <w:rPr>
                      <w:rFonts w:ascii="Times New Roman" w:hAnsi="Times New Roman"/>
                      <w:color w:val="auto"/>
                      <w:szCs w:val="21"/>
                    </w:rPr>
                  </w:pPr>
                  <w:r>
                    <w:rPr>
                      <w:rFonts w:ascii="Times New Roman" w:hAnsi="Times New Roman"/>
                      <w:color w:val="auto"/>
                      <w:szCs w:val="21"/>
                    </w:rPr>
                    <w:t>经分析，采取相应防护措施后，本项目电磁环境影响满足国家标准要求。</w:t>
                  </w:r>
                </w:p>
              </w:tc>
              <w:tc>
                <w:tcPr>
                  <w:tcW w:w="482" w:type="pct"/>
                  <w:tcBorders>
                    <w:tl2br w:val="nil"/>
                    <w:tr2bl w:val="nil"/>
                  </w:tcBorders>
                  <w:shd w:val="clear" w:color="auto" w:fill="auto"/>
                  <w:vAlign w:val="center"/>
                </w:tcPr>
                <w:p w14:paraId="59B6D2C4">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5EC03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589D8A11">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2EC69E92">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14BE0C33">
                  <w:pPr>
                    <w:adjustRightInd w:val="0"/>
                    <w:snapToGrid w:val="0"/>
                    <w:jc w:val="center"/>
                    <w:rPr>
                      <w:rFonts w:ascii="Times New Roman" w:hAnsi="Times New Roman"/>
                      <w:color w:val="auto"/>
                      <w:szCs w:val="21"/>
                    </w:rPr>
                  </w:pPr>
                  <w:r>
                    <w:rPr>
                      <w:rFonts w:ascii="Times New Roman" w:hAnsi="Times New Roman"/>
                      <w:color w:val="auto"/>
                      <w:szCs w:val="21"/>
                    </w:rPr>
                    <w:t>变电工程的布置设计应考虑进出线对周围电磁环境的影响。</w:t>
                  </w:r>
                </w:p>
              </w:tc>
              <w:tc>
                <w:tcPr>
                  <w:tcW w:w="1314" w:type="pct"/>
                  <w:tcBorders>
                    <w:tl2br w:val="nil"/>
                    <w:tr2bl w:val="nil"/>
                  </w:tcBorders>
                  <w:shd w:val="clear" w:color="auto" w:fill="auto"/>
                  <w:vAlign w:val="center"/>
                </w:tcPr>
                <w:p w14:paraId="59E6CD1A">
                  <w:pPr>
                    <w:adjustRightInd w:val="0"/>
                    <w:snapToGrid w:val="0"/>
                    <w:jc w:val="center"/>
                    <w:rPr>
                      <w:rFonts w:ascii="Times New Roman" w:hAnsi="Times New Roman"/>
                      <w:color w:val="auto"/>
                      <w:szCs w:val="21"/>
                    </w:rPr>
                  </w:pPr>
                  <w:r>
                    <w:rPr>
                      <w:rFonts w:ascii="Times New Roman" w:hAnsi="Times New Roman"/>
                      <w:color w:val="auto"/>
                      <w:szCs w:val="21"/>
                    </w:rPr>
                    <w:t>本工程设计阶段即选取适宜的导线参数、相序布置，以减少电磁环境影响。</w:t>
                  </w:r>
                </w:p>
              </w:tc>
              <w:tc>
                <w:tcPr>
                  <w:tcW w:w="482" w:type="pct"/>
                  <w:tcBorders>
                    <w:tl2br w:val="nil"/>
                    <w:tr2bl w:val="nil"/>
                  </w:tcBorders>
                  <w:shd w:val="clear" w:color="auto" w:fill="auto"/>
                  <w:vAlign w:val="center"/>
                </w:tcPr>
                <w:p w14:paraId="065750B7">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34EC8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0DFF7B8D">
                  <w:pPr>
                    <w:adjustRightInd w:val="0"/>
                    <w:snapToGrid w:val="0"/>
                    <w:jc w:val="center"/>
                    <w:rPr>
                      <w:rFonts w:ascii="Times New Roman" w:hAnsi="Times New Roman"/>
                      <w:color w:val="auto"/>
                      <w:szCs w:val="21"/>
                    </w:rPr>
                  </w:pPr>
                </w:p>
              </w:tc>
              <w:tc>
                <w:tcPr>
                  <w:tcW w:w="363" w:type="pct"/>
                  <w:vMerge w:val="restart"/>
                  <w:tcBorders>
                    <w:tl2br w:val="nil"/>
                    <w:tr2bl w:val="nil"/>
                  </w:tcBorders>
                  <w:shd w:val="clear" w:color="auto" w:fill="auto"/>
                  <w:vAlign w:val="center"/>
                </w:tcPr>
                <w:p w14:paraId="1D337F21">
                  <w:pPr>
                    <w:adjustRightInd w:val="0"/>
                    <w:snapToGrid w:val="0"/>
                    <w:jc w:val="center"/>
                    <w:rPr>
                      <w:rFonts w:ascii="Times New Roman" w:hAnsi="Times New Roman"/>
                      <w:color w:val="auto"/>
                      <w:szCs w:val="21"/>
                    </w:rPr>
                  </w:pPr>
                  <w:r>
                    <w:rPr>
                      <w:rFonts w:ascii="Times New Roman" w:hAnsi="Times New Roman"/>
                      <w:color w:val="auto"/>
                      <w:szCs w:val="21"/>
                    </w:rPr>
                    <w:t>声环境保护</w:t>
                  </w:r>
                </w:p>
              </w:tc>
              <w:tc>
                <w:tcPr>
                  <w:tcW w:w="2584" w:type="pct"/>
                  <w:tcBorders>
                    <w:tl2br w:val="nil"/>
                    <w:tr2bl w:val="nil"/>
                  </w:tcBorders>
                  <w:shd w:val="clear" w:color="auto" w:fill="auto"/>
                  <w:vAlign w:val="center"/>
                </w:tcPr>
                <w:p w14:paraId="5BA0E396">
                  <w:pPr>
                    <w:adjustRightInd w:val="0"/>
                    <w:snapToGrid w:val="0"/>
                    <w:jc w:val="center"/>
                    <w:rPr>
                      <w:rFonts w:ascii="Times New Roman" w:hAnsi="Times New Roman"/>
                      <w:color w:val="auto"/>
                      <w:szCs w:val="21"/>
                    </w:rPr>
                  </w:pPr>
                  <w:r>
                    <w:rPr>
                      <w:rFonts w:ascii="Times New Roman" w:hAnsi="Times New Roman"/>
                      <w:color w:val="auto"/>
                      <w:szCs w:val="21"/>
                    </w:rPr>
                    <w:t>变电工程噪声控制设计应首先从噪声源强上进行控制，选择低噪声设备；对于声源上无法根治的噪声，应采用隔声、吸声、消声、防振、减振等降噪措施，确保厂界排放噪声和周围声环境敏感目标分别满足GB12348和GB3096要求。</w:t>
                  </w:r>
                </w:p>
              </w:tc>
              <w:tc>
                <w:tcPr>
                  <w:tcW w:w="1314" w:type="pct"/>
                  <w:vMerge w:val="restart"/>
                  <w:tcBorders>
                    <w:tl2br w:val="nil"/>
                    <w:tr2bl w:val="nil"/>
                  </w:tcBorders>
                  <w:shd w:val="clear" w:color="auto" w:fill="auto"/>
                  <w:vAlign w:val="center"/>
                </w:tcPr>
                <w:p w14:paraId="4647E016">
                  <w:pPr>
                    <w:adjustRightInd w:val="0"/>
                    <w:snapToGrid w:val="0"/>
                    <w:jc w:val="center"/>
                    <w:rPr>
                      <w:rFonts w:ascii="Times New Roman" w:hAnsi="Times New Roman"/>
                      <w:color w:val="auto"/>
                      <w:szCs w:val="21"/>
                    </w:rPr>
                  </w:pPr>
                  <w:r>
                    <w:rPr>
                      <w:rFonts w:ascii="Times New Roman" w:hAnsi="Times New Roman"/>
                      <w:color w:val="auto"/>
                      <w:szCs w:val="21"/>
                    </w:rPr>
                    <w:t>本次依托现有</w:t>
                  </w:r>
                  <w:r>
                    <w:rPr>
                      <w:rFonts w:hint="eastAsia" w:ascii="Times New Roman" w:hAnsi="Times New Roman"/>
                      <w:color w:val="auto"/>
                      <w:szCs w:val="21"/>
                    </w:rPr>
                    <w:t>220kV六合一、500kV乐业变</w:t>
                  </w:r>
                  <w:r>
                    <w:rPr>
                      <w:rFonts w:ascii="Times New Roman" w:hAnsi="Times New Roman"/>
                      <w:color w:val="auto"/>
                      <w:szCs w:val="21"/>
                    </w:rPr>
                    <w:t>，不增加主变压器等声源设备，可满足GB12348的限值要求。</w:t>
                  </w:r>
                </w:p>
              </w:tc>
              <w:tc>
                <w:tcPr>
                  <w:tcW w:w="482" w:type="pct"/>
                  <w:tcBorders>
                    <w:tl2br w:val="nil"/>
                    <w:tr2bl w:val="nil"/>
                  </w:tcBorders>
                  <w:shd w:val="clear" w:color="auto" w:fill="auto"/>
                  <w:vAlign w:val="center"/>
                </w:tcPr>
                <w:p w14:paraId="4E6C89BA">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0CD302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7110646D">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1CE98B4E">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469203C8">
                  <w:pPr>
                    <w:adjustRightInd w:val="0"/>
                    <w:snapToGrid w:val="0"/>
                    <w:jc w:val="center"/>
                    <w:rPr>
                      <w:rFonts w:ascii="Times New Roman" w:hAnsi="Times New Roman"/>
                      <w:color w:val="auto"/>
                      <w:szCs w:val="21"/>
                    </w:rPr>
                  </w:pPr>
                  <w:r>
                    <w:rPr>
                      <w:rFonts w:ascii="Times New Roman" w:hAnsi="Times New Roman"/>
                      <w:color w:val="auto"/>
                      <w:szCs w:val="21"/>
                    </w:rPr>
                    <w:t>户外变电工程总体布置应综合考虑声环境影响因素，合理规划，利用建筑物、地形等阻挡噪声传播，减少对声环境敏感目标的影响。</w:t>
                  </w:r>
                </w:p>
              </w:tc>
              <w:tc>
                <w:tcPr>
                  <w:tcW w:w="1314" w:type="pct"/>
                  <w:vMerge w:val="continue"/>
                  <w:tcBorders>
                    <w:tl2br w:val="nil"/>
                    <w:tr2bl w:val="nil"/>
                  </w:tcBorders>
                  <w:shd w:val="clear" w:color="auto" w:fill="auto"/>
                  <w:vAlign w:val="center"/>
                </w:tcPr>
                <w:p w14:paraId="6AA7DE54">
                  <w:pPr>
                    <w:adjustRightInd w:val="0"/>
                    <w:snapToGrid w:val="0"/>
                    <w:jc w:val="center"/>
                    <w:rPr>
                      <w:rFonts w:ascii="Times New Roman" w:hAnsi="Times New Roman"/>
                      <w:color w:val="auto"/>
                      <w:szCs w:val="21"/>
                    </w:rPr>
                  </w:pPr>
                </w:p>
              </w:tc>
              <w:tc>
                <w:tcPr>
                  <w:tcW w:w="482" w:type="pct"/>
                  <w:tcBorders>
                    <w:tl2br w:val="nil"/>
                    <w:tr2bl w:val="nil"/>
                  </w:tcBorders>
                  <w:shd w:val="clear" w:color="auto" w:fill="auto"/>
                  <w:vAlign w:val="center"/>
                </w:tcPr>
                <w:p w14:paraId="45093214">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0EBD0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162254DF">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3E1EAE67">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3A157285">
                  <w:pPr>
                    <w:adjustRightInd w:val="0"/>
                    <w:snapToGrid w:val="0"/>
                    <w:jc w:val="center"/>
                    <w:rPr>
                      <w:rFonts w:ascii="Times New Roman" w:hAnsi="Times New Roman"/>
                      <w:color w:val="auto"/>
                      <w:szCs w:val="21"/>
                    </w:rPr>
                  </w:pPr>
                  <w:r>
                    <w:rPr>
                      <w:rFonts w:ascii="Times New Roman" w:hAnsi="Times New Roman"/>
                      <w:color w:val="auto"/>
                      <w:szCs w:val="21"/>
                    </w:rPr>
                    <w:t>户外变电工程在设计过程中应进行平面布置优化，将主变压器、换流变压器、高压电抗器等主要声源设备布置在站址中央区域或远离站外声环境敏感目标侧的区域。</w:t>
                  </w:r>
                </w:p>
              </w:tc>
              <w:tc>
                <w:tcPr>
                  <w:tcW w:w="1314" w:type="pct"/>
                  <w:vMerge w:val="continue"/>
                  <w:tcBorders>
                    <w:tl2br w:val="nil"/>
                    <w:tr2bl w:val="nil"/>
                  </w:tcBorders>
                  <w:shd w:val="clear" w:color="auto" w:fill="auto"/>
                  <w:vAlign w:val="center"/>
                </w:tcPr>
                <w:p w14:paraId="63D72EA2">
                  <w:pPr>
                    <w:adjustRightInd w:val="0"/>
                    <w:snapToGrid w:val="0"/>
                    <w:jc w:val="center"/>
                    <w:rPr>
                      <w:rFonts w:ascii="Times New Roman" w:hAnsi="Times New Roman"/>
                      <w:color w:val="auto"/>
                      <w:szCs w:val="21"/>
                    </w:rPr>
                  </w:pPr>
                </w:p>
              </w:tc>
              <w:tc>
                <w:tcPr>
                  <w:tcW w:w="482" w:type="pct"/>
                  <w:tcBorders>
                    <w:tl2br w:val="nil"/>
                    <w:tr2bl w:val="nil"/>
                  </w:tcBorders>
                  <w:shd w:val="clear" w:color="auto" w:fill="auto"/>
                  <w:vAlign w:val="center"/>
                </w:tcPr>
                <w:p w14:paraId="5124E048">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198CD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0485BCDB">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19AACF04">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48D47B6F">
                  <w:pPr>
                    <w:adjustRightInd w:val="0"/>
                    <w:snapToGrid w:val="0"/>
                    <w:jc w:val="center"/>
                    <w:rPr>
                      <w:rFonts w:ascii="Times New Roman" w:hAnsi="Times New Roman"/>
                      <w:color w:val="auto"/>
                      <w:szCs w:val="21"/>
                    </w:rPr>
                  </w:pPr>
                  <w:r>
                    <w:rPr>
                      <w:rFonts w:ascii="Times New Roman" w:hAnsi="Times New Roman"/>
                      <w:color w:val="auto"/>
                      <w:szCs w:val="21"/>
                    </w:rPr>
                    <w:t>变电工程位于1类或周围噪声敏感建筑物较多的2类声环境功能区时，建设单位应严格控制主变压器、换流变压器、高压电抗器等主要噪声源的噪声水平，并在满足GB12348的基础上保留适当裕度。</w:t>
                  </w:r>
                </w:p>
              </w:tc>
              <w:tc>
                <w:tcPr>
                  <w:tcW w:w="1314" w:type="pct"/>
                  <w:vMerge w:val="continue"/>
                  <w:tcBorders>
                    <w:tl2br w:val="nil"/>
                    <w:tr2bl w:val="nil"/>
                  </w:tcBorders>
                  <w:shd w:val="clear" w:color="auto" w:fill="auto"/>
                  <w:vAlign w:val="center"/>
                </w:tcPr>
                <w:p w14:paraId="1A9026E5">
                  <w:pPr>
                    <w:adjustRightInd w:val="0"/>
                    <w:snapToGrid w:val="0"/>
                    <w:jc w:val="center"/>
                    <w:rPr>
                      <w:rFonts w:ascii="Times New Roman" w:hAnsi="Times New Roman"/>
                      <w:color w:val="auto"/>
                      <w:szCs w:val="21"/>
                    </w:rPr>
                  </w:pPr>
                </w:p>
              </w:tc>
              <w:tc>
                <w:tcPr>
                  <w:tcW w:w="482" w:type="pct"/>
                  <w:tcBorders>
                    <w:tl2br w:val="nil"/>
                    <w:tr2bl w:val="nil"/>
                  </w:tcBorders>
                  <w:shd w:val="clear" w:color="auto" w:fill="auto"/>
                  <w:vAlign w:val="center"/>
                </w:tcPr>
                <w:p w14:paraId="2730E34E">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720C2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4C5707DD">
                  <w:pPr>
                    <w:adjustRightInd w:val="0"/>
                    <w:snapToGrid w:val="0"/>
                    <w:jc w:val="center"/>
                    <w:rPr>
                      <w:rFonts w:ascii="Times New Roman" w:hAnsi="Times New Roman"/>
                      <w:color w:val="auto"/>
                      <w:szCs w:val="21"/>
                    </w:rPr>
                  </w:pPr>
                </w:p>
              </w:tc>
              <w:tc>
                <w:tcPr>
                  <w:tcW w:w="363" w:type="pct"/>
                  <w:vMerge w:val="restart"/>
                  <w:tcBorders>
                    <w:tl2br w:val="nil"/>
                    <w:tr2bl w:val="nil"/>
                  </w:tcBorders>
                  <w:shd w:val="clear" w:color="auto" w:fill="auto"/>
                  <w:vAlign w:val="center"/>
                </w:tcPr>
                <w:p w14:paraId="41D57DF4">
                  <w:pPr>
                    <w:adjustRightInd w:val="0"/>
                    <w:snapToGrid w:val="0"/>
                    <w:jc w:val="center"/>
                    <w:rPr>
                      <w:rFonts w:ascii="Times New Roman" w:hAnsi="Times New Roman"/>
                      <w:color w:val="auto"/>
                      <w:szCs w:val="21"/>
                    </w:rPr>
                  </w:pPr>
                  <w:r>
                    <w:rPr>
                      <w:rFonts w:ascii="Times New Roman" w:hAnsi="Times New Roman"/>
                      <w:color w:val="auto"/>
                      <w:szCs w:val="21"/>
                    </w:rPr>
                    <w:t>生态环境保护</w:t>
                  </w:r>
                </w:p>
              </w:tc>
              <w:tc>
                <w:tcPr>
                  <w:tcW w:w="2584" w:type="pct"/>
                  <w:tcBorders>
                    <w:tl2br w:val="nil"/>
                    <w:tr2bl w:val="nil"/>
                  </w:tcBorders>
                  <w:shd w:val="clear" w:color="auto" w:fill="auto"/>
                  <w:vAlign w:val="center"/>
                </w:tcPr>
                <w:p w14:paraId="364DDD39">
                  <w:pPr>
                    <w:adjustRightInd w:val="0"/>
                    <w:snapToGrid w:val="0"/>
                    <w:jc w:val="center"/>
                    <w:rPr>
                      <w:rFonts w:ascii="Times New Roman" w:hAnsi="Times New Roman"/>
                      <w:color w:val="auto"/>
                      <w:szCs w:val="21"/>
                    </w:rPr>
                  </w:pPr>
                  <w:r>
                    <w:rPr>
                      <w:rFonts w:ascii="Times New Roman" w:hAnsi="Times New Roman"/>
                      <w:color w:val="auto"/>
                      <w:szCs w:val="21"/>
                    </w:rPr>
                    <w:t>输变电建设项目在设计过程中应按照避让、减缓、恢复的次序提出生态影响防护与恢复的措施。</w:t>
                  </w:r>
                </w:p>
              </w:tc>
              <w:tc>
                <w:tcPr>
                  <w:tcW w:w="1314" w:type="pct"/>
                  <w:tcBorders>
                    <w:tl2br w:val="nil"/>
                    <w:tr2bl w:val="nil"/>
                  </w:tcBorders>
                  <w:shd w:val="clear" w:color="auto" w:fill="auto"/>
                  <w:vAlign w:val="center"/>
                </w:tcPr>
                <w:p w14:paraId="642C968B">
                  <w:pPr>
                    <w:adjustRightInd w:val="0"/>
                    <w:snapToGrid w:val="0"/>
                    <w:jc w:val="center"/>
                    <w:rPr>
                      <w:rFonts w:ascii="Times New Roman" w:hAnsi="Times New Roman"/>
                      <w:color w:val="auto"/>
                      <w:szCs w:val="21"/>
                    </w:rPr>
                  </w:pPr>
                  <w:r>
                    <w:rPr>
                      <w:rFonts w:ascii="Times New Roman" w:hAnsi="Times New Roman"/>
                      <w:color w:val="auto"/>
                      <w:szCs w:val="21"/>
                    </w:rPr>
                    <w:t>已按照避让、减缓、恢复的次序采取生态影响防护与恢复措施。</w:t>
                  </w:r>
                </w:p>
              </w:tc>
              <w:tc>
                <w:tcPr>
                  <w:tcW w:w="482" w:type="pct"/>
                  <w:tcBorders>
                    <w:tl2br w:val="nil"/>
                    <w:tr2bl w:val="nil"/>
                  </w:tcBorders>
                  <w:shd w:val="clear" w:color="auto" w:fill="auto"/>
                  <w:vAlign w:val="center"/>
                </w:tcPr>
                <w:p w14:paraId="1D982D3D">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30CE3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5881D116">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073F0BCB">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18B41336">
                  <w:pPr>
                    <w:adjustRightInd w:val="0"/>
                    <w:snapToGrid w:val="0"/>
                    <w:jc w:val="center"/>
                    <w:rPr>
                      <w:rFonts w:ascii="Times New Roman" w:hAnsi="Times New Roman"/>
                      <w:color w:val="auto"/>
                      <w:szCs w:val="21"/>
                    </w:rPr>
                  </w:pPr>
                  <w:r>
                    <w:rPr>
                      <w:rFonts w:ascii="Times New Roman" w:hAnsi="Times New Roman"/>
                      <w:color w:val="auto"/>
                      <w:szCs w:val="21"/>
                    </w:rPr>
                    <w:t>输变电建设项目临时占地，应因地制宜进</w:t>
                  </w:r>
                </w:p>
                <w:p w14:paraId="4F51B564">
                  <w:pPr>
                    <w:adjustRightInd w:val="0"/>
                    <w:snapToGrid w:val="0"/>
                    <w:jc w:val="center"/>
                    <w:rPr>
                      <w:rFonts w:ascii="Times New Roman" w:hAnsi="Times New Roman"/>
                      <w:color w:val="auto"/>
                      <w:szCs w:val="21"/>
                    </w:rPr>
                  </w:pPr>
                  <w:r>
                    <w:rPr>
                      <w:rFonts w:ascii="Times New Roman" w:hAnsi="Times New Roman"/>
                      <w:color w:val="auto"/>
                      <w:szCs w:val="21"/>
                    </w:rPr>
                    <w:t>行土地功能恢复设计。</w:t>
                  </w:r>
                </w:p>
              </w:tc>
              <w:tc>
                <w:tcPr>
                  <w:tcW w:w="1314" w:type="pct"/>
                  <w:tcBorders>
                    <w:tl2br w:val="nil"/>
                    <w:tr2bl w:val="nil"/>
                  </w:tcBorders>
                  <w:shd w:val="clear" w:color="auto" w:fill="auto"/>
                  <w:vAlign w:val="center"/>
                </w:tcPr>
                <w:p w14:paraId="0CA88EB4">
                  <w:pPr>
                    <w:adjustRightInd w:val="0"/>
                    <w:snapToGrid w:val="0"/>
                    <w:jc w:val="center"/>
                    <w:rPr>
                      <w:rFonts w:ascii="Times New Roman" w:hAnsi="Times New Roman"/>
                      <w:color w:val="auto"/>
                      <w:szCs w:val="21"/>
                    </w:rPr>
                  </w:pPr>
                  <w:r>
                    <w:rPr>
                      <w:rFonts w:ascii="Times New Roman" w:hAnsi="Times New Roman"/>
                      <w:color w:val="auto"/>
                      <w:szCs w:val="21"/>
                    </w:rPr>
                    <w:t>本项目临时用地，按照相应要求进行恢复</w:t>
                  </w:r>
                </w:p>
              </w:tc>
              <w:tc>
                <w:tcPr>
                  <w:tcW w:w="482" w:type="pct"/>
                  <w:tcBorders>
                    <w:tl2br w:val="nil"/>
                    <w:tr2bl w:val="nil"/>
                  </w:tcBorders>
                  <w:shd w:val="clear" w:color="auto" w:fill="auto"/>
                  <w:vAlign w:val="center"/>
                </w:tcPr>
                <w:p w14:paraId="39774CE8">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2C284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54" w:type="pct"/>
                  <w:vMerge w:val="continue"/>
                  <w:tcBorders>
                    <w:tl2br w:val="nil"/>
                    <w:tr2bl w:val="nil"/>
                  </w:tcBorders>
                  <w:shd w:val="clear" w:color="auto" w:fill="auto"/>
                  <w:vAlign w:val="center"/>
                </w:tcPr>
                <w:p w14:paraId="73536086">
                  <w:pPr>
                    <w:adjustRightInd w:val="0"/>
                    <w:snapToGrid w:val="0"/>
                    <w:jc w:val="center"/>
                    <w:rPr>
                      <w:rFonts w:ascii="Times New Roman" w:hAnsi="Times New Roman"/>
                      <w:color w:val="auto"/>
                      <w:szCs w:val="21"/>
                    </w:rPr>
                  </w:pPr>
                </w:p>
              </w:tc>
              <w:tc>
                <w:tcPr>
                  <w:tcW w:w="363" w:type="pct"/>
                  <w:vMerge w:val="restart"/>
                  <w:tcBorders>
                    <w:tl2br w:val="nil"/>
                    <w:tr2bl w:val="nil"/>
                  </w:tcBorders>
                  <w:shd w:val="clear" w:color="auto" w:fill="auto"/>
                  <w:vAlign w:val="center"/>
                </w:tcPr>
                <w:p w14:paraId="60AAF51B">
                  <w:pPr>
                    <w:adjustRightInd w:val="0"/>
                    <w:snapToGrid w:val="0"/>
                    <w:jc w:val="center"/>
                    <w:rPr>
                      <w:rFonts w:ascii="Times New Roman" w:hAnsi="Times New Roman"/>
                      <w:color w:val="auto"/>
                      <w:szCs w:val="21"/>
                    </w:rPr>
                  </w:pPr>
                  <w:r>
                    <w:rPr>
                      <w:rFonts w:ascii="Times New Roman" w:hAnsi="Times New Roman"/>
                      <w:color w:val="auto"/>
                      <w:szCs w:val="21"/>
                    </w:rPr>
                    <w:t>水环境保护</w:t>
                  </w:r>
                </w:p>
              </w:tc>
              <w:tc>
                <w:tcPr>
                  <w:tcW w:w="2584" w:type="pct"/>
                  <w:tcBorders>
                    <w:tl2br w:val="nil"/>
                    <w:tr2bl w:val="nil"/>
                  </w:tcBorders>
                  <w:shd w:val="clear" w:color="auto" w:fill="auto"/>
                  <w:vAlign w:val="center"/>
                </w:tcPr>
                <w:p w14:paraId="1989F38A">
                  <w:pPr>
                    <w:adjustRightInd w:val="0"/>
                    <w:snapToGrid w:val="0"/>
                    <w:jc w:val="center"/>
                    <w:rPr>
                      <w:rFonts w:ascii="Times New Roman" w:hAnsi="Times New Roman"/>
                      <w:color w:val="auto"/>
                      <w:szCs w:val="21"/>
                    </w:rPr>
                  </w:pPr>
                  <w:r>
                    <w:rPr>
                      <w:rFonts w:ascii="Times New Roman" w:hAnsi="Times New Roman"/>
                      <w:color w:val="auto"/>
                      <w:szCs w:val="21"/>
                    </w:rPr>
                    <w:t>变电工程应采取节水措施，加强水的重复利用，减少废（污）水排放。雨水和生活污水应采取分流制。</w:t>
                  </w:r>
                </w:p>
              </w:tc>
              <w:tc>
                <w:tcPr>
                  <w:tcW w:w="1314" w:type="pct"/>
                  <w:vMerge w:val="restart"/>
                  <w:tcBorders>
                    <w:tl2br w:val="nil"/>
                    <w:tr2bl w:val="nil"/>
                  </w:tcBorders>
                  <w:shd w:val="clear" w:color="auto" w:fill="auto"/>
                  <w:vAlign w:val="center"/>
                </w:tcPr>
                <w:p w14:paraId="5C50A9BB">
                  <w:pPr>
                    <w:adjustRightInd w:val="0"/>
                    <w:snapToGrid w:val="0"/>
                    <w:jc w:val="center"/>
                    <w:rPr>
                      <w:rFonts w:ascii="Times New Roman" w:hAnsi="Times New Roman"/>
                      <w:color w:val="auto"/>
                      <w:szCs w:val="21"/>
                    </w:rPr>
                  </w:pPr>
                  <w:r>
                    <w:rPr>
                      <w:rFonts w:ascii="Times New Roman" w:hAnsi="Times New Roman"/>
                      <w:color w:val="auto"/>
                      <w:szCs w:val="21"/>
                    </w:rPr>
                    <w:t>本次依托现有</w:t>
                  </w:r>
                  <w:r>
                    <w:rPr>
                      <w:rFonts w:hint="eastAsia" w:ascii="Times New Roman" w:hAnsi="Times New Roman"/>
                      <w:color w:val="auto"/>
                      <w:szCs w:val="21"/>
                    </w:rPr>
                    <w:t>220kV六合一、500kV乐业变</w:t>
                  </w:r>
                  <w:r>
                    <w:rPr>
                      <w:rFonts w:ascii="Times New Roman" w:hAnsi="Times New Roman"/>
                      <w:color w:val="auto"/>
                      <w:szCs w:val="21"/>
                    </w:rPr>
                    <w:t>，变电站已采取雨污分流措施，生活污水经污水处理装置处理后回用于绿化</w:t>
                  </w:r>
                </w:p>
              </w:tc>
              <w:tc>
                <w:tcPr>
                  <w:tcW w:w="482" w:type="pct"/>
                  <w:tcBorders>
                    <w:tl2br w:val="nil"/>
                    <w:tr2bl w:val="nil"/>
                  </w:tcBorders>
                  <w:shd w:val="clear" w:color="auto" w:fill="auto"/>
                  <w:vAlign w:val="center"/>
                </w:tcPr>
                <w:p w14:paraId="1D8C5868">
                  <w:pPr>
                    <w:adjustRightInd w:val="0"/>
                    <w:snapToGrid w:val="0"/>
                    <w:jc w:val="center"/>
                    <w:rPr>
                      <w:rFonts w:ascii="Times New Roman" w:hAnsi="Times New Roman"/>
                      <w:color w:val="auto"/>
                      <w:szCs w:val="21"/>
                    </w:rPr>
                  </w:pPr>
                  <w:r>
                    <w:rPr>
                      <w:rFonts w:ascii="Times New Roman" w:hAnsi="Times New Roman"/>
                      <w:color w:val="auto"/>
                      <w:szCs w:val="21"/>
                    </w:rPr>
                    <w:t>符合</w:t>
                  </w:r>
                </w:p>
              </w:tc>
            </w:tr>
            <w:tr w14:paraId="7AB5E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tcBorders>
                    <w:tl2br w:val="nil"/>
                    <w:tr2bl w:val="nil"/>
                  </w:tcBorders>
                  <w:shd w:val="clear" w:color="auto" w:fill="auto"/>
                  <w:vAlign w:val="center"/>
                </w:tcPr>
                <w:p w14:paraId="218719B1">
                  <w:pPr>
                    <w:adjustRightInd w:val="0"/>
                    <w:snapToGrid w:val="0"/>
                    <w:jc w:val="center"/>
                    <w:rPr>
                      <w:rFonts w:ascii="Times New Roman" w:hAnsi="Times New Roman"/>
                      <w:color w:val="auto"/>
                      <w:szCs w:val="21"/>
                    </w:rPr>
                  </w:pPr>
                </w:p>
              </w:tc>
              <w:tc>
                <w:tcPr>
                  <w:tcW w:w="363" w:type="pct"/>
                  <w:vMerge w:val="continue"/>
                  <w:tcBorders>
                    <w:tl2br w:val="nil"/>
                    <w:tr2bl w:val="nil"/>
                  </w:tcBorders>
                  <w:shd w:val="clear" w:color="auto" w:fill="auto"/>
                  <w:vAlign w:val="center"/>
                </w:tcPr>
                <w:p w14:paraId="56F15897">
                  <w:pPr>
                    <w:adjustRightInd w:val="0"/>
                    <w:snapToGrid w:val="0"/>
                    <w:jc w:val="center"/>
                    <w:rPr>
                      <w:rFonts w:ascii="Times New Roman" w:hAnsi="Times New Roman"/>
                      <w:color w:val="auto"/>
                      <w:szCs w:val="21"/>
                    </w:rPr>
                  </w:pPr>
                </w:p>
              </w:tc>
              <w:tc>
                <w:tcPr>
                  <w:tcW w:w="2584" w:type="pct"/>
                  <w:tcBorders>
                    <w:tl2br w:val="nil"/>
                    <w:tr2bl w:val="nil"/>
                  </w:tcBorders>
                  <w:shd w:val="clear" w:color="auto" w:fill="auto"/>
                  <w:vAlign w:val="center"/>
                </w:tcPr>
                <w:p w14:paraId="03E08907">
                  <w:pPr>
                    <w:adjustRightInd w:val="0"/>
                    <w:snapToGrid w:val="0"/>
                    <w:jc w:val="center"/>
                    <w:rPr>
                      <w:rFonts w:ascii="Times New Roman" w:hAnsi="Times New Roman"/>
                      <w:color w:val="auto"/>
                      <w:szCs w:val="21"/>
                    </w:rPr>
                  </w:pPr>
                  <w:r>
                    <w:rPr>
                      <w:rFonts w:ascii="Times New Roman" w:hAnsi="Times New Roman"/>
                      <w:color w:val="auto"/>
                      <w:szCs w:val="21"/>
                    </w:rPr>
                    <w:t>变电工程站内产生的生活污水宜考虑处理后纳入城市污水管网；不具备纳入城市污水管网条件的变电工程，应根据站内生活污水产生情况设置生活污水处理装置（化粪池、地埋式污水处理装置、回用水池、蒸发池等），生活污水经处理后回收利用、定期清理或外排，外排时应严格执行相应的国家和地方水污染物排放标准相关要求。</w:t>
                  </w:r>
                </w:p>
              </w:tc>
              <w:tc>
                <w:tcPr>
                  <w:tcW w:w="1314" w:type="pct"/>
                  <w:vMerge w:val="continue"/>
                  <w:tcBorders>
                    <w:tl2br w:val="nil"/>
                    <w:tr2bl w:val="nil"/>
                  </w:tcBorders>
                  <w:shd w:val="clear" w:color="auto" w:fill="auto"/>
                  <w:vAlign w:val="center"/>
                </w:tcPr>
                <w:p w14:paraId="57F581CC">
                  <w:pPr>
                    <w:adjustRightInd w:val="0"/>
                    <w:snapToGrid w:val="0"/>
                    <w:jc w:val="center"/>
                    <w:rPr>
                      <w:rFonts w:ascii="Times New Roman" w:hAnsi="Times New Roman"/>
                      <w:color w:val="auto"/>
                      <w:szCs w:val="21"/>
                    </w:rPr>
                  </w:pPr>
                </w:p>
              </w:tc>
              <w:tc>
                <w:tcPr>
                  <w:tcW w:w="482" w:type="pct"/>
                  <w:tcBorders>
                    <w:tl2br w:val="nil"/>
                    <w:tr2bl w:val="nil"/>
                  </w:tcBorders>
                  <w:shd w:val="clear" w:color="auto" w:fill="auto"/>
                  <w:vAlign w:val="center"/>
                </w:tcPr>
                <w:p w14:paraId="0081480E">
                  <w:pPr>
                    <w:adjustRightInd w:val="0"/>
                    <w:snapToGrid w:val="0"/>
                    <w:jc w:val="center"/>
                    <w:rPr>
                      <w:rFonts w:ascii="Times New Roman" w:hAnsi="Times New Roman"/>
                      <w:color w:val="auto"/>
                      <w:szCs w:val="21"/>
                    </w:rPr>
                  </w:pPr>
                  <w:r>
                    <w:rPr>
                      <w:rFonts w:ascii="Times New Roman" w:hAnsi="Times New Roman"/>
                      <w:color w:val="auto"/>
                      <w:szCs w:val="21"/>
                    </w:rPr>
                    <w:t>符合</w:t>
                  </w:r>
                </w:p>
              </w:tc>
            </w:tr>
          </w:tbl>
          <w:p w14:paraId="2F3243FB">
            <w:pPr>
              <w:autoSpaceDE w:val="0"/>
              <w:autoSpaceDN w:val="0"/>
              <w:spacing w:line="360" w:lineRule="auto"/>
              <w:ind w:firstLine="482" w:firstLineChars="200"/>
              <w:rPr>
                <w:rFonts w:ascii="Times New Roman" w:hAnsi="Times New Roman"/>
                <w:b/>
                <w:bCs/>
                <w:color w:val="auto"/>
                <w:sz w:val="24"/>
                <w:szCs w:val="24"/>
              </w:rPr>
            </w:pPr>
            <w:r>
              <w:rPr>
                <w:rFonts w:ascii="Times New Roman" w:hAnsi="Times New Roman"/>
                <w:b/>
                <w:color w:val="auto"/>
                <w:sz w:val="24"/>
                <w:szCs w:val="24"/>
              </w:rPr>
              <w:t>1</w:t>
            </w:r>
            <w:r>
              <w:rPr>
                <w:rFonts w:hint="eastAsia" w:ascii="Times New Roman" w:hAnsi="Times New Roman"/>
                <w:b/>
                <w:color w:val="auto"/>
                <w:sz w:val="24"/>
                <w:szCs w:val="24"/>
              </w:rPr>
              <w:t>0</w:t>
            </w:r>
            <w:r>
              <w:rPr>
                <w:rFonts w:ascii="Times New Roman" w:hAnsi="Times New Roman"/>
                <w:b/>
                <w:color w:val="auto"/>
                <w:sz w:val="24"/>
                <w:szCs w:val="24"/>
              </w:rPr>
              <w:t>、</w:t>
            </w:r>
            <w:r>
              <w:rPr>
                <w:rFonts w:ascii="Times New Roman" w:hAnsi="Times New Roman"/>
                <w:b/>
                <w:bCs/>
                <w:color w:val="auto"/>
                <w:sz w:val="24"/>
                <w:szCs w:val="24"/>
              </w:rPr>
              <w:t>与《曲靖市生态环境保护“十四五”规划》符合性分析</w:t>
            </w:r>
          </w:p>
          <w:p w14:paraId="3666C987">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于2022年4月11日曲靖市人民政府办公室印发了《曲靖市生态环境保护“十四五”规划的通知》（曲政办发〔2022〕24号）。项目与《曲靖市生态环境保护“十四五”规划》相符性分析如下：</w:t>
            </w:r>
          </w:p>
          <w:p w14:paraId="204E159D">
            <w:pPr>
              <w:autoSpaceDE w:val="0"/>
              <w:autoSpaceDN w:val="0"/>
              <w:jc w:val="center"/>
              <w:rPr>
                <w:rFonts w:ascii="Times New Roman" w:hAnsi="Times New Roman"/>
                <w:b/>
                <w:bCs/>
                <w:color w:val="auto"/>
                <w:sz w:val="24"/>
              </w:rPr>
            </w:pPr>
            <w:r>
              <w:rPr>
                <w:rFonts w:ascii="Times New Roman" w:hAnsi="Times New Roman"/>
                <w:b/>
                <w:bCs/>
                <w:color w:val="auto"/>
                <w:sz w:val="24"/>
              </w:rPr>
              <w:t>表1-</w:t>
            </w:r>
            <w:r>
              <w:rPr>
                <w:rFonts w:hint="eastAsia" w:ascii="Times New Roman" w:hAnsi="Times New Roman"/>
                <w:b/>
                <w:bCs/>
                <w:color w:val="auto"/>
                <w:sz w:val="24"/>
              </w:rPr>
              <w:t>9</w:t>
            </w:r>
            <w:r>
              <w:rPr>
                <w:rFonts w:ascii="Times New Roman" w:hAnsi="Times New Roman"/>
                <w:b/>
                <w:bCs/>
                <w:color w:val="auto"/>
                <w:sz w:val="24"/>
              </w:rPr>
              <w:t xml:space="preserve">  项目与《曲靖市生态环境保护“十四五”规划》的符合性分析</w:t>
            </w:r>
          </w:p>
          <w:tbl>
            <w:tblPr>
              <w:tblStyle w:val="2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47"/>
              <w:gridCol w:w="3089"/>
              <w:gridCol w:w="2427"/>
              <w:gridCol w:w="512"/>
            </w:tblGrid>
            <w:tr w14:paraId="4FF16A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23" w:type="pct"/>
                  <w:gridSpan w:val="2"/>
                  <w:tcBorders>
                    <w:tl2br w:val="nil"/>
                    <w:tr2bl w:val="nil"/>
                  </w:tcBorders>
                  <w:shd w:val="clear" w:color="auto" w:fill="auto"/>
                  <w:tcMar>
                    <w:top w:w="0" w:type="dxa"/>
                    <w:left w:w="28" w:type="dxa"/>
                    <w:bottom w:w="0" w:type="dxa"/>
                    <w:right w:w="28" w:type="dxa"/>
                  </w:tcMar>
                  <w:vAlign w:val="center"/>
                </w:tcPr>
                <w:p w14:paraId="6E9FEC24">
                  <w:pPr>
                    <w:pStyle w:val="69"/>
                    <w:autoSpaceDE/>
                    <w:autoSpaceDN/>
                    <w:jc w:val="center"/>
                    <w:rPr>
                      <w:rFonts w:ascii="Times New Roman" w:hAnsi="Times New Roman" w:cs="Times New Roman"/>
                      <w:b/>
                      <w:bCs/>
                      <w:color w:val="auto"/>
                      <w:spacing w:val="0"/>
                    </w:rPr>
                  </w:pPr>
                  <w:r>
                    <w:rPr>
                      <w:rFonts w:ascii="Times New Roman" w:hAnsi="Times New Roman" w:cs="Times New Roman"/>
                      <w:b/>
                      <w:bCs/>
                      <w:color w:val="auto"/>
                      <w:spacing w:val="0"/>
                    </w:rPr>
                    <w:t>《曲靖市生态环境保护“十四五”规划》相关要求</w:t>
                  </w:r>
                </w:p>
              </w:tc>
              <w:tc>
                <w:tcPr>
                  <w:tcW w:w="1715" w:type="pct"/>
                  <w:tcBorders>
                    <w:tl2br w:val="nil"/>
                    <w:tr2bl w:val="nil"/>
                  </w:tcBorders>
                  <w:shd w:val="clear" w:color="auto" w:fill="auto"/>
                  <w:tcMar>
                    <w:top w:w="0" w:type="dxa"/>
                    <w:left w:w="28" w:type="dxa"/>
                    <w:bottom w:w="0" w:type="dxa"/>
                    <w:right w:w="28" w:type="dxa"/>
                  </w:tcMar>
                  <w:vAlign w:val="center"/>
                </w:tcPr>
                <w:p w14:paraId="0833258E">
                  <w:pPr>
                    <w:pStyle w:val="69"/>
                    <w:autoSpaceDE/>
                    <w:autoSpaceDN/>
                    <w:jc w:val="center"/>
                    <w:rPr>
                      <w:rFonts w:ascii="Times New Roman" w:hAnsi="Times New Roman" w:cs="Times New Roman"/>
                      <w:b/>
                      <w:bCs/>
                      <w:color w:val="auto"/>
                      <w:spacing w:val="0"/>
                    </w:rPr>
                  </w:pPr>
                  <w:r>
                    <w:rPr>
                      <w:rFonts w:ascii="Times New Roman" w:hAnsi="Times New Roman" w:cs="Times New Roman"/>
                      <w:b/>
                      <w:bCs/>
                      <w:color w:val="auto"/>
                      <w:spacing w:val="0"/>
                    </w:rPr>
                    <w:t>本项目</w:t>
                  </w:r>
                </w:p>
              </w:tc>
              <w:tc>
                <w:tcPr>
                  <w:tcW w:w="361" w:type="pct"/>
                  <w:tcBorders>
                    <w:tl2br w:val="nil"/>
                    <w:tr2bl w:val="nil"/>
                  </w:tcBorders>
                  <w:shd w:val="clear" w:color="auto" w:fill="auto"/>
                  <w:tcMar>
                    <w:top w:w="0" w:type="dxa"/>
                    <w:left w:w="28" w:type="dxa"/>
                    <w:bottom w:w="0" w:type="dxa"/>
                    <w:right w:w="28" w:type="dxa"/>
                  </w:tcMar>
                  <w:vAlign w:val="center"/>
                </w:tcPr>
                <w:p w14:paraId="2D347175">
                  <w:pPr>
                    <w:pStyle w:val="69"/>
                    <w:autoSpaceDE/>
                    <w:autoSpaceDN/>
                    <w:jc w:val="center"/>
                    <w:rPr>
                      <w:rFonts w:ascii="Times New Roman" w:hAnsi="Times New Roman" w:cs="Times New Roman"/>
                      <w:b/>
                      <w:bCs/>
                      <w:color w:val="auto"/>
                      <w:spacing w:val="0"/>
                    </w:rPr>
                  </w:pPr>
                  <w:r>
                    <w:rPr>
                      <w:rFonts w:ascii="Times New Roman" w:hAnsi="Times New Roman" w:cs="Times New Roman"/>
                      <w:b/>
                      <w:bCs/>
                      <w:color w:val="auto"/>
                      <w:spacing w:val="0"/>
                    </w:rPr>
                    <w:t>符合性</w:t>
                  </w:r>
                </w:p>
              </w:tc>
            </w:tr>
            <w:tr w14:paraId="6B4666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shd w:val="clear" w:color="auto" w:fill="auto"/>
                  <w:tcMar>
                    <w:top w:w="0" w:type="dxa"/>
                    <w:left w:w="28" w:type="dxa"/>
                    <w:bottom w:w="0" w:type="dxa"/>
                    <w:right w:w="28" w:type="dxa"/>
                  </w:tcMar>
                  <w:vAlign w:val="center"/>
                </w:tcPr>
                <w:p w14:paraId="7B82FD90">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第三章、坚持创新引领，全面推进绿色发展</w:t>
                  </w:r>
                </w:p>
              </w:tc>
            </w:tr>
            <w:tr w14:paraId="762D2C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shd w:val="clear" w:color="auto" w:fill="auto"/>
                  <w:tcMar>
                    <w:top w:w="0" w:type="dxa"/>
                    <w:left w:w="28" w:type="dxa"/>
                    <w:bottom w:w="0" w:type="dxa"/>
                    <w:right w:w="28" w:type="dxa"/>
                  </w:tcMar>
                  <w:vAlign w:val="center"/>
                </w:tcPr>
                <w:p w14:paraId="06D78A55">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第三节、调整产业结构</w:t>
                  </w:r>
                </w:p>
              </w:tc>
              <w:tc>
                <w:tcPr>
                  <w:tcW w:w="2183" w:type="pct"/>
                  <w:tcBorders>
                    <w:tl2br w:val="nil"/>
                    <w:tr2bl w:val="nil"/>
                  </w:tcBorders>
                  <w:shd w:val="clear" w:color="auto" w:fill="auto"/>
                  <w:tcMar>
                    <w:top w:w="0" w:type="dxa"/>
                    <w:left w:w="28" w:type="dxa"/>
                    <w:bottom w:w="0" w:type="dxa"/>
                    <w:right w:w="28" w:type="dxa"/>
                  </w:tcMar>
                  <w:vAlign w:val="center"/>
                </w:tcPr>
                <w:p w14:paraId="15E29129">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优化产业绿色转型。严格控制新建扩建高耗能高排放项目，鼓励发展低能耗低排放产业。聚焦主要生态环境问题及短板，鼓励发展节能环保技术咨询、系统设计、工程施工、运营管理等专业化服务，重点发展先进环保技术和装备制造业、环保产品、新型建材、资源循环利用产业，培育绿色经济新增长点，建设云南省节能环保装备制造产业园区。</w:t>
                  </w:r>
                </w:p>
              </w:tc>
              <w:tc>
                <w:tcPr>
                  <w:tcW w:w="1715" w:type="pct"/>
                  <w:tcBorders>
                    <w:tl2br w:val="nil"/>
                    <w:tr2bl w:val="nil"/>
                  </w:tcBorders>
                  <w:shd w:val="clear" w:color="auto" w:fill="auto"/>
                  <w:tcMar>
                    <w:top w:w="0" w:type="dxa"/>
                    <w:left w:w="28" w:type="dxa"/>
                    <w:bottom w:w="0" w:type="dxa"/>
                    <w:right w:w="28" w:type="dxa"/>
                  </w:tcMar>
                  <w:vAlign w:val="center"/>
                </w:tcPr>
                <w:p w14:paraId="2FE780CD">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项目为输变电项目，不属于高能耗高排放项目。项目生产原料为光能，属于可再生清洁能源工程。</w:t>
                  </w:r>
                </w:p>
              </w:tc>
              <w:tc>
                <w:tcPr>
                  <w:tcW w:w="361" w:type="pct"/>
                  <w:tcBorders>
                    <w:tl2br w:val="nil"/>
                    <w:tr2bl w:val="nil"/>
                  </w:tcBorders>
                  <w:shd w:val="clear" w:color="auto" w:fill="auto"/>
                  <w:tcMar>
                    <w:top w:w="0" w:type="dxa"/>
                    <w:left w:w="28" w:type="dxa"/>
                    <w:bottom w:w="0" w:type="dxa"/>
                    <w:right w:w="28" w:type="dxa"/>
                  </w:tcMar>
                  <w:vAlign w:val="center"/>
                </w:tcPr>
                <w:p w14:paraId="5F450712">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120E18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shd w:val="clear" w:color="auto" w:fill="auto"/>
                  <w:tcMar>
                    <w:top w:w="0" w:type="dxa"/>
                    <w:left w:w="28" w:type="dxa"/>
                    <w:bottom w:w="0" w:type="dxa"/>
                    <w:right w:w="28" w:type="dxa"/>
                  </w:tcMar>
                  <w:vAlign w:val="center"/>
                </w:tcPr>
                <w:p w14:paraId="3E02F216">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第四章、统筹协同治理，持续改善生态环境质量</w:t>
                  </w:r>
                </w:p>
              </w:tc>
            </w:tr>
            <w:tr w14:paraId="2FB665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shd w:val="clear" w:color="auto" w:fill="auto"/>
                  <w:tcMar>
                    <w:top w:w="0" w:type="dxa"/>
                    <w:left w:w="28" w:type="dxa"/>
                    <w:bottom w:w="0" w:type="dxa"/>
                    <w:right w:w="28" w:type="dxa"/>
                  </w:tcMar>
                  <w:vAlign w:val="center"/>
                </w:tcPr>
                <w:p w14:paraId="41DB2088">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第一节、深化三水统筹，巩固水生态环境质量</w:t>
                  </w:r>
                </w:p>
              </w:tc>
              <w:tc>
                <w:tcPr>
                  <w:tcW w:w="2183" w:type="pct"/>
                  <w:tcBorders>
                    <w:tl2br w:val="nil"/>
                    <w:tr2bl w:val="nil"/>
                  </w:tcBorders>
                  <w:shd w:val="clear" w:color="auto" w:fill="auto"/>
                  <w:tcMar>
                    <w:top w:w="0" w:type="dxa"/>
                    <w:left w:w="28" w:type="dxa"/>
                    <w:bottom w:w="0" w:type="dxa"/>
                    <w:right w:w="28" w:type="dxa"/>
                  </w:tcMar>
                  <w:vAlign w:val="center"/>
                </w:tcPr>
                <w:p w14:paraId="0E7BDEFF">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加强节水型社会建设，提高水资源利用率。推广节水工艺、技术和装备，促进企业废水深度处理回用，加快推进工业园区水循环利用改造建设重点工程，提高工业用水循环利用率。</w:t>
                  </w:r>
                </w:p>
              </w:tc>
              <w:tc>
                <w:tcPr>
                  <w:tcW w:w="1715" w:type="pct"/>
                  <w:tcBorders>
                    <w:tl2br w:val="nil"/>
                    <w:tr2bl w:val="nil"/>
                  </w:tcBorders>
                  <w:shd w:val="clear" w:color="auto" w:fill="auto"/>
                  <w:tcMar>
                    <w:top w:w="0" w:type="dxa"/>
                    <w:left w:w="28" w:type="dxa"/>
                    <w:bottom w:w="0" w:type="dxa"/>
                    <w:right w:w="28" w:type="dxa"/>
                  </w:tcMar>
                  <w:vAlign w:val="center"/>
                </w:tcPr>
                <w:p w14:paraId="41268B18">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项目无生产废水，废水不外排。</w:t>
                  </w:r>
                </w:p>
              </w:tc>
              <w:tc>
                <w:tcPr>
                  <w:tcW w:w="361" w:type="pct"/>
                  <w:tcBorders>
                    <w:tl2br w:val="nil"/>
                    <w:tr2bl w:val="nil"/>
                  </w:tcBorders>
                  <w:shd w:val="clear" w:color="auto" w:fill="auto"/>
                  <w:tcMar>
                    <w:top w:w="0" w:type="dxa"/>
                    <w:left w:w="28" w:type="dxa"/>
                    <w:bottom w:w="0" w:type="dxa"/>
                    <w:right w:w="28" w:type="dxa"/>
                  </w:tcMar>
                  <w:vAlign w:val="center"/>
                </w:tcPr>
                <w:p w14:paraId="7EB2E2DE">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343A5F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vMerge w:val="restart"/>
                  <w:tcBorders>
                    <w:tl2br w:val="nil"/>
                    <w:tr2bl w:val="nil"/>
                  </w:tcBorders>
                  <w:shd w:val="clear" w:color="auto" w:fill="auto"/>
                  <w:tcMar>
                    <w:top w:w="0" w:type="dxa"/>
                    <w:left w:w="28" w:type="dxa"/>
                    <w:bottom w:w="0" w:type="dxa"/>
                    <w:right w:w="28" w:type="dxa"/>
                  </w:tcMar>
                  <w:vAlign w:val="center"/>
                </w:tcPr>
                <w:p w14:paraId="0372B6BC">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第四节、坚持闭环管理，提高固废治理水平</w:t>
                  </w:r>
                </w:p>
              </w:tc>
              <w:tc>
                <w:tcPr>
                  <w:tcW w:w="2183" w:type="pct"/>
                  <w:tcBorders>
                    <w:tl2br w:val="nil"/>
                    <w:tr2bl w:val="nil"/>
                  </w:tcBorders>
                  <w:shd w:val="clear" w:color="auto" w:fill="auto"/>
                  <w:tcMar>
                    <w:top w:w="0" w:type="dxa"/>
                    <w:left w:w="28" w:type="dxa"/>
                    <w:bottom w:w="0" w:type="dxa"/>
                    <w:right w:w="28" w:type="dxa"/>
                  </w:tcMar>
                  <w:vAlign w:val="center"/>
                </w:tcPr>
                <w:p w14:paraId="62D90364">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加强危险废物（含医疗废物）收集处理。</w:t>
                  </w:r>
                </w:p>
              </w:tc>
              <w:tc>
                <w:tcPr>
                  <w:tcW w:w="1715" w:type="pct"/>
                  <w:tcBorders>
                    <w:tl2br w:val="nil"/>
                    <w:tr2bl w:val="nil"/>
                  </w:tcBorders>
                  <w:shd w:val="clear" w:color="auto" w:fill="auto"/>
                  <w:tcMar>
                    <w:top w:w="0" w:type="dxa"/>
                    <w:left w:w="28" w:type="dxa"/>
                    <w:bottom w:w="0" w:type="dxa"/>
                    <w:right w:w="28" w:type="dxa"/>
                  </w:tcMar>
                  <w:vAlign w:val="center"/>
                </w:tcPr>
                <w:p w14:paraId="3A63FCE7">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本项目无危险废物产生，不污染周边环境。</w:t>
                  </w:r>
                </w:p>
              </w:tc>
              <w:tc>
                <w:tcPr>
                  <w:tcW w:w="361" w:type="pct"/>
                  <w:tcBorders>
                    <w:tl2br w:val="nil"/>
                    <w:tr2bl w:val="nil"/>
                  </w:tcBorders>
                  <w:shd w:val="clear" w:color="auto" w:fill="auto"/>
                  <w:tcMar>
                    <w:top w:w="0" w:type="dxa"/>
                    <w:left w:w="28" w:type="dxa"/>
                    <w:bottom w:w="0" w:type="dxa"/>
                    <w:right w:w="28" w:type="dxa"/>
                  </w:tcMar>
                  <w:vAlign w:val="center"/>
                </w:tcPr>
                <w:p w14:paraId="28EA0123">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05AEC0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vMerge w:val="continue"/>
                  <w:tcBorders>
                    <w:tl2br w:val="nil"/>
                    <w:tr2bl w:val="nil"/>
                  </w:tcBorders>
                  <w:shd w:val="clear" w:color="auto" w:fill="auto"/>
                  <w:tcMar>
                    <w:top w:w="0" w:type="dxa"/>
                    <w:left w:w="28" w:type="dxa"/>
                    <w:bottom w:w="0" w:type="dxa"/>
                    <w:right w:w="28" w:type="dxa"/>
                  </w:tcMar>
                  <w:vAlign w:val="center"/>
                </w:tcPr>
                <w:p w14:paraId="3E754005">
                  <w:pPr>
                    <w:pStyle w:val="69"/>
                    <w:autoSpaceDE/>
                    <w:autoSpaceDN/>
                    <w:jc w:val="center"/>
                    <w:rPr>
                      <w:rFonts w:ascii="Times New Roman" w:hAnsi="Times New Roman" w:cs="Times New Roman"/>
                      <w:color w:val="auto"/>
                      <w:spacing w:val="0"/>
                    </w:rPr>
                  </w:pPr>
                </w:p>
              </w:tc>
              <w:tc>
                <w:tcPr>
                  <w:tcW w:w="2183" w:type="pct"/>
                  <w:tcBorders>
                    <w:tl2br w:val="nil"/>
                    <w:tr2bl w:val="nil"/>
                  </w:tcBorders>
                  <w:shd w:val="clear" w:color="auto" w:fill="auto"/>
                  <w:tcMar>
                    <w:top w:w="0" w:type="dxa"/>
                    <w:left w:w="28" w:type="dxa"/>
                    <w:bottom w:w="0" w:type="dxa"/>
                    <w:right w:w="28" w:type="dxa"/>
                  </w:tcMar>
                  <w:vAlign w:val="center"/>
                </w:tcPr>
                <w:p w14:paraId="3325E74B">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提高工业固体废弃物综合利用水平，推进固体废物减量化、资源化和无害化管理。</w:t>
                  </w:r>
                </w:p>
              </w:tc>
              <w:tc>
                <w:tcPr>
                  <w:tcW w:w="1715" w:type="pct"/>
                  <w:tcBorders>
                    <w:tl2br w:val="nil"/>
                    <w:tr2bl w:val="nil"/>
                  </w:tcBorders>
                  <w:shd w:val="clear" w:color="auto" w:fill="auto"/>
                  <w:tcMar>
                    <w:top w:w="0" w:type="dxa"/>
                    <w:left w:w="28" w:type="dxa"/>
                    <w:bottom w:w="0" w:type="dxa"/>
                    <w:right w:w="28" w:type="dxa"/>
                  </w:tcMar>
                  <w:vAlign w:val="center"/>
                </w:tcPr>
                <w:p w14:paraId="5026FC2A">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项目检修废料统一回收处理</w:t>
                  </w:r>
                </w:p>
              </w:tc>
              <w:tc>
                <w:tcPr>
                  <w:tcW w:w="361" w:type="pct"/>
                  <w:tcBorders>
                    <w:tl2br w:val="nil"/>
                    <w:tr2bl w:val="nil"/>
                  </w:tcBorders>
                  <w:shd w:val="clear" w:color="auto" w:fill="auto"/>
                  <w:tcMar>
                    <w:top w:w="0" w:type="dxa"/>
                    <w:left w:w="28" w:type="dxa"/>
                    <w:bottom w:w="0" w:type="dxa"/>
                    <w:right w:w="28" w:type="dxa"/>
                  </w:tcMar>
                  <w:vAlign w:val="center"/>
                </w:tcPr>
                <w:p w14:paraId="02A4C1E3">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0FD537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shd w:val="clear" w:color="auto" w:fill="auto"/>
                  <w:tcMar>
                    <w:top w:w="0" w:type="dxa"/>
                    <w:left w:w="28" w:type="dxa"/>
                    <w:bottom w:w="0" w:type="dxa"/>
                    <w:right w:w="28" w:type="dxa"/>
                  </w:tcMar>
                  <w:vAlign w:val="center"/>
                </w:tcPr>
                <w:p w14:paraId="1C26B604">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第五节、加强农业面源治理，推进农村环境保护</w:t>
                  </w:r>
                </w:p>
              </w:tc>
              <w:tc>
                <w:tcPr>
                  <w:tcW w:w="2183" w:type="pct"/>
                  <w:tcBorders>
                    <w:tl2br w:val="nil"/>
                    <w:tr2bl w:val="nil"/>
                  </w:tcBorders>
                  <w:shd w:val="clear" w:color="auto" w:fill="auto"/>
                  <w:tcMar>
                    <w:top w:w="0" w:type="dxa"/>
                    <w:left w:w="28" w:type="dxa"/>
                    <w:bottom w:w="0" w:type="dxa"/>
                    <w:right w:w="28" w:type="dxa"/>
                  </w:tcMar>
                  <w:vAlign w:val="center"/>
                </w:tcPr>
                <w:p w14:paraId="14217D81">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因地制宜发展秸秆热解气化、秸秆沼气、秸秆生物质燃料等农村清洁能源，推动秸秆高值化综合利用与农村人居环境改善有机结合。</w:t>
                  </w:r>
                </w:p>
              </w:tc>
              <w:tc>
                <w:tcPr>
                  <w:tcW w:w="1715" w:type="pct"/>
                  <w:tcBorders>
                    <w:tl2br w:val="nil"/>
                    <w:tr2bl w:val="nil"/>
                  </w:tcBorders>
                  <w:shd w:val="clear" w:color="auto" w:fill="auto"/>
                  <w:tcMar>
                    <w:top w:w="0" w:type="dxa"/>
                    <w:left w:w="28" w:type="dxa"/>
                    <w:bottom w:w="0" w:type="dxa"/>
                    <w:right w:w="28" w:type="dxa"/>
                  </w:tcMar>
                  <w:vAlign w:val="center"/>
                </w:tcPr>
                <w:p w14:paraId="63D88215">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项目属于可再生清洁能源工程。</w:t>
                  </w:r>
                </w:p>
              </w:tc>
              <w:tc>
                <w:tcPr>
                  <w:tcW w:w="361" w:type="pct"/>
                  <w:tcBorders>
                    <w:tl2br w:val="nil"/>
                    <w:tr2bl w:val="nil"/>
                  </w:tcBorders>
                  <w:shd w:val="clear" w:color="auto" w:fill="auto"/>
                  <w:tcMar>
                    <w:top w:w="0" w:type="dxa"/>
                    <w:left w:w="28" w:type="dxa"/>
                    <w:bottom w:w="0" w:type="dxa"/>
                    <w:right w:w="28" w:type="dxa"/>
                  </w:tcMar>
                  <w:vAlign w:val="center"/>
                </w:tcPr>
                <w:p w14:paraId="04035B61">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4A4BA9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shd w:val="clear" w:color="auto" w:fill="auto"/>
                  <w:tcMar>
                    <w:top w:w="0" w:type="dxa"/>
                    <w:left w:w="28" w:type="dxa"/>
                    <w:bottom w:w="0" w:type="dxa"/>
                    <w:right w:w="28" w:type="dxa"/>
                  </w:tcMar>
                  <w:vAlign w:val="center"/>
                </w:tcPr>
                <w:p w14:paraId="01C6FFB0">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第五章、坚持减污降碳，应对气候变化</w:t>
                  </w:r>
                </w:p>
              </w:tc>
            </w:tr>
            <w:tr w14:paraId="4E7D6F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shd w:val="clear" w:color="auto" w:fill="auto"/>
                  <w:tcMar>
                    <w:top w:w="0" w:type="dxa"/>
                    <w:left w:w="28" w:type="dxa"/>
                    <w:bottom w:w="0" w:type="dxa"/>
                    <w:right w:w="28" w:type="dxa"/>
                  </w:tcMar>
                  <w:vAlign w:val="center"/>
                </w:tcPr>
                <w:p w14:paraId="53BC080A">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第二节、强化温室气体排放控制</w:t>
                  </w:r>
                </w:p>
              </w:tc>
              <w:tc>
                <w:tcPr>
                  <w:tcW w:w="2183" w:type="pct"/>
                  <w:tcBorders>
                    <w:tl2br w:val="nil"/>
                    <w:tr2bl w:val="nil"/>
                  </w:tcBorders>
                  <w:shd w:val="clear" w:color="auto" w:fill="auto"/>
                  <w:tcMar>
                    <w:top w:w="0" w:type="dxa"/>
                    <w:left w:w="28" w:type="dxa"/>
                    <w:bottom w:w="0" w:type="dxa"/>
                    <w:right w:w="28" w:type="dxa"/>
                  </w:tcMar>
                  <w:vAlign w:val="center"/>
                </w:tcPr>
                <w:p w14:paraId="6F8D3794">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控制工业领域二氧化碳排放。推动工业结构节能降碳。</w:t>
                  </w:r>
                </w:p>
              </w:tc>
              <w:tc>
                <w:tcPr>
                  <w:tcW w:w="1715" w:type="pct"/>
                  <w:tcBorders>
                    <w:tl2br w:val="nil"/>
                    <w:tr2bl w:val="nil"/>
                  </w:tcBorders>
                  <w:shd w:val="clear" w:color="auto" w:fill="auto"/>
                  <w:tcMar>
                    <w:top w:w="0" w:type="dxa"/>
                    <w:left w:w="28" w:type="dxa"/>
                    <w:bottom w:w="0" w:type="dxa"/>
                    <w:right w:w="28" w:type="dxa"/>
                  </w:tcMar>
                  <w:vAlign w:val="center"/>
                </w:tcPr>
                <w:p w14:paraId="179A21B4">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项目为输变电项目，运营过</w:t>
                  </w:r>
                  <w:r>
                    <w:rPr>
                      <w:rFonts w:hint="eastAsia" w:ascii="Times New Roman" w:hAnsi="Times New Roman" w:cs="Times New Roman"/>
                      <w:color w:val="auto"/>
                      <w:spacing w:val="0"/>
                    </w:rPr>
                    <w:t>程中</w:t>
                  </w:r>
                  <w:r>
                    <w:rPr>
                      <w:rFonts w:ascii="Times New Roman" w:hAnsi="Times New Roman" w:cs="Times New Roman"/>
                      <w:color w:val="auto"/>
                      <w:spacing w:val="0"/>
                    </w:rPr>
                    <w:t>不产生工业废气。</w:t>
                  </w:r>
                </w:p>
              </w:tc>
              <w:tc>
                <w:tcPr>
                  <w:tcW w:w="361" w:type="pct"/>
                  <w:tcBorders>
                    <w:tl2br w:val="nil"/>
                    <w:tr2bl w:val="nil"/>
                  </w:tcBorders>
                  <w:shd w:val="clear" w:color="auto" w:fill="auto"/>
                  <w:tcMar>
                    <w:top w:w="0" w:type="dxa"/>
                    <w:left w:w="28" w:type="dxa"/>
                    <w:bottom w:w="0" w:type="dxa"/>
                    <w:right w:w="28" w:type="dxa"/>
                  </w:tcMar>
                  <w:vAlign w:val="center"/>
                </w:tcPr>
                <w:p w14:paraId="0F0BB077">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符合</w:t>
                  </w:r>
                </w:p>
              </w:tc>
            </w:tr>
          </w:tbl>
          <w:p w14:paraId="3D3C388F">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从上表可以看出，项目符合</w:t>
            </w:r>
            <w:r>
              <w:rPr>
                <w:rFonts w:ascii="Times New Roman" w:hAnsi="Times New Roman"/>
                <w:color w:val="auto"/>
                <w:sz w:val="24"/>
                <w:szCs w:val="24"/>
              </w:rPr>
              <w:t>《曲靖市生态环境保护“十四五”规划》</w:t>
            </w:r>
            <w:r>
              <w:rPr>
                <w:rFonts w:ascii="Times New Roman" w:hAnsi="Times New Roman"/>
                <w:color w:val="auto"/>
                <w:sz w:val="24"/>
                <w:szCs w:val="24"/>
                <w:lang w:val="zh-CN"/>
              </w:rPr>
              <w:t>的相关要求。</w:t>
            </w:r>
          </w:p>
          <w:p w14:paraId="4A528EC7">
            <w:pPr>
              <w:autoSpaceDE w:val="0"/>
              <w:autoSpaceDN w:val="0"/>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1</w:t>
            </w:r>
            <w:r>
              <w:rPr>
                <w:rFonts w:hint="eastAsia" w:ascii="Times New Roman" w:hAnsi="Times New Roman"/>
                <w:b/>
                <w:bCs/>
                <w:color w:val="auto"/>
                <w:sz w:val="24"/>
                <w:szCs w:val="24"/>
              </w:rPr>
              <w:t>1</w:t>
            </w:r>
            <w:r>
              <w:rPr>
                <w:rFonts w:ascii="Times New Roman" w:hAnsi="Times New Roman"/>
                <w:b/>
                <w:bCs/>
                <w:color w:val="auto"/>
                <w:sz w:val="24"/>
                <w:szCs w:val="24"/>
              </w:rPr>
              <w:t>、与《会泽县国土空间总体规划（2021—2035年）》符合性分析</w:t>
            </w:r>
          </w:p>
          <w:p w14:paraId="5C3C5769">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2024年5月24日</w:t>
            </w:r>
            <w:r>
              <w:rPr>
                <w:rFonts w:hint="eastAsia" w:ascii="Times New Roman" w:hAnsi="Times New Roman"/>
                <w:color w:val="auto"/>
                <w:sz w:val="24"/>
                <w:szCs w:val="24"/>
              </w:rPr>
              <w:t>，</w:t>
            </w:r>
            <w:r>
              <w:rPr>
                <w:rFonts w:ascii="Times New Roman" w:hAnsi="Times New Roman"/>
                <w:color w:val="auto"/>
                <w:sz w:val="24"/>
                <w:szCs w:val="24"/>
              </w:rPr>
              <w:t>曲靖市人</w:t>
            </w:r>
            <w:r>
              <w:rPr>
                <w:rFonts w:ascii="宋体" w:hAnsi="宋体" w:cs="宋体"/>
                <w:color w:val="auto"/>
                <w:sz w:val="24"/>
                <w:szCs w:val="24"/>
              </w:rPr>
              <w:t>民政府正式批复</w:t>
            </w:r>
            <w:r>
              <w:rPr>
                <w:rFonts w:ascii="Times New Roman" w:hAnsi="Times New Roman"/>
                <w:color w:val="auto"/>
                <w:sz w:val="24"/>
                <w:szCs w:val="24"/>
              </w:rPr>
              <w:t>《会泽县国土空间总体规划（2021—2035年）》</w:t>
            </w:r>
            <w:r>
              <w:rPr>
                <w:rFonts w:hint="eastAsia" w:ascii="Times New Roman" w:hAnsi="Times New Roman"/>
                <w:color w:val="auto"/>
                <w:sz w:val="24"/>
                <w:szCs w:val="24"/>
              </w:rPr>
              <w:t>（曲政复〔2024〕33号），2025年6月4日会泽县人民政府关于印发《会泽县国土空间总体规划（2021—2035年）》的通知（会政发〔2025〕9号），项目已纳入《会泽县国土空间总体规划（2021—2035年）》重点建设项目清单中，项目与规划</w:t>
            </w:r>
            <w:r>
              <w:rPr>
                <w:rFonts w:ascii="Times New Roman" w:hAnsi="Times New Roman"/>
                <w:color w:val="auto"/>
                <w:sz w:val="24"/>
                <w:szCs w:val="24"/>
              </w:rPr>
              <w:t>相符性分析如下：</w:t>
            </w:r>
          </w:p>
          <w:p w14:paraId="11F23F4C">
            <w:pPr>
              <w:jc w:val="center"/>
              <w:rPr>
                <w:rFonts w:ascii="Times New Roman" w:hAnsi="Times New Roman"/>
                <w:b/>
                <w:bCs/>
                <w:color w:val="auto"/>
              </w:rPr>
            </w:pPr>
            <w:r>
              <w:rPr>
                <w:rFonts w:ascii="Times New Roman" w:hAnsi="Times New Roman"/>
                <w:b/>
                <w:bCs/>
                <w:color w:val="auto"/>
              </w:rPr>
              <w:t>表1-10项目与《会泽县国土空间总体规划（2021—2035年）》的符合性分析</w:t>
            </w:r>
          </w:p>
          <w:tbl>
            <w:tblPr>
              <w:tblStyle w:val="27"/>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81"/>
              <w:gridCol w:w="2484"/>
              <w:gridCol w:w="512"/>
            </w:tblGrid>
            <w:tr w14:paraId="68445F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15730C85">
                  <w:pPr>
                    <w:pStyle w:val="69"/>
                    <w:autoSpaceDE/>
                    <w:autoSpaceDN/>
                    <w:adjustRightInd/>
                    <w:snapToGrid/>
                    <w:jc w:val="center"/>
                    <w:rPr>
                      <w:rFonts w:ascii="Times New Roman" w:hAnsi="Times New Roman" w:cs="Times New Roman"/>
                      <w:b/>
                      <w:bCs/>
                      <w:color w:val="auto"/>
                      <w:spacing w:val="0"/>
                    </w:rPr>
                  </w:pPr>
                  <w:r>
                    <w:rPr>
                      <w:rFonts w:ascii="Times New Roman" w:hAnsi="Times New Roman" w:cs="Times New Roman"/>
                      <w:b/>
                      <w:bCs/>
                      <w:color w:val="auto"/>
                      <w:spacing w:val="0"/>
                    </w:rPr>
                    <w:t>《会泽县国土空间总体规划（2021—2035年）》相关要求</w:t>
                  </w:r>
                </w:p>
              </w:tc>
              <w:tc>
                <w:tcPr>
                  <w:tcW w:w="1755" w:type="pct"/>
                  <w:tcBorders>
                    <w:tl2br w:val="nil"/>
                    <w:tr2bl w:val="nil"/>
                  </w:tcBorders>
                  <w:shd w:val="clear" w:color="auto" w:fill="auto"/>
                  <w:tcMar>
                    <w:top w:w="0" w:type="dxa"/>
                    <w:left w:w="28" w:type="dxa"/>
                    <w:bottom w:w="0" w:type="dxa"/>
                    <w:right w:w="28" w:type="dxa"/>
                  </w:tcMar>
                  <w:vAlign w:val="center"/>
                </w:tcPr>
                <w:p w14:paraId="79B40FD9">
                  <w:pPr>
                    <w:pStyle w:val="69"/>
                    <w:autoSpaceDE/>
                    <w:autoSpaceDN/>
                    <w:adjustRightInd/>
                    <w:snapToGrid/>
                    <w:jc w:val="center"/>
                    <w:rPr>
                      <w:rFonts w:ascii="Times New Roman" w:hAnsi="Times New Roman" w:cs="Times New Roman"/>
                      <w:b/>
                      <w:bCs/>
                      <w:color w:val="auto"/>
                      <w:spacing w:val="0"/>
                    </w:rPr>
                  </w:pPr>
                  <w:r>
                    <w:rPr>
                      <w:rFonts w:ascii="Times New Roman" w:hAnsi="Times New Roman" w:cs="Times New Roman"/>
                      <w:b/>
                      <w:bCs/>
                      <w:color w:val="auto"/>
                      <w:spacing w:val="0"/>
                    </w:rPr>
                    <w:t>本项目</w:t>
                  </w:r>
                </w:p>
              </w:tc>
              <w:tc>
                <w:tcPr>
                  <w:tcW w:w="361" w:type="pct"/>
                  <w:tcBorders>
                    <w:tl2br w:val="nil"/>
                    <w:tr2bl w:val="nil"/>
                  </w:tcBorders>
                  <w:shd w:val="clear" w:color="auto" w:fill="auto"/>
                  <w:tcMar>
                    <w:top w:w="0" w:type="dxa"/>
                    <w:left w:w="28" w:type="dxa"/>
                    <w:bottom w:w="0" w:type="dxa"/>
                    <w:right w:w="28" w:type="dxa"/>
                  </w:tcMar>
                  <w:vAlign w:val="center"/>
                </w:tcPr>
                <w:p w14:paraId="0BD0E741">
                  <w:pPr>
                    <w:pStyle w:val="69"/>
                    <w:autoSpaceDE/>
                    <w:autoSpaceDN/>
                    <w:adjustRightInd/>
                    <w:snapToGrid/>
                    <w:jc w:val="center"/>
                    <w:rPr>
                      <w:rFonts w:ascii="Times New Roman" w:hAnsi="Times New Roman" w:cs="Times New Roman"/>
                      <w:b/>
                      <w:bCs/>
                      <w:color w:val="auto"/>
                      <w:spacing w:val="0"/>
                    </w:rPr>
                  </w:pPr>
                  <w:r>
                    <w:rPr>
                      <w:rFonts w:ascii="Times New Roman" w:hAnsi="Times New Roman" w:cs="Times New Roman"/>
                      <w:b/>
                      <w:bCs/>
                      <w:color w:val="auto"/>
                      <w:spacing w:val="0"/>
                    </w:rPr>
                    <w:t>符合性</w:t>
                  </w:r>
                </w:p>
              </w:tc>
            </w:tr>
            <w:tr w14:paraId="39F458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shd w:val="clear" w:color="auto" w:fill="auto"/>
                  <w:tcMar>
                    <w:top w:w="0" w:type="dxa"/>
                    <w:left w:w="28" w:type="dxa"/>
                    <w:bottom w:w="0" w:type="dxa"/>
                    <w:right w:w="28" w:type="dxa"/>
                  </w:tcMar>
                  <w:vAlign w:val="center"/>
                </w:tcPr>
                <w:p w14:paraId="2223294E">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统筹划定“三条控制线”</w:t>
                  </w:r>
                </w:p>
              </w:tc>
            </w:tr>
            <w:tr w14:paraId="117F9E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6DEA4A97">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严格落实永久基本农田保护任务，将稳定耕地、坝区集中连片优质耕地优先划入永久基本农田，保障国家粮食安全和重要农产品供给。确保永久基本农田面积不减、质量提升、布局稳定。</w:t>
                  </w:r>
                </w:p>
              </w:tc>
              <w:tc>
                <w:tcPr>
                  <w:tcW w:w="1755" w:type="pct"/>
                  <w:vMerge w:val="restart"/>
                  <w:tcBorders>
                    <w:tl2br w:val="nil"/>
                    <w:tr2bl w:val="nil"/>
                  </w:tcBorders>
                  <w:shd w:val="clear" w:color="auto" w:fill="auto"/>
                  <w:tcMar>
                    <w:top w:w="0" w:type="dxa"/>
                    <w:left w:w="28" w:type="dxa"/>
                    <w:bottom w:w="0" w:type="dxa"/>
                    <w:right w:w="28" w:type="dxa"/>
                  </w:tcMar>
                  <w:vAlign w:val="center"/>
                </w:tcPr>
                <w:p w14:paraId="503C7DAA">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根据会泽县自然资源局关于</w:t>
                  </w:r>
                  <w:r>
                    <w:rPr>
                      <w:rFonts w:hint="eastAsia" w:ascii="Times New Roman" w:hAnsi="Times New Roman" w:cs="Times New Roman"/>
                      <w:color w:val="auto"/>
                      <w:spacing w:val="0"/>
                    </w:rPr>
                    <w:t>六合一至乐业变220kV送出线路工程</w:t>
                  </w:r>
                  <w:r>
                    <w:rPr>
                      <w:rFonts w:ascii="Times New Roman" w:hAnsi="Times New Roman" w:cs="Times New Roman"/>
                      <w:color w:val="auto"/>
                      <w:spacing w:val="0"/>
                    </w:rPr>
                    <w:t>查询的情况说明：项目用地范围不涉及城镇开发边界和村庄边界，不涉及生态保护红线；</w:t>
                  </w:r>
                  <w:r>
                    <w:rPr>
                      <w:rFonts w:hint="eastAsia" w:ascii="Times New Roman" w:hAnsi="Times New Roman" w:cs="Times New Roman"/>
                      <w:color w:val="auto"/>
                      <w:spacing w:val="0"/>
                    </w:rPr>
                    <w:t>线路不可避让占用基本农田0.238hm</w:t>
                  </w:r>
                  <w:r>
                    <w:rPr>
                      <w:rFonts w:hint="eastAsia" w:ascii="Times New Roman" w:hAnsi="Times New Roman" w:cs="Times New Roman"/>
                      <w:color w:val="auto"/>
                      <w:spacing w:val="0"/>
                      <w:vertAlign w:val="superscript"/>
                    </w:rPr>
                    <w:t>2</w:t>
                  </w:r>
                  <w:r>
                    <w:rPr>
                      <w:rFonts w:ascii="Times New Roman" w:hAnsi="Times New Roman" w:cs="Times New Roman"/>
                      <w:color w:val="auto"/>
                      <w:spacing w:val="0"/>
                    </w:rPr>
                    <w:t>，</w:t>
                  </w:r>
                  <w:r>
                    <w:rPr>
                      <w:rFonts w:hint="eastAsia" w:ascii="Times New Roman" w:hAnsi="Times New Roman" w:cs="Times New Roman"/>
                      <w:color w:val="auto"/>
                      <w:spacing w:val="0"/>
                    </w:rPr>
                    <w:t>于2026年8月20日取得会泽县自然资源局关于六合一至乐业变220kV送出线路工程占用永久基本农田不可避让的情况说明，符合《永久基本农田保护红线管理办法》的要求</w:t>
                  </w:r>
                </w:p>
              </w:tc>
              <w:tc>
                <w:tcPr>
                  <w:tcW w:w="361" w:type="pct"/>
                  <w:tcBorders>
                    <w:tl2br w:val="nil"/>
                    <w:tr2bl w:val="nil"/>
                  </w:tcBorders>
                  <w:shd w:val="clear" w:color="auto" w:fill="auto"/>
                  <w:tcMar>
                    <w:top w:w="0" w:type="dxa"/>
                    <w:left w:w="28" w:type="dxa"/>
                    <w:bottom w:w="0" w:type="dxa"/>
                    <w:right w:w="28" w:type="dxa"/>
                  </w:tcMar>
                  <w:vAlign w:val="center"/>
                </w:tcPr>
                <w:p w14:paraId="3BADB182">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61933C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67EC5E2F">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科学划定生态保护红线，维系区域生态安全的底线，坚持生态优先、绿色发展，实行最严格的管控。生态保护红线内，自然保护区核心区原则上禁止人为活动，其他区域严格禁止开发性、生产性建设活动。</w:t>
                  </w:r>
                </w:p>
              </w:tc>
              <w:tc>
                <w:tcPr>
                  <w:tcW w:w="1755" w:type="pct"/>
                  <w:vMerge w:val="continue"/>
                  <w:tcBorders>
                    <w:tl2br w:val="nil"/>
                    <w:tr2bl w:val="nil"/>
                  </w:tcBorders>
                  <w:shd w:val="clear" w:color="auto" w:fill="auto"/>
                  <w:tcMar>
                    <w:top w:w="0" w:type="dxa"/>
                    <w:left w:w="28" w:type="dxa"/>
                    <w:bottom w:w="0" w:type="dxa"/>
                    <w:right w:w="28" w:type="dxa"/>
                  </w:tcMar>
                  <w:vAlign w:val="center"/>
                </w:tcPr>
                <w:p w14:paraId="71E61494">
                  <w:pPr>
                    <w:pStyle w:val="69"/>
                    <w:autoSpaceDE/>
                    <w:autoSpaceDN/>
                    <w:adjustRightInd/>
                    <w:snapToGrid/>
                    <w:jc w:val="center"/>
                    <w:rPr>
                      <w:rFonts w:ascii="Times New Roman" w:hAnsi="Times New Roman" w:cs="Times New Roman"/>
                      <w:color w:val="auto"/>
                      <w:spacing w:val="0"/>
                    </w:rPr>
                  </w:pPr>
                </w:p>
              </w:tc>
              <w:tc>
                <w:tcPr>
                  <w:tcW w:w="361" w:type="pct"/>
                  <w:tcBorders>
                    <w:tl2br w:val="nil"/>
                    <w:tr2bl w:val="nil"/>
                  </w:tcBorders>
                  <w:shd w:val="clear" w:color="auto" w:fill="auto"/>
                  <w:tcMar>
                    <w:top w:w="0" w:type="dxa"/>
                    <w:left w:w="28" w:type="dxa"/>
                    <w:bottom w:w="0" w:type="dxa"/>
                    <w:right w:w="28" w:type="dxa"/>
                  </w:tcMar>
                  <w:vAlign w:val="center"/>
                </w:tcPr>
                <w:p w14:paraId="22B05400">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63CFE4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68878C32">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以国土空间开发适宜性评价为基础、资源承载力为约束，避让永久基本农田与生态保护红线，划定城镇开发边界。引导城镇空间集中布局，防止城镇建设无序蔓延，促进城市集约节约发展。</w:t>
                  </w:r>
                </w:p>
              </w:tc>
              <w:tc>
                <w:tcPr>
                  <w:tcW w:w="1755" w:type="pct"/>
                  <w:vMerge w:val="continue"/>
                  <w:tcBorders>
                    <w:tl2br w:val="nil"/>
                    <w:tr2bl w:val="nil"/>
                  </w:tcBorders>
                  <w:shd w:val="clear" w:color="auto" w:fill="auto"/>
                  <w:tcMar>
                    <w:top w:w="0" w:type="dxa"/>
                    <w:left w:w="28" w:type="dxa"/>
                    <w:bottom w:w="0" w:type="dxa"/>
                    <w:right w:w="28" w:type="dxa"/>
                  </w:tcMar>
                  <w:vAlign w:val="center"/>
                </w:tcPr>
                <w:p w14:paraId="331A4E3B">
                  <w:pPr>
                    <w:pStyle w:val="69"/>
                    <w:autoSpaceDE/>
                    <w:autoSpaceDN/>
                    <w:adjustRightInd/>
                    <w:snapToGrid/>
                    <w:jc w:val="center"/>
                    <w:rPr>
                      <w:rFonts w:ascii="Times New Roman" w:hAnsi="Times New Roman" w:cs="Times New Roman"/>
                      <w:color w:val="auto"/>
                      <w:spacing w:val="0"/>
                    </w:rPr>
                  </w:pPr>
                </w:p>
              </w:tc>
              <w:tc>
                <w:tcPr>
                  <w:tcW w:w="361" w:type="pct"/>
                  <w:tcBorders>
                    <w:tl2br w:val="nil"/>
                    <w:tr2bl w:val="nil"/>
                  </w:tcBorders>
                  <w:shd w:val="clear" w:color="auto" w:fill="auto"/>
                  <w:tcMar>
                    <w:top w:w="0" w:type="dxa"/>
                    <w:left w:w="28" w:type="dxa"/>
                    <w:bottom w:w="0" w:type="dxa"/>
                    <w:right w:w="28" w:type="dxa"/>
                  </w:tcMar>
                  <w:vAlign w:val="center"/>
                </w:tcPr>
                <w:p w14:paraId="1337EEC6">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0C2B9D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shd w:val="clear" w:color="auto" w:fill="auto"/>
                  <w:tcMar>
                    <w:top w:w="0" w:type="dxa"/>
                    <w:left w:w="28" w:type="dxa"/>
                    <w:bottom w:w="0" w:type="dxa"/>
                    <w:right w:w="28" w:type="dxa"/>
                  </w:tcMar>
                  <w:vAlign w:val="center"/>
                </w:tcPr>
                <w:p w14:paraId="3979AE97">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加强耕地与永久基本农田保护</w:t>
                  </w:r>
                </w:p>
              </w:tc>
            </w:tr>
            <w:tr w14:paraId="2FC18C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004C4F30">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坚持最严格的耕地和永久基本农田保护制度，实现数量、质量、布局、生态、景观</w:t>
                  </w:r>
                  <w:r>
                    <w:rPr>
                      <w:rFonts w:hint="eastAsia" w:ascii="Times New Roman" w:hAnsi="Times New Roman" w:cs="Times New Roman"/>
                      <w:color w:val="auto"/>
                      <w:spacing w:val="0"/>
                    </w:rPr>
                    <w:t>“五位一体”</w:t>
                  </w:r>
                  <w:r>
                    <w:rPr>
                      <w:rFonts w:ascii="Times New Roman" w:hAnsi="Times New Roman" w:cs="Times New Roman"/>
                      <w:color w:val="auto"/>
                      <w:spacing w:val="0"/>
                    </w:rPr>
                    <w:t>综合保护。落实粮食生产功能区和重要农产品生产保护区管控，保障粮食安全与重要农产品有效供给。防止耕地和永久基本农田“非农化”和“非粮化”，稳定耕地面积。统筹“两区”后备资源，严格管控耕地储备，保障耕地占补、进出平衡及永久基本农田补划空间。</w:t>
                  </w:r>
                </w:p>
              </w:tc>
              <w:tc>
                <w:tcPr>
                  <w:tcW w:w="1755" w:type="pct"/>
                  <w:tcBorders>
                    <w:tl2br w:val="nil"/>
                    <w:tr2bl w:val="nil"/>
                  </w:tcBorders>
                  <w:shd w:val="clear" w:color="auto" w:fill="auto"/>
                  <w:tcMar>
                    <w:top w:w="0" w:type="dxa"/>
                    <w:left w:w="28" w:type="dxa"/>
                    <w:bottom w:w="0" w:type="dxa"/>
                    <w:right w:w="28" w:type="dxa"/>
                  </w:tcMar>
                  <w:vAlign w:val="center"/>
                </w:tcPr>
                <w:p w14:paraId="0A86A268">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项目塔基占地类型为林地、</w:t>
                  </w:r>
                  <w:r>
                    <w:rPr>
                      <w:rFonts w:hint="eastAsia" w:ascii="Times New Roman" w:hAnsi="Times New Roman" w:cs="Times New Roman"/>
                      <w:color w:val="auto"/>
                      <w:spacing w:val="0"/>
                    </w:rPr>
                    <w:t>耕地及草地</w:t>
                  </w:r>
                  <w:r>
                    <w:rPr>
                      <w:rFonts w:ascii="Times New Roman" w:hAnsi="Times New Roman" w:cs="Times New Roman"/>
                      <w:color w:val="auto"/>
                      <w:spacing w:val="0"/>
                    </w:rPr>
                    <w:t>。根据会泽县自然资源局关于</w:t>
                  </w:r>
                  <w:r>
                    <w:rPr>
                      <w:rFonts w:hint="eastAsia" w:ascii="Times New Roman" w:hAnsi="Times New Roman" w:cs="Times New Roman"/>
                      <w:color w:val="auto"/>
                      <w:spacing w:val="0"/>
                    </w:rPr>
                    <w:t>六合一至乐业变220kV送出线路工程</w:t>
                  </w:r>
                  <w:r>
                    <w:rPr>
                      <w:rFonts w:ascii="Times New Roman" w:hAnsi="Times New Roman" w:cs="Times New Roman"/>
                      <w:color w:val="auto"/>
                      <w:spacing w:val="0"/>
                    </w:rPr>
                    <w:t>查询的情况说明：项目用地范围不涉及城镇开发边界和村庄边界，不涉及生态保护红线</w:t>
                  </w:r>
                  <w:r>
                    <w:rPr>
                      <w:rFonts w:hint="eastAsia" w:ascii="Times New Roman" w:hAnsi="Times New Roman" w:cs="Times New Roman"/>
                      <w:color w:val="auto"/>
                      <w:spacing w:val="0"/>
                    </w:rPr>
                    <w:t>；线路不可避让占用基本农田0.238hm</w:t>
                  </w:r>
                  <w:r>
                    <w:rPr>
                      <w:rFonts w:hint="eastAsia" w:ascii="Times New Roman" w:hAnsi="Times New Roman" w:cs="Times New Roman"/>
                      <w:color w:val="auto"/>
                      <w:spacing w:val="0"/>
                      <w:vertAlign w:val="superscript"/>
                    </w:rPr>
                    <w:t>2</w:t>
                  </w:r>
                  <w:r>
                    <w:rPr>
                      <w:rFonts w:hint="eastAsia" w:ascii="Times New Roman" w:hAnsi="Times New Roman" w:cs="Times New Roman"/>
                      <w:color w:val="auto"/>
                      <w:spacing w:val="0"/>
                    </w:rPr>
                    <w:t>，于2026年8月20日取得会泽县自然资源局关于六合一至乐业变220kV送出线路工程占用永久基本农田不可避让的情况说明，符合《永久基本农田保护红线管理办法》的要求</w:t>
                  </w:r>
                </w:p>
              </w:tc>
              <w:tc>
                <w:tcPr>
                  <w:tcW w:w="361" w:type="pct"/>
                  <w:tcBorders>
                    <w:tl2br w:val="nil"/>
                    <w:tr2bl w:val="nil"/>
                  </w:tcBorders>
                  <w:shd w:val="clear" w:color="auto" w:fill="auto"/>
                  <w:tcMar>
                    <w:top w:w="0" w:type="dxa"/>
                    <w:left w:w="28" w:type="dxa"/>
                    <w:bottom w:w="0" w:type="dxa"/>
                    <w:right w:w="28" w:type="dxa"/>
                  </w:tcMar>
                  <w:vAlign w:val="center"/>
                </w:tcPr>
                <w:p w14:paraId="6A112B93">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0890CC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shd w:val="clear" w:color="auto" w:fill="auto"/>
                  <w:tcMar>
                    <w:top w:w="0" w:type="dxa"/>
                    <w:left w:w="28" w:type="dxa"/>
                    <w:bottom w:w="0" w:type="dxa"/>
                    <w:right w:w="28" w:type="dxa"/>
                  </w:tcMar>
                  <w:vAlign w:val="center"/>
                </w:tcPr>
                <w:p w14:paraId="2F3E6AB7">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自然资源保护利用</w:t>
                  </w:r>
                </w:p>
              </w:tc>
            </w:tr>
            <w:tr w14:paraId="1B0C96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35F73CBD">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切实加强云南万峰山国家级森林公园、云南会泽九龙地方级森林公园等天然林的保护，抓好公益林政策执行与落实，强化森林防灾减灾工作力度，合理划定林地后备资源空间，开展造林绿化，建立完备的森林“三防”体系，增加森林碳汇能力。</w:t>
                  </w:r>
                </w:p>
              </w:tc>
              <w:tc>
                <w:tcPr>
                  <w:tcW w:w="1755" w:type="pct"/>
                  <w:vMerge w:val="restart"/>
                  <w:tcBorders>
                    <w:tl2br w:val="nil"/>
                    <w:tr2bl w:val="nil"/>
                  </w:tcBorders>
                  <w:shd w:val="clear" w:color="auto" w:fill="auto"/>
                  <w:tcMar>
                    <w:top w:w="0" w:type="dxa"/>
                    <w:left w:w="28" w:type="dxa"/>
                    <w:bottom w:w="0" w:type="dxa"/>
                    <w:right w:w="28" w:type="dxa"/>
                  </w:tcMar>
                  <w:vAlign w:val="center"/>
                </w:tcPr>
                <w:p w14:paraId="68E1E192">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项目选址已经取得会泽县相关部门意见，根据会泽县各局查询意见、项目选址踏勘及会泽县相关敏感区资料核对，项目塔基占地类型为</w:t>
                  </w:r>
                  <w:r>
                    <w:rPr>
                      <w:rFonts w:ascii="Times New Roman" w:hAnsi="Times New Roman" w:cs="Times New Roman"/>
                      <w:color w:val="auto"/>
                      <w:kern w:val="2"/>
                    </w:rPr>
                    <w:t>林地、耕地</w:t>
                  </w:r>
                  <w:r>
                    <w:rPr>
                      <w:rFonts w:hint="eastAsia" w:ascii="Times New Roman" w:hAnsi="Times New Roman" w:cs="Times New Roman"/>
                      <w:color w:val="auto"/>
                      <w:kern w:val="2"/>
                    </w:rPr>
                    <w:t>、草地</w:t>
                  </w:r>
                  <w:r>
                    <w:rPr>
                      <w:rFonts w:ascii="Times New Roman" w:hAnsi="Times New Roman" w:cs="Times New Roman"/>
                      <w:color w:val="auto"/>
                      <w:spacing w:val="0"/>
                    </w:rPr>
                    <w:t>，项目未占用生态</w:t>
                  </w:r>
                  <w:r>
                    <w:rPr>
                      <w:rFonts w:hint="eastAsia" w:ascii="Times New Roman" w:hAnsi="Times New Roman" w:cs="Times New Roman"/>
                      <w:color w:val="auto"/>
                      <w:spacing w:val="0"/>
                    </w:rPr>
                    <w:t>保护</w:t>
                  </w:r>
                  <w:r>
                    <w:rPr>
                      <w:rFonts w:ascii="Times New Roman" w:hAnsi="Times New Roman" w:cs="Times New Roman"/>
                      <w:color w:val="auto"/>
                      <w:spacing w:val="0"/>
                    </w:rPr>
                    <w:t>红线，该项目选址不涉及国家公园、自然保护区、森林公园、风景名胜区、草原公园等各类自然保护地、天然林保护重点区域</w:t>
                  </w:r>
                  <w:r>
                    <w:rPr>
                      <w:rFonts w:hint="eastAsia" w:ascii="Times New Roman" w:hAnsi="Times New Roman" w:cs="Times New Roman"/>
                      <w:color w:val="auto"/>
                      <w:spacing w:val="0"/>
                    </w:rPr>
                    <w:t>，线路不可避让占用基本农田，符合《永久基本农田保护红线管理办法》的要求</w:t>
                  </w:r>
                </w:p>
              </w:tc>
              <w:tc>
                <w:tcPr>
                  <w:tcW w:w="361" w:type="pct"/>
                  <w:tcBorders>
                    <w:tl2br w:val="nil"/>
                    <w:tr2bl w:val="nil"/>
                  </w:tcBorders>
                  <w:shd w:val="clear" w:color="auto" w:fill="auto"/>
                  <w:tcMar>
                    <w:top w:w="0" w:type="dxa"/>
                    <w:left w:w="28" w:type="dxa"/>
                    <w:bottom w:w="0" w:type="dxa"/>
                    <w:right w:w="28" w:type="dxa"/>
                  </w:tcMar>
                  <w:vAlign w:val="center"/>
                </w:tcPr>
                <w:p w14:paraId="3C977FBF">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7F7E9D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4D03380E">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基于县域草地资源，实施动态监测与保护，实现草地资源监测、核查、执法三个“全覆盖”，大力打击破坏自然生态的违法行为。</w:t>
                  </w:r>
                </w:p>
              </w:tc>
              <w:tc>
                <w:tcPr>
                  <w:tcW w:w="1755" w:type="pct"/>
                  <w:vMerge w:val="continue"/>
                  <w:tcBorders>
                    <w:tl2br w:val="nil"/>
                    <w:tr2bl w:val="nil"/>
                  </w:tcBorders>
                  <w:shd w:val="clear" w:color="auto" w:fill="auto"/>
                  <w:tcMar>
                    <w:top w:w="0" w:type="dxa"/>
                    <w:left w:w="28" w:type="dxa"/>
                    <w:bottom w:w="0" w:type="dxa"/>
                    <w:right w:w="28" w:type="dxa"/>
                  </w:tcMar>
                  <w:vAlign w:val="center"/>
                </w:tcPr>
                <w:p w14:paraId="0F8A404A">
                  <w:pPr>
                    <w:pStyle w:val="69"/>
                    <w:autoSpaceDE/>
                    <w:autoSpaceDN/>
                    <w:adjustRightInd/>
                    <w:snapToGrid/>
                    <w:jc w:val="center"/>
                    <w:rPr>
                      <w:rFonts w:ascii="Times New Roman" w:hAnsi="Times New Roman" w:cs="Times New Roman"/>
                      <w:color w:val="auto"/>
                      <w:spacing w:val="0"/>
                    </w:rPr>
                  </w:pPr>
                </w:p>
              </w:tc>
              <w:tc>
                <w:tcPr>
                  <w:tcW w:w="361" w:type="pct"/>
                  <w:tcBorders>
                    <w:tl2br w:val="nil"/>
                    <w:tr2bl w:val="nil"/>
                  </w:tcBorders>
                  <w:shd w:val="clear" w:color="auto" w:fill="auto"/>
                  <w:tcMar>
                    <w:top w:w="0" w:type="dxa"/>
                    <w:left w:w="28" w:type="dxa"/>
                    <w:bottom w:w="0" w:type="dxa"/>
                    <w:right w:w="28" w:type="dxa"/>
                  </w:tcMar>
                  <w:vAlign w:val="center"/>
                </w:tcPr>
                <w:p w14:paraId="45D10A22">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r w14:paraId="6D6027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shd w:val="clear" w:color="auto" w:fill="auto"/>
                  <w:tcMar>
                    <w:top w:w="0" w:type="dxa"/>
                    <w:left w:w="28" w:type="dxa"/>
                    <w:bottom w:w="0" w:type="dxa"/>
                    <w:right w:w="28" w:type="dxa"/>
                  </w:tcMar>
                  <w:vAlign w:val="center"/>
                </w:tcPr>
                <w:p w14:paraId="376C5D70">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以南盘江流域为“核心”，以黄泥河生态文化廊道、南盘江重要生态文化廊道等为“廊道”，本着宜林则林的原则营造适宜野生动物生存的优质森林，形成空间联系紧密、条块衔接顺畅的生物多样性保护与持续利用网络。加强云南万峰山国家级森林公园、云南会泽生物群国家级地质公园、云南会泽九龙地方级森林公园、云南会泽多依河—鲁布革地方级风景名胜区的保护与恢复。</w:t>
                  </w:r>
                </w:p>
              </w:tc>
              <w:tc>
                <w:tcPr>
                  <w:tcW w:w="1755" w:type="pct"/>
                  <w:vMerge w:val="continue"/>
                  <w:tcBorders>
                    <w:tl2br w:val="nil"/>
                    <w:tr2bl w:val="nil"/>
                  </w:tcBorders>
                  <w:shd w:val="clear" w:color="auto" w:fill="auto"/>
                  <w:tcMar>
                    <w:top w:w="0" w:type="dxa"/>
                    <w:left w:w="28" w:type="dxa"/>
                    <w:bottom w:w="0" w:type="dxa"/>
                    <w:right w:w="28" w:type="dxa"/>
                  </w:tcMar>
                  <w:vAlign w:val="center"/>
                </w:tcPr>
                <w:p w14:paraId="53495EF0">
                  <w:pPr>
                    <w:pStyle w:val="69"/>
                    <w:autoSpaceDE/>
                    <w:autoSpaceDN/>
                    <w:adjustRightInd/>
                    <w:snapToGrid/>
                    <w:jc w:val="center"/>
                    <w:rPr>
                      <w:rFonts w:ascii="Times New Roman" w:hAnsi="Times New Roman" w:cs="Times New Roman"/>
                      <w:color w:val="auto"/>
                      <w:spacing w:val="0"/>
                    </w:rPr>
                  </w:pPr>
                </w:p>
              </w:tc>
              <w:tc>
                <w:tcPr>
                  <w:tcW w:w="361" w:type="pct"/>
                  <w:tcBorders>
                    <w:tl2br w:val="nil"/>
                    <w:tr2bl w:val="nil"/>
                  </w:tcBorders>
                  <w:shd w:val="clear" w:color="auto" w:fill="auto"/>
                  <w:tcMar>
                    <w:top w:w="0" w:type="dxa"/>
                    <w:left w:w="28" w:type="dxa"/>
                    <w:bottom w:w="0" w:type="dxa"/>
                    <w:right w:w="28" w:type="dxa"/>
                  </w:tcMar>
                  <w:vAlign w:val="center"/>
                </w:tcPr>
                <w:p w14:paraId="40CC0171">
                  <w:pPr>
                    <w:pStyle w:val="69"/>
                    <w:autoSpaceDE/>
                    <w:autoSpaceDN/>
                    <w:adjustRightInd/>
                    <w:snapToGrid/>
                    <w:jc w:val="center"/>
                    <w:rPr>
                      <w:rFonts w:ascii="Times New Roman" w:hAnsi="Times New Roman" w:cs="Times New Roman"/>
                      <w:color w:val="auto"/>
                      <w:spacing w:val="0"/>
                    </w:rPr>
                  </w:pPr>
                  <w:r>
                    <w:rPr>
                      <w:rFonts w:ascii="Times New Roman" w:hAnsi="Times New Roman" w:cs="Times New Roman"/>
                      <w:color w:val="auto"/>
                      <w:spacing w:val="0"/>
                    </w:rPr>
                    <w:t>符合</w:t>
                  </w:r>
                </w:p>
              </w:tc>
            </w:tr>
          </w:tbl>
          <w:p w14:paraId="1CCE2B2D">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从上表可以看出，本项目符合</w:t>
            </w:r>
            <w:r>
              <w:rPr>
                <w:rFonts w:ascii="Times New Roman" w:hAnsi="Times New Roman"/>
                <w:color w:val="auto"/>
                <w:sz w:val="24"/>
                <w:szCs w:val="24"/>
              </w:rPr>
              <w:t>《会泽县国土空间总体规划（2021—2035年）》</w:t>
            </w:r>
            <w:r>
              <w:rPr>
                <w:rFonts w:ascii="Times New Roman" w:hAnsi="Times New Roman"/>
                <w:color w:val="auto"/>
                <w:sz w:val="24"/>
                <w:szCs w:val="24"/>
                <w:lang w:val="zh-CN"/>
              </w:rPr>
              <w:t>的相关要求。</w:t>
            </w:r>
          </w:p>
          <w:p w14:paraId="2C5B12EC">
            <w:pPr>
              <w:autoSpaceDE w:val="0"/>
              <w:autoSpaceDN w:val="0"/>
              <w:adjustRightInd w:val="0"/>
              <w:snapToGrid w:val="0"/>
              <w:spacing w:line="440" w:lineRule="exact"/>
              <w:rPr>
                <w:rFonts w:ascii="Times New Roman" w:hAnsi="Times New Roman"/>
                <w:b/>
                <w:bCs/>
                <w:color w:val="auto"/>
                <w:sz w:val="24"/>
                <w:szCs w:val="24"/>
                <w:lang w:val="zh-CN"/>
              </w:rPr>
            </w:pPr>
            <w:r>
              <w:rPr>
                <w:rFonts w:ascii="Times New Roman" w:hAnsi="Times New Roman"/>
                <w:b/>
                <w:bCs/>
                <w:color w:val="auto"/>
                <w:sz w:val="24"/>
                <w:szCs w:val="24"/>
              </w:rPr>
              <w:t>1</w:t>
            </w:r>
            <w:r>
              <w:rPr>
                <w:rFonts w:hint="eastAsia" w:ascii="Times New Roman" w:hAnsi="Times New Roman"/>
                <w:b/>
                <w:bCs/>
                <w:color w:val="auto"/>
                <w:sz w:val="24"/>
                <w:szCs w:val="24"/>
              </w:rPr>
              <w:t>2</w:t>
            </w:r>
            <w:r>
              <w:rPr>
                <w:rFonts w:ascii="Times New Roman" w:hAnsi="Times New Roman"/>
                <w:b/>
                <w:bCs/>
                <w:color w:val="auto"/>
                <w:sz w:val="24"/>
                <w:szCs w:val="24"/>
              </w:rPr>
              <w:t>、</w:t>
            </w:r>
            <w:r>
              <w:rPr>
                <w:rFonts w:ascii="Times New Roman" w:hAnsi="Times New Roman"/>
                <w:b/>
                <w:bCs/>
                <w:color w:val="auto"/>
                <w:sz w:val="24"/>
                <w:szCs w:val="24"/>
                <w:lang w:val="zh-CN"/>
              </w:rPr>
              <w:t>项目与《曲靖市加快电网规划建设十四条措施（试行）的通知》符合性分析</w:t>
            </w:r>
          </w:p>
          <w:p w14:paraId="3CF1BCB4">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2023</w:t>
            </w:r>
            <w:r>
              <w:rPr>
                <w:rFonts w:ascii="Times New Roman" w:hAnsi="Times New Roman"/>
                <w:color w:val="auto"/>
                <w:sz w:val="24"/>
                <w:szCs w:val="24"/>
              </w:rPr>
              <w:t>年</w:t>
            </w:r>
            <w:r>
              <w:rPr>
                <w:rFonts w:ascii="Times New Roman" w:hAnsi="Times New Roman"/>
                <w:color w:val="auto"/>
                <w:sz w:val="24"/>
                <w:szCs w:val="24"/>
                <w:lang w:val="zh-CN"/>
              </w:rPr>
              <w:t>4</w:t>
            </w:r>
            <w:r>
              <w:rPr>
                <w:rFonts w:ascii="Times New Roman" w:hAnsi="Times New Roman"/>
                <w:color w:val="auto"/>
                <w:sz w:val="24"/>
                <w:szCs w:val="24"/>
              </w:rPr>
              <w:t>月</w:t>
            </w:r>
            <w:r>
              <w:rPr>
                <w:rFonts w:ascii="Times New Roman" w:hAnsi="Times New Roman"/>
                <w:color w:val="auto"/>
                <w:sz w:val="24"/>
                <w:szCs w:val="24"/>
                <w:lang w:val="zh-CN"/>
              </w:rPr>
              <w:t>20</w:t>
            </w:r>
            <w:r>
              <w:rPr>
                <w:rFonts w:ascii="Times New Roman" w:hAnsi="Times New Roman"/>
                <w:color w:val="auto"/>
                <w:sz w:val="24"/>
                <w:szCs w:val="24"/>
              </w:rPr>
              <w:t>日，</w:t>
            </w:r>
            <w:r>
              <w:rPr>
                <w:rFonts w:ascii="Times New Roman" w:hAnsi="Times New Roman"/>
                <w:color w:val="auto"/>
                <w:sz w:val="24"/>
                <w:szCs w:val="24"/>
                <w:lang w:val="zh-CN"/>
              </w:rPr>
              <w:t>曲靖市人民政府办公室《关于印发曲靖市加快电网规划建设十四条措施（试行）的通知》（曲政办发〔2023〕26号）。</w:t>
            </w:r>
            <w:r>
              <w:rPr>
                <w:rFonts w:ascii="Times New Roman" w:hAnsi="Times New Roman"/>
                <w:color w:val="auto"/>
                <w:sz w:val="24"/>
                <w:szCs w:val="24"/>
              </w:rPr>
              <w:t>根据通知，</w:t>
            </w:r>
            <w:r>
              <w:rPr>
                <w:rFonts w:ascii="Times New Roman" w:hAnsi="Times New Roman"/>
                <w:color w:val="auto"/>
                <w:sz w:val="24"/>
                <w:szCs w:val="24"/>
                <w:lang w:val="zh-CN"/>
              </w:rPr>
              <w:t>项目与《曲靖市加快电网规划建设十四条措施（试行）》相符性分析详见下表。</w:t>
            </w:r>
          </w:p>
          <w:p w14:paraId="20E11E7C">
            <w:pPr>
              <w:adjustRightInd w:val="0"/>
              <w:snapToGrid w:val="0"/>
              <w:ind w:firstLine="482" w:firstLineChars="200"/>
              <w:jc w:val="center"/>
              <w:rPr>
                <w:rFonts w:ascii="Times New Roman" w:hAnsi="Times New Roman"/>
                <w:b/>
                <w:bCs/>
                <w:color w:val="auto"/>
                <w:sz w:val="24"/>
                <w:szCs w:val="24"/>
              </w:rPr>
            </w:pPr>
          </w:p>
          <w:p w14:paraId="775B2D65">
            <w:pPr>
              <w:adjustRightInd w:val="0"/>
              <w:snapToGrid w:val="0"/>
              <w:ind w:firstLine="482" w:firstLineChars="200"/>
              <w:jc w:val="center"/>
              <w:rPr>
                <w:rFonts w:ascii="Times New Roman" w:hAnsi="Times New Roman"/>
                <w:b/>
                <w:bCs/>
                <w:color w:val="auto"/>
                <w:sz w:val="24"/>
                <w:szCs w:val="24"/>
                <w:lang w:val="zh-CN"/>
              </w:rPr>
            </w:pPr>
            <w:r>
              <w:rPr>
                <w:rFonts w:ascii="Times New Roman" w:hAnsi="Times New Roman"/>
                <w:b/>
                <w:bCs/>
                <w:color w:val="auto"/>
                <w:sz w:val="24"/>
                <w:szCs w:val="24"/>
              </w:rPr>
              <w:t>表1-1</w:t>
            </w:r>
            <w:r>
              <w:rPr>
                <w:rFonts w:hint="eastAsia" w:ascii="Times New Roman" w:hAnsi="Times New Roman"/>
                <w:b/>
                <w:bCs/>
                <w:color w:val="auto"/>
                <w:sz w:val="24"/>
                <w:szCs w:val="24"/>
              </w:rPr>
              <w:t>1</w:t>
            </w:r>
            <w:r>
              <w:rPr>
                <w:rFonts w:ascii="Times New Roman" w:hAnsi="Times New Roman"/>
                <w:b/>
                <w:bCs/>
                <w:color w:val="auto"/>
                <w:sz w:val="24"/>
                <w:szCs w:val="24"/>
              </w:rPr>
              <w:t xml:space="preserve">  </w:t>
            </w:r>
            <w:r>
              <w:rPr>
                <w:rFonts w:ascii="Times New Roman" w:hAnsi="Times New Roman"/>
                <w:b/>
                <w:bCs/>
                <w:color w:val="auto"/>
                <w:sz w:val="24"/>
                <w:szCs w:val="24"/>
                <w:lang w:val="zh-CN"/>
              </w:rPr>
              <w:t>项目与《曲政办发〔2023〕26号》符合性分析</w:t>
            </w:r>
          </w:p>
          <w:tbl>
            <w:tblPr>
              <w:tblStyle w:val="2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84"/>
              <w:gridCol w:w="4135"/>
              <w:gridCol w:w="1620"/>
              <w:gridCol w:w="736"/>
            </w:tblGrid>
            <w:tr w14:paraId="2B993D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7FE97E4A">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b/>
                      <w:bCs/>
                      <w:color w:val="auto"/>
                      <w:spacing w:val="4"/>
                      <w:sz w:val="20"/>
                      <w:szCs w:val="20"/>
                    </w:rPr>
                    <w:t>序号</w:t>
                  </w:r>
                </w:p>
              </w:tc>
              <w:tc>
                <w:tcPr>
                  <w:tcW w:w="2921" w:type="pct"/>
                  <w:tcBorders>
                    <w:tl2br w:val="nil"/>
                    <w:tr2bl w:val="nil"/>
                  </w:tcBorders>
                  <w:shd w:val="clear" w:color="auto" w:fill="auto"/>
                  <w:vAlign w:val="center"/>
                </w:tcPr>
                <w:p w14:paraId="3B9ECDC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b/>
                      <w:bCs/>
                      <w:color w:val="auto"/>
                      <w:spacing w:val="6"/>
                      <w:sz w:val="20"/>
                      <w:szCs w:val="20"/>
                    </w:rPr>
                    <w:t>通知内容</w:t>
                  </w:r>
                </w:p>
              </w:tc>
              <w:tc>
                <w:tcPr>
                  <w:tcW w:w="1145" w:type="pct"/>
                  <w:tcBorders>
                    <w:tl2br w:val="nil"/>
                    <w:tr2bl w:val="nil"/>
                  </w:tcBorders>
                  <w:shd w:val="clear" w:color="auto" w:fill="auto"/>
                  <w:vAlign w:val="center"/>
                </w:tcPr>
                <w:p w14:paraId="564A011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b/>
                      <w:bCs/>
                      <w:color w:val="auto"/>
                      <w:spacing w:val="5"/>
                      <w:sz w:val="20"/>
                      <w:szCs w:val="20"/>
                    </w:rPr>
                    <w:t>项目情况</w:t>
                  </w:r>
                </w:p>
              </w:tc>
              <w:tc>
                <w:tcPr>
                  <w:tcW w:w="520" w:type="pct"/>
                  <w:tcBorders>
                    <w:tl2br w:val="nil"/>
                    <w:tr2bl w:val="nil"/>
                  </w:tcBorders>
                  <w:shd w:val="clear" w:color="auto" w:fill="auto"/>
                  <w:vAlign w:val="center"/>
                </w:tcPr>
                <w:p w14:paraId="7019DF52">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b/>
                      <w:bCs/>
                      <w:color w:val="auto"/>
                      <w:spacing w:val="5"/>
                      <w:sz w:val="20"/>
                      <w:szCs w:val="20"/>
                    </w:rPr>
                    <w:t>符合性</w:t>
                  </w:r>
                </w:p>
              </w:tc>
            </w:tr>
            <w:tr w14:paraId="65CDC4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30DB58AA">
                  <w:pPr>
                    <w:widowControl/>
                    <w:overflowPunct w:val="0"/>
                    <w:topLinePunct/>
                    <w:autoSpaceDE w:val="0"/>
                    <w:autoSpaceDN w:val="0"/>
                    <w:adjustRightInd w:val="0"/>
                    <w:snapToGrid w:val="0"/>
                    <w:jc w:val="center"/>
                    <w:textAlignment w:val="baseline"/>
                    <w:rPr>
                      <w:rFonts w:ascii="Times New Roman" w:hAnsi="Times New Roman" w:eastAsia="Times New Roman"/>
                      <w:color w:val="auto"/>
                      <w:sz w:val="20"/>
                      <w:szCs w:val="20"/>
                    </w:rPr>
                  </w:pPr>
                  <w:r>
                    <w:rPr>
                      <w:rFonts w:ascii="Times New Roman" w:hAnsi="Times New Roman" w:eastAsia="Times New Roman"/>
                      <w:color w:val="auto"/>
                      <w:sz w:val="20"/>
                      <w:szCs w:val="20"/>
                    </w:rPr>
                    <w:t>1</w:t>
                  </w:r>
                </w:p>
              </w:tc>
              <w:tc>
                <w:tcPr>
                  <w:tcW w:w="2921" w:type="pct"/>
                  <w:tcBorders>
                    <w:tl2br w:val="nil"/>
                    <w:tr2bl w:val="nil"/>
                  </w:tcBorders>
                  <w:shd w:val="clear" w:color="auto" w:fill="auto"/>
                  <w:vAlign w:val="center"/>
                </w:tcPr>
                <w:p w14:paraId="69E530B2">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强化必要设施用地保障。</w:t>
                  </w:r>
                  <w:r>
                    <w:rPr>
                      <w:rFonts w:ascii="Times New Roman" w:hAnsi="Times New Roman" w:cs="Times New Roman"/>
                      <w:color w:val="auto"/>
                      <w:spacing w:val="8"/>
                      <w:sz w:val="20"/>
                      <w:szCs w:val="20"/>
                      <w:lang w:eastAsia="zh-CN"/>
                    </w:rPr>
                    <w:t>自然资源部门在办</w:t>
                  </w:r>
                  <w:r>
                    <w:rPr>
                      <w:rFonts w:ascii="Times New Roman" w:hAnsi="Times New Roman" w:cs="Times New Roman"/>
                      <w:color w:val="auto"/>
                      <w:spacing w:val="7"/>
                      <w:sz w:val="20"/>
                      <w:szCs w:val="20"/>
                      <w:lang w:eastAsia="zh-CN"/>
                    </w:rPr>
                    <w:t>理用</w:t>
                  </w:r>
                  <w:r>
                    <w:rPr>
                      <w:rFonts w:ascii="Times New Roman" w:hAnsi="Times New Roman" w:cs="Times New Roman"/>
                      <w:color w:val="auto"/>
                      <w:spacing w:val="9"/>
                      <w:sz w:val="20"/>
                      <w:szCs w:val="20"/>
                      <w:lang w:eastAsia="zh-CN"/>
                    </w:rPr>
                    <w:t>地预审与选址意见书时，应当加大和项目业主的衔接，根据电力行业技术规范和设计标准，结合</w:t>
                  </w:r>
                  <w:r>
                    <w:rPr>
                      <w:rFonts w:ascii="Times New Roman" w:hAnsi="Times New Roman" w:cs="Times New Roman"/>
                      <w:color w:val="auto"/>
                      <w:spacing w:val="8"/>
                      <w:sz w:val="20"/>
                      <w:szCs w:val="20"/>
                      <w:lang w:eastAsia="zh-CN"/>
                    </w:rPr>
                    <w:t>土地使用标准，把变电站（升压站、汇集站）、</w:t>
                  </w:r>
                  <w:r>
                    <w:rPr>
                      <w:rFonts w:ascii="Times New Roman" w:hAnsi="Times New Roman" w:cs="Times New Roman"/>
                      <w:color w:val="auto"/>
                      <w:spacing w:val="9"/>
                      <w:sz w:val="20"/>
                      <w:szCs w:val="20"/>
                      <w:lang w:eastAsia="zh-CN"/>
                    </w:rPr>
                    <w:t>公路沿线充电基础设施建设的必要永久性设施用地需求纳入用地预审、选址意见书和供地范</w:t>
                  </w:r>
                  <w:r>
                    <w:rPr>
                      <w:rFonts w:ascii="Times New Roman" w:hAnsi="Times New Roman" w:cs="Times New Roman"/>
                      <w:color w:val="auto"/>
                      <w:spacing w:val="-9"/>
                      <w:sz w:val="20"/>
                      <w:szCs w:val="20"/>
                      <w:lang w:eastAsia="zh-CN"/>
                    </w:rPr>
                    <w:t>围。</w:t>
                  </w:r>
                </w:p>
              </w:tc>
              <w:tc>
                <w:tcPr>
                  <w:tcW w:w="1145" w:type="pct"/>
                  <w:tcBorders>
                    <w:tl2br w:val="nil"/>
                    <w:tr2bl w:val="nil"/>
                  </w:tcBorders>
                  <w:shd w:val="clear" w:color="auto" w:fill="auto"/>
                  <w:vAlign w:val="center"/>
                </w:tcPr>
                <w:p w14:paraId="188A0CA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项目属于输变</w:t>
                  </w:r>
                  <w:r>
                    <w:rPr>
                      <w:rFonts w:ascii="Times New Roman" w:hAnsi="Times New Roman" w:cs="Times New Roman"/>
                      <w:color w:val="auto"/>
                      <w:spacing w:val="4"/>
                      <w:sz w:val="20"/>
                      <w:szCs w:val="20"/>
                      <w:lang w:eastAsia="zh-CN"/>
                    </w:rPr>
                    <w:t>电线路架设工程，</w:t>
                  </w:r>
                  <w:r>
                    <w:rPr>
                      <w:rFonts w:ascii="Times New Roman" w:hAnsi="Times New Roman" w:cs="Times New Roman"/>
                      <w:color w:val="auto"/>
                      <w:spacing w:val="5"/>
                      <w:sz w:val="20"/>
                      <w:szCs w:val="20"/>
                      <w:lang w:eastAsia="zh-CN"/>
                    </w:rPr>
                    <w:t>已取得会泽县自然资</w:t>
                  </w:r>
                  <w:r>
                    <w:rPr>
                      <w:rFonts w:ascii="Times New Roman" w:hAnsi="Times New Roman" w:cs="Times New Roman"/>
                      <w:color w:val="auto"/>
                      <w:spacing w:val="8"/>
                      <w:sz w:val="20"/>
                      <w:szCs w:val="20"/>
                      <w:lang w:eastAsia="zh-CN"/>
                    </w:rPr>
                    <w:t>源局关于同意线</w:t>
                  </w:r>
                  <w:r>
                    <w:rPr>
                      <w:rFonts w:ascii="Times New Roman" w:hAnsi="Times New Roman" w:cs="Times New Roman"/>
                      <w:color w:val="auto"/>
                      <w:spacing w:val="3"/>
                      <w:sz w:val="20"/>
                      <w:szCs w:val="20"/>
                      <w:lang w:eastAsia="zh-CN"/>
                    </w:rPr>
                    <w:t>路建设的意见；本</w:t>
                  </w:r>
                  <w:r>
                    <w:rPr>
                      <w:rFonts w:ascii="Times New Roman" w:hAnsi="Times New Roman" w:cs="Times New Roman"/>
                      <w:color w:val="auto"/>
                      <w:spacing w:val="7"/>
                      <w:sz w:val="20"/>
                      <w:szCs w:val="20"/>
                      <w:lang w:eastAsia="zh-CN"/>
                    </w:rPr>
                    <w:t>次评价仅为输变</w:t>
                  </w:r>
                  <w:r>
                    <w:rPr>
                      <w:rFonts w:ascii="Times New Roman" w:hAnsi="Times New Roman" w:cs="Times New Roman"/>
                      <w:color w:val="auto"/>
                      <w:spacing w:val="1"/>
                      <w:sz w:val="20"/>
                      <w:szCs w:val="20"/>
                      <w:lang w:eastAsia="zh-CN"/>
                    </w:rPr>
                    <w:t>电线路工程，不包</w:t>
                  </w:r>
                  <w:r>
                    <w:rPr>
                      <w:rFonts w:ascii="Times New Roman" w:hAnsi="Times New Roman" w:cs="Times New Roman"/>
                      <w:color w:val="auto"/>
                      <w:spacing w:val="5"/>
                      <w:sz w:val="20"/>
                      <w:szCs w:val="20"/>
                      <w:lang w:eastAsia="zh-CN"/>
                    </w:rPr>
                    <w:t>括变电站。</w:t>
                  </w:r>
                </w:p>
              </w:tc>
              <w:tc>
                <w:tcPr>
                  <w:tcW w:w="520" w:type="pct"/>
                  <w:tcBorders>
                    <w:tl2br w:val="nil"/>
                    <w:tr2bl w:val="nil"/>
                  </w:tcBorders>
                  <w:shd w:val="clear" w:color="auto" w:fill="auto"/>
                  <w:vAlign w:val="center"/>
                </w:tcPr>
                <w:p w14:paraId="03155E42">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187A34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22039025">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2</w:t>
                  </w:r>
                </w:p>
              </w:tc>
              <w:tc>
                <w:tcPr>
                  <w:tcW w:w="2921" w:type="pct"/>
                  <w:tcBorders>
                    <w:tl2br w:val="nil"/>
                    <w:tr2bl w:val="nil"/>
                  </w:tcBorders>
                  <w:shd w:val="clear" w:color="auto" w:fill="auto"/>
                  <w:vAlign w:val="center"/>
                </w:tcPr>
                <w:p w14:paraId="7DBD913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7"/>
                      <w:sz w:val="20"/>
                      <w:szCs w:val="20"/>
                      <w:lang w:eastAsia="zh-CN"/>
                    </w:rPr>
                    <w:t>加快办理压覆矿产资源审批备案手续。</w:t>
                  </w:r>
                  <w:r>
                    <w:rPr>
                      <w:rFonts w:ascii="Times New Roman" w:hAnsi="Times New Roman" w:cs="Times New Roman"/>
                      <w:color w:val="auto"/>
                      <w:spacing w:val="7"/>
                      <w:sz w:val="20"/>
                      <w:szCs w:val="20"/>
                      <w:lang w:eastAsia="zh-CN"/>
                    </w:rPr>
                    <w:t>电力建设</w:t>
                  </w:r>
                  <w:r>
                    <w:rPr>
                      <w:rFonts w:ascii="Times New Roman" w:hAnsi="Times New Roman" w:cs="Times New Roman"/>
                      <w:color w:val="auto"/>
                      <w:spacing w:val="9"/>
                      <w:sz w:val="20"/>
                      <w:szCs w:val="20"/>
                      <w:lang w:eastAsia="zh-CN"/>
                    </w:rPr>
                    <w:t>单位提交申请材料后，材料不全或者不符合规定</w:t>
                  </w:r>
                  <w:r>
                    <w:rPr>
                      <w:rFonts w:ascii="Times New Roman" w:hAnsi="Times New Roman" w:cs="Times New Roman"/>
                      <w:color w:val="auto"/>
                      <w:spacing w:val="8"/>
                      <w:sz w:val="20"/>
                      <w:szCs w:val="20"/>
                      <w:lang w:eastAsia="zh-CN"/>
                    </w:rPr>
                    <w:t>要求的，市、县自然资源部门在5个工作日内一</w:t>
                  </w:r>
                  <w:r>
                    <w:rPr>
                      <w:rFonts w:ascii="Times New Roman" w:hAnsi="Times New Roman" w:cs="Times New Roman"/>
                      <w:color w:val="auto"/>
                      <w:spacing w:val="9"/>
                      <w:sz w:val="20"/>
                      <w:szCs w:val="20"/>
                      <w:lang w:eastAsia="zh-CN"/>
                    </w:rPr>
                    <w:t>次性告知需要补正的全部材料。其中，未压覆重</w:t>
                  </w:r>
                  <w:r>
                    <w:rPr>
                      <w:rFonts w:ascii="Times New Roman" w:hAnsi="Times New Roman" w:cs="Times New Roman"/>
                      <w:color w:val="auto"/>
                      <w:spacing w:val="8"/>
                      <w:sz w:val="20"/>
                      <w:szCs w:val="20"/>
                      <w:lang w:eastAsia="zh-CN"/>
                    </w:rPr>
                    <w:t>要矿产资源的，材料审查通过后</w:t>
                  </w:r>
                  <w:r>
                    <w:rPr>
                      <w:rFonts w:ascii="Times New Roman" w:hAnsi="Times New Roman" w:eastAsia="Times New Roman" w:cs="Times New Roman"/>
                      <w:color w:val="auto"/>
                      <w:spacing w:val="8"/>
                      <w:sz w:val="20"/>
                      <w:szCs w:val="20"/>
                      <w:lang w:eastAsia="zh-CN"/>
                    </w:rPr>
                    <w:t>5</w:t>
                  </w:r>
                  <w:r>
                    <w:rPr>
                      <w:rFonts w:ascii="Times New Roman" w:hAnsi="Times New Roman" w:cs="Times New Roman"/>
                      <w:color w:val="auto"/>
                      <w:spacing w:val="8"/>
                      <w:sz w:val="20"/>
                      <w:szCs w:val="20"/>
                      <w:lang w:eastAsia="zh-CN"/>
                    </w:rPr>
                    <w:t>个工作日内办</w:t>
                  </w:r>
                  <w:r>
                    <w:rPr>
                      <w:rFonts w:ascii="Times New Roman" w:hAnsi="Times New Roman" w:cs="Times New Roman"/>
                      <w:color w:val="auto"/>
                      <w:spacing w:val="9"/>
                      <w:sz w:val="20"/>
                      <w:szCs w:val="20"/>
                      <w:lang w:eastAsia="zh-CN"/>
                    </w:rPr>
                    <w:t>结备案；压覆重要矿产资源的，在完成矿产资源储量核实报告编制及评审备案后，连同其他必备</w:t>
                  </w:r>
                  <w:r>
                    <w:rPr>
                      <w:rFonts w:ascii="Times New Roman" w:hAnsi="Times New Roman" w:cs="Times New Roman"/>
                      <w:color w:val="auto"/>
                      <w:spacing w:val="11"/>
                      <w:sz w:val="20"/>
                      <w:szCs w:val="20"/>
                      <w:lang w:eastAsia="zh-CN"/>
                    </w:rPr>
                    <w:t>材料审查通过后</w:t>
                  </w:r>
                  <w:r>
                    <w:rPr>
                      <w:rFonts w:ascii="Times New Roman" w:hAnsi="Times New Roman" w:eastAsia="Times New Roman" w:cs="Times New Roman"/>
                      <w:color w:val="auto"/>
                      <w:spacing w:val="11"/>
                      <w:sz w:val="20"/>
                      <w:szCs w:val="20"/>
                      <w:lang w:eastAsia="zh-CN"/>
                    </w:rPr>
                    <w:t>5</w:t>
                  </w:r>
                  <w:r>
                    <w:rPr>
                      <w:rFonts w:ascii="Times New Roman" w:hAnsi="Times New Roman" w:cs="Times New Roman"/>
                      <w:color w:val="auto"/>
                      <w:spacing w:val="11"/>
                      <w:sz w:val="20"/>
                      <w:szCs w:val="20"/>
                      <w:lang w:eastAsia="zh-CN"/>
                    </w:rPr>
                    <w:t>个工作日内报请市人民政府审</w:t>
                  </w:r>
                  <w:r>
                    <w:rPr>
                      <w:rFonts w:ascii="Times New Roman" w:hAnsi="Times New Roman" w:cs="Times New Roman"/>
                      <w:color w:val="auto"/>
                      <w:spacing w:val="10"/>
                      <w:sz w:val="20"/>
                      <w:szCs w:val="20"/>
                      <w:lang w:eastAsia="zh-CN"/>
                    </w:rPr>
                    <w:t>核，市人民政府出具同意意见后，</w:t>
                  </w:r>
                  <w:r>
                    <w:rPr>
                      <w:rFonts w:ascii="Times New Roman" w:hAnsi="Times New Roman" w:eastAsia="Times New Roman" w:cs="Times New Roman"/>
                      <w:color w:val="auto"/>
                      <w:spacing w:val="10"/>
                      <w:sz w:val="20"/>
                      <w:szCs w:val="20"/>
                      <w:lang w:eastAsia="zh-CN"/>
                    </w:rPr>
                    <w:t>3</w:t>
                  </w:r>
                  <w:r>
                    <w:rPr>
                      <w:rFonts w:ascii="Times New Roman" w:hAnsi="Times New Roman" w:cs="Times New Roman"/>
                      <w:color w:val="auto"/>
                      <w:spacing w:val="10"/>
                      <w:sz w:val="20"/>
                      <w:szCs w:val="20"/>
                      <w:lang w:eastAsia="zh-CN"/>
                    </w:rPr>
                    <w:t>个工作日内</w:t>
                  </w:r>
                  <w:r>
                    <w:rPr>
                      <w:rFonts w:ascii="Times New Roman" w:hAnsi="Times New Roman" w:cs="Times New Roman"/>
                      <w:color w:val="auto"/>
                      <w:spacing w:val="5"/>
                      <w:sz w:val="20"/>
                      <w:szCs w:val="20"/>
                      <w:lang w:eastAsia="zh-CN"/>
                    </w:rPr>
                    <w:t>完成批复。</w:t>
                  </w:r>
                </w:p>
              </w:tc>
              <w:tc>
                <w:tcPr>
                  <w:tcW w:w="1145" w:type="pct"/>
                  <w:tcBorders>
                    <w:tl2br w:val="nil"/>
                    <w:tr2bl w:val="nil"/>
                  </w:tcBorders>
                  <w:shd w:val="clear" w:color="auto" w:fill="auto"/>
                  <w:vAlign w:val="center"/>
                </w:tcPr>
                <w:p w14:paraId="6C79BB08">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本项目线路未压</w:t>
                  </w:r>
                  <w:r>
                    <w:rPr>
                      <w:rFonts w:ascii="Times New Roman" w:hAnsi="Times New Roman" w:cs="Times New Roman"/>
                      <w:color w:val="auto"/>
                      <w:spacing w:val="6"/>
                      <w:sz w:val="20"/>
                      <w:szCs w:val="20"/>
                      <w:lang w:eastAsia="zh-CN"/>
                    </w:rPr>
                    <w:t>覆矿产资源。</w:t>
                  </w:r>
                </w:p>
              </w:tc>
              <w:tc>
                <w:tcPr>
                  <w:tcW w:w="520" w:type="pct"/>
                  <w:tcBorders>
                    <w:tl2br w:val="nil"/>
                    <w:tr2bl w:val="nil"/>
                  </w:tcBorders>
                  <w:shd w:val="clear" w:color="auto" w:fill="auto"/>
                  <w:vAlign w:val="center"/>
                </w:tcPr>
                <w:p w14:paraId="15091513">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4E4B84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2339E7C1">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3</w:t>
                  </w:r>
                </w:p>
              </w:tc>
              <w:tc>
                <w:tcPr>
                  <w:tcW w:w="2921" w:type="pct"/>
                  <w:tcBorders>
                    <w:tl2br w:val="nil"/>
                    <w:tr2bl w:val="nil"/>
                  </w:tcBorders>
                  <w:shd w:val="clear" w:color="auto" w:fill="auto"/>
                  <w:vAlign w:val="center"/>
                </w:tcPr>
                <w:p w14:paraId="7F7CACC1">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优化环评审批流程。</w:t>
                  </w:r>
                  <w:r>
                    <w:rPr>
                      <w:rFonts w:ascii="Times New Roman" w:hAnsi="Times New Roman" w:cs="Times New Roman"/>
                      <w:color w:val="auto"/>
                      <w:spacing w:val="8"/>
                      <w:sz w:val="20"/>
                      <w:szCs w:val="20"/>
                      <w:lang w:eastAsia="zh-CN"/>
                    </w:rPr>
                    <w:t>涉及确需</w:t>
                  </w:r>
                  <w:r>
                    <w:rPr>
                      <w:rFonts w:hint="eastAsia" w:ascii="Times New Roman" w:hAnsi="Times New Roman" w:cs="Times New Roman"/>
                      <w:color w:val="auto"/>
                      <w:spacing w:val="8"/>
                      <w:sz w:val="20"/>
                      <w:szCs w:val="20"/>
                      <w:lang w:eastAsia="zh-CN"/>
                    </w:rPr>
                    <w:t>跨越</w:t>
                  </w:r>
                  <w:r>
                    <w:rPr>
                      <w:rFonts w:ascii="Times New Roman" w:hAnsi="Times New Roman" w:cs="Times New Roman"/>
                      <w:color w:val="auto"/>
                      <w:spacing w:val="8"/>
                      <w:sz w:val="20"/>
                      <w:szCs w:val="20"/>
                      <w:lang w:eastAsia="zh-CN"/>
                    </w:rPr>
                    <w:t>和占用饮用水</w:t>
                  </w:r>
                  <w:r>
                    <w:rPr>
                      <w:rFonts w:ascii="Times New Roman" w:hAnsi="Times New Roman" w:cs="Times New Roman"/>
                      <w:color w:val="auto"/>
                      <w:spacing w:val="9"/>
                      <w:sz w:val="20"/>
                      <w:szCs w:val="20"/>
                      <w:lang w:eastAsia="zh-CN"/>
                    </w:rPr>
                    <w:t>水源二级保护区的输配电线性工程项目，由属地人民政府出具不可避让意见后，开辟“绿色通</w:t>
                  </w:r>
                  <w:r>
                    <w:rPr>
                      <w:rFonts w:ascii="Times New Roman" w:hAnsi="Times New Roman" w:cs="Times New Roman"/>
                      <w:color w:val="auto"/>
                      <w:spacing w:val="8"/>
                      <w:sz w:val="20"/>
                      <w:szCs w:val="20"/>
                      <w:lang w:eastAsia="zh-CN"/>
                    </w:rPr>
                    <w:t>道”，依法依规快速推进环评审批工作。涉及确</w:t>
                  </w:r>
                  <w:r>
                    <w:rPr>
                      <w:rFonts w:ascii="Times New Roman" w:hAnsi="Times New Roman" w:cs="Times New Roman"/>
                      <w:color w:val="auto"/>
                      <w:spacing w:val="7"/>
                      <w:sz w:val="20"/>
                      <w:szCs w:val="20"/>
                      <w:lang w:eastAsia="zh-CN"/>
                    </w:rPr>
                    <w:t>需</w:t>
                  </w:r>
                  <w:r>
                    <w:rPr>
                      <w:rFonts w:hint="eastAsia" w:ascii="Times New Roman" w:hAnsi="Times New Roman" w:cs="Times New Roman"/>
                      <w:color w:val="auto"/>
                      <w:spacing w:val="7"/>
                      <w:sz w:val="20"/>
                      <w:szCs w:val="20"/>
                      <w:lang w:eastAsia="zh-CN"/>
                    </w:rPr>
                    <w:t>跨越</w:t>
                  </w:r>
                  <w:r>
                    <w:rPr>
                      <w:rFonts w:ascii="Times New Roman" w:hAnsi="Times New Roman" w:cs="Times New Roman"/>
                      <w:color w:val="auto"/>
                      <w:spacing w:val="7"/>
                      <w:sz w:val="20"/>
                      <w:szCs w:val="20"/>
                      <w:lang w:eastAsia="zh-CN"/>
                    </w:rPr>
                    <w:t>和占用各类生态保护红线、自然保护区、</w:t>
                  </w:r>
                  <w:r>
                    <w:rPr>
                      <w:rFonts w:ascii="Times New Roman" w:hAnsi="Times New Roman" w:cs="Times New Roman"/>
                      <w:color w:val="auto"/>
                      <w:spacing w:val="9"/>
                      <w:sz w:val="20"/>
                      <w:szCs w:val="20"/>
                      <w:lang w:eastAsia="zh-CN"/>
                    </w:rPr>
                    <w:t>湿地公园、森林公园、地质公园、风景名胜区等法定保护区域的输配电线性工程项目，不再将主管部门的意见作为环评审批前置条件，生态环境部门提醒建设单位向主管部门履行</w:t>
                  </w:r>
                  <w:r>
                    <w:rPr>
                      <w:rFonts w:hint="eastAsia" w:ascii="Times New Roman" w:hAnsi="Times New Roman" w:cs="Times New Roman"/>
                      <w:color w:val="auto"/>
                      <w:spacing w:val="9"/>
                      <w:sz w:val="20"/>
                      <w:szCs w:val="20"/>
                      <w:lang w:eastAsia="zh-CN"/>
                    </w:rPr>
                    <w:t>跨越</w:t>
                  </w:r>
                  <w:r>
                    <w:rPr>
                      <w:rFonts w:ascii="Times New Roman" w:hAnsi="Times New Roman" w:cs="Times New Roman"/>
                      <w:color w:val="auto"/>
                      <w:spacing w:val="9"/>
                      <w:sz w:val="20"/>
                      <w:szCs w:val="20"/>
                      <w:lang w:eastAsia="zh-CN"/>
                    </w:rPr>
                    <w:t>手续，指导督促建设单位采取无害化穿（跨）越方式。承</w:t>
                  </w:r>
                  <w:r>
                    <w:rPr>
                      <w:rFonts w:ascii="Times New Roman" w:hAnsi="Times New Roman" w:cs="Times New Roman"/>
                      <w:color w:val="auto"/>
                      <w:spacing w:val="10"/>
                      <w:sz w:val="20"/>
                      <w:szCs w:val="20"/>
                      <w:lang w:eastAsia="zh-CN"/>
                    </w:rPr>
                    <w:t>诺环境影响报告书在</w:t>
                  </w:r>
                  <w:r>
                    <w:rPr>
                      <w:rFonts w:ascii="Times New Roman" w:hAnsi="Times New Roman" w:eastAsia="Times New Roman" w:cs="Times New Roman"/>
                      <w:color w:val="auto"/>
                      <w:spacing w:val="10"/>
                      <w:sz w:val="20"/>
                      <w:szCs w:val="20"/>
                      <w:lang w:eastAsia="zh-CN"/>
                    </w:rPr>
                    <w:t>24</w:t>
                  </w:r>
                  <w:r>
                    <w:rPr>
                      <w:rFonts w:ascii="Times New Roman" w:hAnsi="Times New Roman" w:cs="Times New Roman"/>
                      <w:color w:val="auto"/>
                      <w:spacing w:val="10"/>
                      <w:sz w:val="20"/>
                      <w:szCs w:val="20"/>
                      <w:lang w:eastAsia="zh-CN"/>
                    </w:rPr>
                    <w:t>个工作日内，环境影响</w:t>
                  </w:r>
                  <w:r>
                    <w:rPr>
                      <w:rFonts w:ascii="Times New Roman" w:hAnsi="Times New Roman" w:cs="Times New Roman"/>
                      <w:color w:val="auto"/>
                      <w:spacing w:val="6"/>
                      <w:sz w:val="20"/>
                      <w:szCs w:val="20"/>
                      <w:lang w:eastAsia="zh-CN"/>
                    </w:rPr>
                    <w:t>报告表在</w:t>
                  </w:r>
                  <w:r>
                    <w:rPr>
                      <w:rFonts w:ascii="Times New Roman" w:hAnsi="Times New Roman" w:eastAsia="Times New Roman" w:cs="Times New Roman"/>
                      <w:color w:val="auto"/>
                      <w:spacing w:val="6"/>
                      <w:sz w:val="20"/>
                      <w:szCs w:val="20"/>
                      <w:lang w:eastAsia="zh-CN"/>
                    </w:rPr>
                    <w:t>12</w:t>
                  </w:r>
                  <w:r>
                    <w:rPr>
                      <w:rFonts w:ascii="Times New Roman" w:hAnsi="Times New Roman" w:cs="Times New Roman"/>
                      <w:color w:val="auto"/>
                      <w:spacing w:val="6"/>
                      <w:sz w:val="20"/>
                      <w:szCs w:val="20"/>
                      <w:lang w:eastAsia="zh-CN"/>
                    </w:rPr>
                    <w:t>个工作日内完成审批。</w:t>
                  </w:r>
                </w:p>
              </w:tc>
              <w:tc>
                <w:tcPr>
                  <w:tcW w:w="1145" w:type="pct"/>
                  <w:tcBorders>
                    <w:tl2br w:val="nil"/>
                    <w:tr2bl w:val="nil"/>
                  </w:tcBorders>
                  <w:shd w:val="clear" w:color="auto" w:fill="auto"/>
                  <w:vAlign w:val="center"/>
                </w:tcPr>
                <w:p w14:paraId="6CFC598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本项目线路不涉</w:t>
                  </w:r>
                  <w:r>
                    <w:rPr>
                      <w:rFonts w:ascii="Times New Roman" w:hAnsi="Times New Roman" w:cs="Times New Roman"/>
                      <w:color w:val="auto"/>
                      <w:spacing w:val="20"/>
                      <w:sz w:val="20"/>
                      <w:szCs w:val="20"/>
                      <w:lang w:eastAsia="zh-CN"/>
                    </w:rPr>
                    <w:t>及饮用水源二级</w:t>
                  </w:r>
                  <w:r>
                    <w:rPr>
                      <w:rFonts w:ascii="Times New Roman" w:hAnsi="Times New Roman" w:cs="Times New Roman"/>
                      <w:color w:val="auto"/>
                      <w:spacing w:val="4"/>
                      <w:sz w:val="20"/>
                      <w:szCs w:val="20"/>
                      <w:lang w:eastAsia="zh-CN"/>
                    </w:rPr>
                    <w:t>保护区，项目已经</w:t>
                  </w:r>
                  <w:r>
                    <w:rPr>
                      <w:rFonts w:ascii="Times New Roman" w:hAnsi="Times New Roman" w:cs="Times New Roman"/>
                      <w:color w:val="auto"/>
                      <w:spacing w:val="20"/>
                      <w:sz w:val="20"/>
                      <w:szCs w:val="20"/>
                      <w:lang w:eastAsia="zh-CN"/>
                    </w:rPr>
                    <w:t>取得自然资源局</w:t>
                  </w:r>
                  <w:r>
                    <w:rPr>
                      <w:rFonts w:ascii="Times New Roman" w:hAnsi="Times New Roman" w:cs="Times New Roman"/>
                      <w:color w:val="auto"/>
                      <w:spacing w:val="4"/>
                      <w:sz w:val="20"/>
                      <w:szCs w:val="20"/>
                      <w:lang w:eastAsia="zh-CN"/>
                    </w:rPr>
                    <w:t>同意建设的意见。</w:t>
                  </w:r>
                </w:p>
              </w:tc>
              <w:tc>
                <w:tcPr>
                  <w:tcW w:w="520" w:type="pct"/>
                  <w:tcBorders>
                    <w:tl2br w:val="nil"/>
                    <w:tr2bl w:val="nil"/>
                  </w:tcBorders>
                  <w:shd w:val="clear" w:color="auto" w:fill="auto"/>
                  <w:vAlign w:val="center"/>
                </w:tcPr>
                <w:p w14:paraId="280476BA">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4BD56C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423388E4">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4</w:t>
                  </w:r>
                </w:p>
              </w:tc>
              <w:tc>
                <w:tcPr>
                  <w:tcW w:w="2921" w:type="pct"/>
                  <w:tcBorders>
                    <w:tl2br w:val="nil"/>
                    <w:tr2bl w:val="nil"/>
                  </w:tcBorders>
                  <w:shd w:val="clear" w:color="auto" w:fill="auto"/>
                  <w:vAlign w:val="center"/>
                </w:tcPr>
                <w:p w14:paraId="4E175E6E">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优化水土保持审查审批。</w:t>
                  </w:r>
                  <w:r>
                    <w:rPr>
                      <w:rFonts w:ascii="Times New Roman" w:hAnsi="Times New Roman" w:cs="Times New Roman"/>
                      <w:color w:val="auto"/>
                      <w:spacing w:val="8"/>
                      <w:sz w:val="20"/>
                      <w:szCs w:val="20"/>
                      <w:lang w:eastAsia="zh-CN"/>
                    </w:rPr>
                    <w:t>做好项目建设过程中水</w:t>
                  </w:r>
                  <w:r>
                    <w:rPr>
                      <w:rFonts w:ascii="Times New Roman" w:hAnsi="Times New Roman" w:cs="Times New Roman"/>
                      <w:color w:val="auto"/>
                      <w:spacing w:val="9"/>
                      <w:sz w:val="20"/>
                      <w:szCs w:val="20"/>
                      <w:lang w:eastAsia="zh-CN"/>
                    </w:rPr>
                    <w:t>土保持工作的服务和技术咨询工作，电力建设企业应按照《中华人民共和国水土保持法》《生产</w:t>
                  </w:r>
                  <w:r>
                    <w:rPr>
                      <w:rFonts w:ascii="Times New Roman" w:hAnsi="Times New Roman" w:cs="Times New Roman"/>
                      <w:color w:val="auto"/>
                      <w:spacing w:val="6"/>
                      <w:sz w:val="20"/>
                      <w:szCs w:val="20"/>
                      <w:lang w:eastAsia="zh-CN"/>
                    </w:rPr>
                    <w:t>建设项目水土保持方案管理办法》（水利部第</w:t>
                  </w:r>
                  <w:r>
                    <w:rPr>
                      <w:rFonts w:ascii="Times New Roman" w:hAnsi="Times New Roman" w:eastAsia="Times New Roman" w:cs="Times New Roman"/>
                      <w:color w:val="auto"/>
                      <w:spacing w:val="6"/>
                      <w:sz w:val="20"/>
                      <w:szCs w:val="20"/>
                      <w:lang w:eastAsia="zh-CN"/>
                    </w:rPr>
                    <w:t>53</w:t>
                  </w:r>
                  <w:r>
                    <w:rPr>
                      <w:rFonts w:ascii="Times New Roman" w:hAnsi="Times New Roman" w:cs="Times New Roman"/>
                      <w:color w:val="auto"/>
                      <w:spacing w:val="9"/>
                      <w:sz w:val="20"/>
                      <w:szCs w:val="20"/>
                      <w:lang w:eastAsia="zh-CN"/>
                    </w:rPr>
                    <w:t>号令）的要求，对有关部门审批、核准、备案的项目，在开工前分级提交水土保持方案报告，水</w:t>
                  </w:r>
                  <w:r>
                    <w:rPr>
                      <w:rFonts w:ascii="Times New Roman" w:hAnsi="Times New Roman" w:cs="Times New Roman"/>
                      <w:color w:val="auto"/>
                      <w:spacing w:val="14"/>
                      <w:sz w:val="20"/>
                      <w:szCs w:val="20"/>
                      <w:lang w:eastAsia="zh-CN"/>
                    </w:rPr>
                    <w:t>行政审批部门按照审批权限完成审查审批后及</w:t>
                  </w:r>
                  <w:r>
                    <w:rPr>
                      <w:rFonts w:ascii="Times New Roman" w:hAnsi="Times New Roman" w:cs="Times New Roman"/>
                      <w:color w:val="auto"/>
                      <w:spacing w:val="8"/>
                      <w:sz w:val="20"/>
                      <w:szCs w:val="20"/>
                      <w:lang w:eastAsia="zh-CN"/>
                    </w:rPr>
                    <w:t>时出具水土保持行政许可文件及缴纳水土保持</w:t>
                  </w:r>
                  <w:r>
                    <w:rPr>
                      <w:rFonts w:ascii="Times New Roman" w:hAnsi="Times New Roman" w:cs="Times New Roman"/>
                      <w:color w:val="auto"/>
                      <w:spacing w:val="9"/>
                      <w:sz w:val="20"/>
                      <w:szCs w:val="20"/>
                      <w:lang w:eastAsia="zh-CN"/>
                    </w:rPr>
                    <w:t>补偿费通知单。根据水土保持报告书和报告表最新规定，做好表土的剥离、保存和利用，强化弃渣综合利用。制定落实弃渣场防护措施，确保弃渣场工程安全，确保不造成新的水土流失危害。对于需编制水土保持方案报告书的项目，购土、弃土协议可采用容缺受理，电力建设企业应当在</w:t>
                  </w:r>
                  <w:r>
                    <w:rPr>
                      <w:rFonts w:ascii="Times New Roman" w:hAnsi="Times New Roman" w:cs="Times New Roman"/>
                      <w:color w:val="auto"/>
                      <w:spacing w:val="8"/>
                      <w:sz w:val="20"/>
                      <w:szCs w:val="20"/>
                      <w:lang w:eastAsia="zh-CN"/>
                    </w:rPr>
                    <w:t>项目开工前完成有关手续办理。</w:t>
                  </w:r>
                </w:p>
              </w:tc>
              <w:tc>
                <w:tcPr>
                  <w:tcW w:w="1145" w:type="pct"/>
                  <w:tcBorders>
                    <w:tl2br w:val="nil"/>
                    <w:tr2bl w:val="nil"/>
                  </w:tcBorders>
                  <w:shd w:val="clear" w:color="auto" w:fill="auto"/>
                  <w:vAlign w:val="center"/>
                </w:tcPr>
                <w:p w14:paraId="718E865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本项目水土保持</w:t>
                  </w:r>
                  <w:r>
                    <w:rPr>
                      <w:rFonts w:ascii="Times New Roman" w:hAnsi="Times New Roman" w:cs="Times New Roman"/>
                      <w:color w:val="auto"/>
                      <w:spacing w:val="2"/>
                      <w:sz w:val="20"/>
                      <w:szCs w:val="20"/>
                      <w:lang w:eastAsia="zh-CN"/>
                    </w:rPr>
                    <w:t>方案已编制完成，</w:t>
                  </w:r>
                  <w:r>
                    <w:rPr>
                      <w:rFonts w:ascii="Times New Roman" w:hAnsi="Times New Roman" w:cs="Times New Roman"/>
                      <w:color w:val="auto"/>
                      <w:spacing w:val="20"/>
                      <w:sz w:val="20"/>
                      <w:szCs w:val="20"/>
                      <w:lang w:eastAsia="zh-CN"/>
                    </w:rPr>
                    <w:t>正在进行审批流</w:t>
                  </w:r>
                  <w:r>
                    <w:rPr>
                      <w:rFonts w:ascii="Times New Roman" w:hAnsi="Times New Roman" w:cs="Times New Roman"/>
                      <w:color w:val="auto"/>
                      <w:sz w:val="20"/>
                      <w:szCs w:val="20"/>
                      <w:lang w:eastAsia="zh-CN"/>
                    </w:rPr>
                    <w:t>程。</w:t>
                  </w:r>
                </w:p>
              </w:tc>
              <w:tc>
                <w:tcPr>
                  <w:tcW w:w="520" w:type="pct"/>
                  <w:tcBorders>
                    <w:tl2br w:val="nil"/>
                    <w:tr2bl w:val="nil"/>
                  </w:tcBorders>
                  <w:shd w:val="clear" w:color="auto" w:fill="auto"/>
                  <w:vAlign w:val="center"/>
                </w:tcPr>
                <w:p w14:paraId="03C586EA">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7E5D19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55AFDB10">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5</w:t>
                  </w:r>
                </w:p>
              </w:tc>
              <w:tc>
                <w:tcPr>
                  <w:tcW w:w="2921" w:type="pct"/>
                  <w:tcBorders>
                    <w:tl2br w:val="nil"/>
                    <w:tr2bl w:val="nil"/>
                  </w:tcBorders>
                  <w:shd w:val="clear" w:color="auto" w:fill="auto"/>
                  <w:vAlign w:val="center"/>
                </w:tcPr>
                <w:p w14:paraId="5673E4FB">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加快征地补偿及土地报批进度。</w:t>
                  </w:r>
                  <w:r>
                    <w:rPr>
                      <w:rFonts w:ascii="Times New Roman" w:hAnsi="Times New Roman" w:cs="Times New Roman"/>
                      <w:color w:val="auto"/>
                      <w:spacing w:val="8"/>
                      <w:sz w:val="20"/>
                      <w:szCs w:val="20"/>
                      <w:lang w:eastAsia="zh-CN"/>
                    </w:rPr>
                    <w:t>电力建设企业在</w:t>
                  </w:r>
                  <w:r>
                    <w:rPr>
                      <w:rFonts w:ascii="Times New Roman" w:hAnsi="Times New Roman" w:cs="Times New Roman"/>
                      <w:color w:val="auto"/>
                      <w:spacing w:val="9"/>
                      <w:sz w:val="20"/>
                      <w:szCs w:val="20"/>
                      <w:lang w:eastAsia="zh-CN"/>
                    </w:rPr>
                    <w:t>变电站站址征地过程中，征地补偿安置公告后</w:t>
                  </w:r>
                  <w:r>
                    <w:rPr>
                      <w:rFonts w:ascii="Times New Roman" w:hAnsi="Times New Roman" w:eastAsia="Times New Roman" w:cs="Times New Roman"/>
                      <w:color w:val="auto"/>
                      <w:spacing w:val="9"/>
                      <w:sz w:val="20"/>
                      <w:szCs w:val="20"/>
                      <w:lang w:eastAsia="zh-CN"/>
                    </w:rPr>
                    <w:t>5</w:t>
                  </w:r>
                  <w:r>
                    <w:rPr>
                      <w:rFonts w:ascii="Times New Roman" w:hAnsi="Times New Roman" w:cs="Times New Roman"/>
                      <w:color w:val="auto"/>
                      <w:spacing w:val="9"/>
                      <w:sz w:val="20"/>
                      <w:szCs w:val="20"/>
                      <w:lang w:eastAsia="zh-CN"/>
                    </w:rPr>
                    <w:t>个工作日内由自然资源部门下发缴费通知单，通</w:t>
                  </w:r>
                  <w:r>
                    <w:rPr>
                      <w:rFonts w:ascii="Times New Roman" w:hAnsi="Times New Roman" w:cs="Times New Roman"/>
                      <w:color w:val="auto"/>
                      <w:spacing w:val="8"/>
                      <w:sz w:val="20"/>
                      <w:szCs w:val="20"/>
                      <w:lang w:eastAsia="zh-CN"/>
                    </w:rPr>
                    <w:t>知单下发后由建设单位在</w:t>
                  </w:r>
                  <w:r>
                    <w:rPr>
                      <w:rFonts w:ascii="Times New Roman" w:hAnsi="Times New Roman" w:eastAsia="Times New Roman" w:cs="Times New Roman"/>
                      <w:color w:val="auto"/>
                      <w:spacing w:val="8"/>
                      <w:sz w:val="20"/>
                      <w:szCs w:val="20"/>
                      <w:lang w:eastAsia="zh-CN"/>
                    </w:rPr>
                    <w:t>5</w:t>
                  </w:r>
                  <w:r>
                    <w:rPr>
                      <w:rFonts w:ascii="Times New Roman" w:hAnsi="Times New Roman" w:cs="Times New Roman"/>
                      <w:color w:val="auto"/>
                      <w:spacing w:val="8"/>
                      <w:sz w:val="20"/>
                      <w:szCs w:val="20"/>
                      <w:lang w:eastAsia="zh-CN"/>
                    </w:rPr>
                    <w:t>个工作日内缴费至预</w:t>
                  </w:r>
                  <w:r>
                    <w:rPr>
                      <w:rFonts w:ascii="Times New Roman" w:hAnsi="Times New Roman" w:cs="Times New Roman"/>
                      <w:color w:val="auto"/>
                      <w:spacing w:val="9"/>
                      <w:sz w:val="20"/>
                      <w:szCs w:val="20"/>
                      <w:lang w:eastAsia="zh-CN"/>
                    </w:rPr>
                    <w:t>存账户；征地补偿安置公告期满后，由建设单位</w:t>
                  </w:r>
                  <w:r>
                    <w:rPr>
                      <w:rFonts w:ascii="Times New Roman" w:hAnsi="Times New Roman" w:cs="Times New Roman"/>
                      <w:color w:val="auto"/>
                      <w:spacing w:val="6"/>
                      <w:sz w:val="20"/>
                      <w:szCs w:val="20"/>
                      <w:lang w:eastAsia="zh-CN"/>
                    </w:rPr>
                    <w:t>配合站址所在乡镇（街道）</w:t>
                  </w:r>
                  <w:r>
                    <w:rPr>
                      <w:rFonts w:ascii="Times New Roman" w:hAnsi="Times New Roman" w:eastAsia="Times New Roman" w:cs="Times New Roman"/>
                      <w:color w:val="auto"/>
                      <w:spacing w:val="6"/>
                      <w:sz w:val="20"/>
                      <w:szCs w:val="20"/>
                      <w:lang w:eastAsia="zh-CN"/>
                    </w:rPr>
                    <w:t>10</w:t>
                  </w:r>
                  <w:r>
                    <w:rPr>
                      <w:rFonts w:ascii="Times New Roman" w:hAnsi="Times New Roman" w:cs="Times New Roman"/>
                      <w:color w:val="auto"/>
                      <w:spacing w:val="6"/>
                      <w:sz w:val="20"/>
                      <w:szCs w:val="20"/>
                      <w:lang w:eastAsia="zh-CN"/>
                    </w:rPr>
                    <w:t>个工作日内完成征</w:t>
                  </w:r>
                  <w:r>
                    <w:rPr>
                      <w:rFonts w:ascii="Times New Roman" w:hAnsi="Times New Roman" w:cs="Times New Roman"/>
                      <w:color w:val="auto"/>
                      <w:spacing w:val="9"/>
                      <w:sz w:val="20"/>
                      <w:szCs w:val="20"/>
                      <w:lang w:eastAsia="zh-CN"/>
                    </w:rPr>
                    <w:t>地补偿登记表、征地补偿安置协议等材料签字捺</w:t>
                  </w:r>
                  <w:r>
                    <w:rPr>
                      <w:rFonts w:ascii="Times New Roman" w:hAnsi="Times New Roman" w:cs="Times New Roman"/>
                      <w:color w:val="auto"/>
                      <w:spacing w:val="8"/>
                      <w:sz w:val="20"/>
                      <w:szCs w:val="20"/>
                      <w:lang w:eastAsia="zh-CN"/>
                    </w:rPr>
                    <w:t>印，满足快速报建要求。如遇到特殊紧急的保障</w:t>
                  </w:r>
                  <w:r>
                    <w:rPr>
                      <w:rFonts w:ascii="Times New Roman" w:hAnsi="Times New Roman" w:cs="Times New Roman"/>
                      <w:color w:val="auto"/>
                      <w:spacing w:val="9"/>
                      <w:sz w:val="20"/>
                      <w:szCs w:val="20"/>
                      <w:lang w:eastAsia="zh-CN"/>
                    </w:rPr>
                    <w:t>用电项目，在不占用永久基本农田和生态保护红线的前提下，可边建设边报批紧急用地方式保</w:t>
                  </w:r>
                  <w:r>
                    <w:rPr>
                      <w:rFonts w:ascii="Times New Roman" w:hAnsi="Times New Roman" w:cs="Times New Roman"/>
                      <w:color w:val="auto"/>
                      <w:spacing w:val="7"/>
                      <w:sz w:val="20"/>
                      <w:szCs w:val="20"/>
                      <w:lang w:eastAsia="zh-CN"/>
                    </w:rPr>
                    <w:t>障，同时加快建设用地办理进度。</w:t>
                  </w:r>
                </w:p>
              </w:tc>
              <w:tc>
                <w:tcPr>
                  <w:tcW w:w="1145" w:type="pct"/>
                  <w:tcBorders>
                    <w:tl2br w:val="nil"/>
                    <w:tr2bl w:val="nil"/>
                  </w:tcBorders>
                  <w:shd w:val="clear" w:color="auto" w:fill="auto"/>
                  <w:vAlign w:val="center"/>
                </w:tcPr>
                <w:p w14:paraId="372447C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本工程仅包括输</w:t>
                  </w:r>
                  <w:r>
                    <w:rPr>
                      <w:rFonts w:ascii="Times New Roman" w:hAnsi="Times New Roman" w:cs="Times New Roman"/>
                      <w:color w:val="auto"/>
                      <w:spacing w:val="4"/>
                      <w:sz w:val="20"/>
                      <w:szCs w:val="20"/>
                      <w:lang w:eastAsia="zh-CN"/>
                    </w:rPr>
                    <w:t>变电线路工程，不涉及变电站建设，</w:t>
                  </w:r>
                  <w:r>
                    <w:rPr>
                      <w:rFonts w:ascii="Times New Roman" w:hAnsi="Times New Roman" w:cs="Times New Roman"/>
                      <w:color w:val="auto"/>
                      <w:spacing w:val="21"/>
                      <w:sz w:val="20"/>
                      <w:szCs w:val="20"/>
                      <w:lang w:eastAsia="zh-CN"/>
                    </w:rPr>
                    <w:t>项目</w:t>
                  </w:r>
                  <w:r>
                    <w:rPr>
                      <w:rFonts w:hint="eastAsia" w:ascii="Times New Roman" w:hAnsi="Times New Roman" w:cs="Times New Roman"/>
                      <w:color w:val="auto"/>
                      <w:spacing w:val="21"/>
                      <w:sz w:val="20"/>
                      <w:szCs w:val="20"/>
                      <w:lang w:eastAsia="zh-CN"/>
                    </w:rPr>
                    <w:t>正在开展</w:t>
                  </w:r>
                  <w:r>
                    <w:rPr>
                      <w:rFonts w:ascii="Times New Roman" w:hAnsi="Times New Roman" w:cs="Times New Roman"/>
                      <w:color w:val="auto"/>
                      <w:spacing w:val="21"/>
                      <w:sz w:val="20"/>
                      <w:szCs w:val="20"/>
                      <w:lang w:eastAsia="zh-CN"/>
                    </w:rPr>
                    <w:t>征地补</w:t>
                  </w:r>
                  <w:r>
                    <w:rPr>
                      <w:rFonts w:ascii="Times New Roman" w:hAnsi="Times New Roman" w:cs="Times New Roman"/>
                      <w:color w:val="auto"/>
                      <w:spacing w:val="4"/>
                      <w:sz w:val="20"/>
                      <w:szCs w:val="20"/>
                      <w:lang w:eastAsia="zh-CN"/>
                    </w:rPr>
                    <w:t>偿工作</w:t>
                  </w:r>
                </w:p>
              </w:tc>
              <w:tc>
                <w:tcPr>
                  <w:tcW w:w="520" w:type="pct"/>
                  <w:tcBorders>
                    <w:tl2br w:val="nil"/>
                    <w:tr2bl w:val="nil"/>
                  </w:tcBorders>
                  <w:shd w:val="clear" w:color="auto" w:fill="auto"/>
                  <w:vAlign w:val="center"/>
                </w:tcPr>
                <w:p w14:paraId="05E35C6B">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73BB73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549FE9F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2921" w:type="pct"/>
                  <w:tcBorders>
                    <w:tl2br w:val="nil"/>
                    <w:tr2bl w:val="nil"/>
                  </w:tcBorders>
                  <w:shd w:val="clear" w:color="auto" w:fill="auto"/>
                  <w:vAlign w:val="center"/>
                </w:tcPr>
                <w:p w14:paraId="15E0CBC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2"/>
                      <w:sz w:val="20"/>
                      <w:szCs w:val="20"/>
                      <w:lang w:eastAsia="zh-CN"/>
                    </w:rPr>
                    <w:t>优化提升农转征及用地审批效率。</w:t>
                  </w:r>
                  <w:r>
                    <w:rPr>
                      <w:rFonts w:ascii="Times New Roman" w:hAnsi="Times New Roman" w:cs="Times New Roman"/>
                      <w:color w:val="auto"/>
                      <w:spacing w:val="2"/>
                      <w:sz w:val="20"/>
                      <w:szCs w:val="20"/>
                      <w:lang w:eastAsia="zh-CN"/>
                    </w:rPr>
                    <w:t>各县（市、区）</w:t>
                  </w:r>
                  <w:r>
                    <w:rPr>
                      <w:rFonts w:ascii="Times New Roman" w:hAnsi="Times New Roman" w:cs="Times New Roman"/>
                      <w:color w:val="auto"/>
                      <w:spacing w:val="9"/>
                      <w:sz w:val="20"/>
                      <w:szCs w:val="20"/>
                      <w:lang w:eastAsia="zh-CN"/>
                    </w:rPr>
                    <w:t>自然资源部门根据项目建设用地需求，可同时开</w:t>
                  </w:r>
                  <w:r>
                    <w:rPr>
                      <w:rFonts w:ascii="Times New Roman" w:hAnsi="Times New Roman" w:cs="Times New Roman"/>
                      <w:color w:val="auto"/>
                      <w:spacing w:val="14"/>
                      <w:sz w:val="20"/>
                      <w:szCs w:val="20"/>
                      <w:lang w:eastAsia="zh-CN"/>
                    </w:rPr>
                    <w:t>展临时使用土地报批与农用地转用及土地征收</w:t>
                  </w:r>
                  <w:r>
                    <w:rPr>
                      <w:rFonts w:ascii="Times New Roman" w:hAnsi="Times New Roman" w:cs="Times New Roman"/>
                      <w:color w:val="auto"/>
                      <w:spacing w:val="9"/>
                      <w:sz w:val="20"/>
                      <w:szCs w:val="20"/>
                      <w:lang w:eastAsia="zh-CN"/>
                    </w:rPr>
                    <w:t>工作，若临时用地与需农用地转用及土地征收的土地重叠的，获批的临时用地期满后，必须复垦</w:t>
                  </w:r>
                  <w:r>
                    <w:rPr>
                      <w:rFonts w:ascii="Times New Roman" w:hAnsi="Times New Roman" w:cs="Times New Roman"/>
                      <w:color w:val="auto"/>
                      <w:spacing w:val="8"/>
                      <w:sz w:val="20"/>
                      <w:szCs w:val="20"/>
                      <w:lang w:eastAsia="zh-CN"/>
                    </w:rPr>
                    <w:t>还地后方可开展农用地转用及土地征收。</w:t>
                  </w:r>
                </w:p>
              </w:tc>
              <w:tc>
                <w:tcPr>
                  <w:tcW w:w="1145" w:type="pct"/>
                  <w:tcBorders>
                    <w:tl2br w:val="nil"/>
                    <w:tr2bl w:val="nil"/>
                  </w:tcBorders>
                  <w:shd w:val="clear" w:color="auto" w:fill="auto"/>
                  <w:vAlign w:val="center"/>
                </w:tcPr>
                <w:p w14:paraId="6BF77473">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项目已取得自然</w:t>
                  </w:r>
                  <w:r>
                    <w:rPr>
                      <w:rFonts w:ascii="Times New Roman" w:hAnsi="Times New Roman" w:cs="Times New Roman"/>
                      <w:color w:val="auto"/>
                      <w:spacing w:val="20"/>
                      <w:sz w:val="20"/>
                      <w:szCs w:val="20"/>
                      <w:lang w:eastAsia="zh-CN"/>
                    </w:rPr>
                    <w:t>资源局同意选址</w:t>
                  </w:r>
                  <w:r>
                    <w:rPr>
                      <w:rFonts w:ascii="Times New Roman" w:hAnsi="Times New Roman" w:cs="Times New Roman"/>
                      <w:color w:val="auto"/>
                      <w:spacing w:val="4"/>
                      <w:sz w:val="20"/>
                      <w:szCs w:val="20"/>
                      <w:lang w:eastAsia="zh-CN"/>
                    </w:rPr>
                    <w:t>意见。项目临时用</w:t>
                  </w:r>
                  <w:r>
                    <w:rPr>
                      <w:rFonts w:ascii="Times New Roman" w:hAnsi="Times New Roman" w:cs="Times New Roman"/>
                      <w:color w:val="auto"/>
                      <w:spacing w:val="20"/>
                      <w:sz w:val="20"/>
                      <w:szCs w:val="20"/>
                      <w:lang w:eastAsia="zh-CN"/>
                    </w:rPr>
                    <w:t>地待施工结束后</w:t>
                  </w:r>
                  <w:r>
                    <w:rPr>
                      <w:rFonts w:ascii="Times New Roman" w:hAnsi="Times New Roman" w:cs="Times New Roman"/>
                      <w:color w:val="auto"/>
                      <w:spacing w:val="4"/>
                      <w:sz w:val="20"/>
                      <w:szCs w:val="20"/>
                      <w:lang w:eastAsia="zh-CN"/>
                    </w:rPr>
                    <w:t>方可复耕，不涉及</w:t>
                  </w:r>
                  <w:r>
                    <w:rPr>
                      <w:rFonts w:ascii="Times New Roman" w:hAnsi="Times New Roman" w:cs="Times New Roman"/>
                      <w:color w:val="auto"/>
                      <w:spacing w:val="20"/>
                      <w:sz w:val="20"/>
                      <w:szCs w:val="20"/>
                      <w:lang w:eastAsia="zh-CN"/>
                    </w:rPr>
                    <w:t>临时用地土地报</w:t>
                  </w:r>
                  <w:r>
                    <w:rPr>
                      <w:rFonts w:ascii="Times New Roman" w:hAnsi="Times New Roman" w:cs="Times New Roman"/>
                      <w:color w:val="auto"/>
                      <w:sz w:val="20"/>
                      <w:szCs w:val="20"/>
                      <w:lang w:eastAsia="zh-CN"/>
                    </w:rPr>
                    <w:t>批。</w:t>
                  </w:r>
                </w:p>
              </w:tc>
              <w:tc>
                <w:tcPr>
                  <w:tcW w:w="520" w:type="pct"/>
                  <w:tcBorders>
                    <w:tl2br w:val="nil"/>
                    <w:tr2bl w:val="nil"/>
                  </w:tcBorders>
                  <w:shd w:val="clear" w:color="auto" w:fill="auto"/>
                  <w:vAlign w:val="center"/>
                </w:tcPr>
                <w:p w14:paraId="0F3B5F15">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404EA3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794A2121">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2921" w:type="pct"/>
                  <w:tcBorders>
                    <w:tl2br w:val="nil"/>
                    <w:tr2bl w:val="nil"/>
                  </w:tcBorders>
                  <w:shd w:val="clear" w:color="auto" w:fill="auto"/>
                  <w:vAlign w:val="center"/>
                </w:tcPr>
                <w:p w14:paraId="2BE5DB1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7"/>
                      <w:sz w:val="20"/>
                      <w:szCs w:val="20"/>
                      <w:lang w:eastAsia="zh-CN"/>
                    </w:rPr>
                    <w:t>加快审批被征地农民社会保障方案。</w:t>
                  </w:r>
                  <w:r>
                    <w:rPr>
                      <w:rFonts w:ascii="Times New Roman" w:hAnsi="Times New Roman" w:cs="Times New Roman"/>
                      <w:color w:val="auto"/>
                      <w:spacing w:val="7"/>
                      <w:sz w:val="20"/>
                      <w:szCs w:val="20"/>
                      <w:lang w:eastAsia="zh-CN"/>
                    </w:rPr>
                    <w:t>对于项目征</w:t>
                  </w:r>
                  <w:r>
                    <w:rPr>
                      <w:rFonts w:ascii="Times New Roman" w:hAnsi="Times New Roman" w:cs="Times New Roman"/>
                      <w:color w:val="auto"/>
                      <w:spacing w:val="9"/>
                      <w:sz w:val="20"/>
                      <w:szCs w:val="20"/>
                      <w:lang w:eastAsia="zh-CN"/>
                    </w:rPr>
                    <w:t>地前期的《社会稳定风险评估报告》评审，由各</w:t>
                  </w:r>
                  <w:r>
                    <w:rPr>
                      <w:rFonts w:ascii="Times New Roman" w:hAnsi="Times New Roman" w:cs="Times New Roman"/>
                      <w:color w:val="auto"/>
                      <w:spacing w:val="6"/>
                      <w:sz w:val="20"/>
                      <w:szCs w:val="20"/>
                      <w:lang w:eastAsia="zh-CN"/>
                    </w:rPr>
                    <w:t>县（市、区）自然资源部门组织，采用现场评审</w:t>
                  </w:r>
                  <w:r>
                    <w:rPr>
                      <w:rFonts w:ascii="Times New Roman" w:hAnsi="Times New Roman" w:cs="Times New Roman"/>
                      <w:color w:val="auto"/>
                      <w:spacing w:val="9"/>
                      <w:sz w:val="20"/>
                      <w:szCs w:val="20"/>
                      <w:lang w:eastAsia="zh-CN"/>
                    </w:rPr>
                    <w:t>会、线下收集意见等方式依法依规进行，评审完</w:t>
                  </w:r>
                  <w:r>
                    <w:rPr>
                      <w:rFonts w:ascii="Times New Roman" w:hAnsi="Times New Roman" w:cs="Times New Roman"/>
                      <w:color w:val="auto"/>
                      <w:spacing w:val="6"/>
                      <w:sz w:val="20"/>
                      <w:szCs w:val="20"/>
                      <w:lang w:eastAsia="zh-CN"/>
                    </w:rPr>
                    <w:t>成后</w:t>
                  </w:r>
                  <w:r>
                    <w:rPr>
                      <w:rFonts w:ascii="Times New Roman" w:hAnsi="Times New Roman" w:eastAsia="Times New Roman" w:cs="Times New Roman"/>
                      <w:color w:val="auto"/>
                      <w:spacing w:val="6"/>
                      <w:sz w:val="20"/>
                      <w:szCs w:val="20"/>
                      <w:lang w:eastAsia="zh-CN"/>
                    </w:rPr>
                    <w:t>5</w:t>
                  </w:r>
                  <w:r>
                    <w:rPr>
                      <w:rFonts w:ascii="Times New Roman" w:hAnsi="Times New Roman" w:cs="Times New Roman"/>
                      <w:color w:val="auto"/>
                      <w:spacing w:val="6"/>
                      <w:sz w:val="20"/>
                      <w:szCs w:val="20"/>
                      <w:lang w:eastAsia="zh-CN"/>
                    </w:rPr>
                    <w:t>个工作日内出具评审意见，各县（市、区）</w:t>
                  </w:r>
                  <w:r>
                    <w:rPr>
                      <w:rFonts w:ascii="Times New Roman" w:hAnsi="Times New Roman" w:cs="Times New Roman"/>
                      <w:color w:val="auto"/>
                      <w:spacing w:val="9"/>
                      <w:sz w:val="20"/>
                      <w:szCs w:val="20"/>
                      <w:lang w:eastAsia="zh-CN"/>
                    </w:rPr>
                    <w:t>社会保障部门应及时出具被征地农民社会保障实施方案，经县（市、区）人民政府上报市社会</w:t>
                  </w:r>
                  <w:r>
                    <w:rPr>
                      <w:rFonts w:ascii="Times New Roman" w:hAnsi="Times New Roman" w:cs="Times New Roman"/>
                      <w:color w:val="auto"/>
                      <w:spacing w:val="8"/>
                      <w:sz w:val="20"/>
                      <w:szCs w:val="20"/>
                      <w:lang w:eastAsia="zh-CN"/>
                    </w:rPr>
                    <w:t>保障部门进行审批并及时完成方案批复。</w:t>
                  </w:r>
                </w:p>
              </w:tc>
              <w:tc>
                <w:tcPr>
                  <w:tcW w:w="1145" w:type="pct"/>
                  <w:tcBorders>
                    <w:tl2br w:val="nil"/>
                    <w:tr2bl w:val="nil"/>
                  </w:tcBorders>
                  <w:shd w:val="clear" w:color="auto" w:fill="auto"/>
                  <w:vAlign w:val="center"/>
                </w:tcPr>
                <w:p w14:paraId="2C139F35">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本项目已经完成</w:t>
                  </w:r>
                  <w:r>
                    <w:rPr>
                      <w:rFonts w:ascii="Times New Roman" w:hAnsi="Times New Roman" w:cs="Times New Roman"/>
                      <w:color w:val="auto"/>
                      <w:spacing w:val="21"/>
                      <w:sz w:val="20"/>
                      <w:szCs w:val="20"/>
                      <w:lang w:eastAsia="zh-CN"/>
                    </w:rPr>
                    <w:t>社会稳定风险评</w:t>
                  </w:r>
                  <w:r>
                    <w:rPr>
                      <w:rFonts w:ascii="Times New Roman" w:hAnsi="Times New Roman" w:cs="Times New Roman"/>
                      <w:color w:val="auto"/>
                      <w:spacing w:val="4"/>
                      <w:sz w:val="20"/>
                      <w:szCs w:val="20"/>
                      <w:lang w:eastAsia="zh-CN"/>
                    </w:rPr>
                    <w:t>估报告，且已经报</w:t>
                  </w:r>
                  <w:r>
                    <w:rPr>
                      <w:rFonts w:ascii="Times New Roman" w:hAnsi="Times New Roman" w:cs="Times New Roman"/>
                      <w:color w:val="auto"/>
                      <w:spacing w:val="21"/>
                      <w:sz w:val="20"/>
                      <w:szCs w:val="20"/>
                      <w:lang w:eastAsia="zh-CN"/>
                    </w:rPr>
                    <w:t>至相关部门进行</w:t>
                  </w:r>
                  <w:r>
                    <w:rPr>
                      <w:rFonts w:ascii="Times New Roman" w:hAnsi="Times New Roman" w:cs="Times New Roman"/>
                      <w:color w:val="auto"/>
                      <w:spacing w:val="2"/>
                      <w:sz w:val="20"/>
                      <w:szCs w:val="20"/>
                      <w:lang w:eastAsia="zh-CN"/>
                    </w:rPr>
                    <w:t>备案。</w:t>
                  </w:r>
                </w:p>
              </w:tc>
              <w:tc>
                <w:tcPr>
                  <w:tcW w:w="520" w:type="pct"/>
                  <w:tcBorders>
                    <w:tl2br w:val="nil"/>
                    <w:tr2bl w:val="nil"/>
                  </w:tcBorders>
                  <w:shd w:val="clear" w:color="auto" w:fill="auto"/>
                  <w:vAlign w:val="center"/>
                </w:tcPr>
                <w:p w14:paraId="07CF8C86">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6C4FA5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23D42604">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8</w:t>
                  </w:r>
                </w:p>
              </w:tc>
              <w:tc>
                <w:tcPr>
                  <w:tcW w:w="2921" w:type="pct"/>
                  <w:tcBorders>
                    <w:tl2br w:val="nil"/>
                    <w:tr2bl w:val="nil"/>
                  </w:tcBorders>
                  <w:shd w:val="clear" w:color="auto" w:fill="auto"/>
                  <w:vAlign w:val="center"/>
                </w:tcPr>
                <w:p w14:paraId="1CC32DD0">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优化简化林地审批手续。</w:t>
                  </w:r>
                  <w:r>
                    <w:rPr>
                      <w:rFonts w:ascii="Times New Roman" w:hAnsi="Times New Roman" w:cs="Times New Roman"/>
                      <w:color w:val="auto"/>
                      <w:spacing w:val="8"/>
                      <w:sz w:val="20"/>
                      <w:szCs w:val="20"/>
                      <w:lang w:eastAsia="zh-CN"/>
                    </w:rPr>
                    <w:t>电力建设企业在办理使</w:t>
                  </w:r>
                  <w:r>
                    <w:rPr>
                      <w:rFonts w:ascii="Times New Roman" w:hAnsi="Times New Roman" w:cs="Times New Roman"/>
                      <w:color w:val="auto"/>
                      <w:spacing w:val="9"/>
                      <w:sz w:val="20"/>
                      <w:szCs w:val="20"/>
                      <w:lang w:eastAsia="zh-CN"/>
                    </w:rPr>
                    <w:t>用林地审批手续时，需要提供以下材料：①使用林地申请表；②申请书；③建设项目批准文件；</w:t>
                  </w:r>
                  <w:r>
                    <w:rPr>
                      <w:rFonts w:ascii="Times New Roman" w:hAnsi="Times New Roman" w:cs="Times New Roman"/>
                      <w:color w:val="auto"/>
                      <w:spacing w:val="14"/>
                      <w:sz w:val="20"/>
                      <w:szCs w:val="20"/>
                      <w:lang w:eastAsia="zh-CN"/>
                    </w:rPr>
                    <w:t>④使用林地可行性报告或者使用林地现状调查</w:t>
                  </w:r>
                  <w:r>
                    <w:rPr>
                      <w:rFonts w:ascii="Times New Roman" w:hAnsi="Times New Roman" w:cs="Times New Roman"/>
                      <w:color w:val="auto"/>
                      <w:spacing w:val="9"/>
                      <w:sz w:val="20"/>
                      <w:szCs w:val="20"/>
                      <w:lang w:eastAsia="zh-CN"/>
                    </w:rPr>
                    <w:t>表（临时占用林地需提供临时占用林地恢复林业</w:t>
                  </w:r>
                  <w:r>
                    <w:rPr>
                      <w:rFonts w:ascii="Times New Roman" w:hAnsi="Times New Roman" w:cs="Times New Roman"/>
                      <w:color w:val="auto"/>
                      <w:spacing w:val="8"/>
                      <w:sz w:val="20"/>
                      <w:szCs w:val="20"/>
                      <w:lang w:eastAsia="zh-CN"/>
                    </w:rPr>
                    <w:t>生产条件和植被的实施方案</w:t>
                  </w:r>
                  <w:r>
                    <w:rPr>
                      <w:rFonts w:ascii="Times New Roman" w:hAnsi="Times New Roman" w:cs="Times New Roman"/>
                      <w:color w:val="auto"/>
                      <w:spacing w:val="21"/>
                      <w:sz w:val="20"/>
                      <w:szCs w:val="20"/>
                      <w:lang w:eastAsia="zh-CN"/>
                    </w:rPr>
                    <w:t>）；</w:t>
                  </w:r>
                  <w:r>
                    <w:rPr>
                      <w:rFonts w:ascii="Times New Roman" w:hAnsi="Times New Roman" w:cs="Times New Roman"/>
                      <w:color w:val="auto"/>
                      <w:spacing w:val="8"/>
                      <w:sz w:val="20"/>
                      <w:szCs w:val="20"/>
                      <w:lang w:eastAsia="zh-CN"/>
                    </w:rPr>
                    <w:t>⑤建设单位营业</w:t>
                  </w:r>
                  <w:r>
                    <w:rPr>
                      <w:rFonts w:ascii="Times New Roman" w:hAnsi="Times New Roman" w:cs="Times New Roman"/>
                      <w:color w:val="auto"/>
                      <w:spacing w:val="9"/>
                      <w:sz w:val="20"/>
                      <w:szCs w:val="20"/>
                      <w:lang w:eastAsia="zh-CN"/>
                    </w:rPr>
                    <w:t>执照及法人证件。电力建设企业应当在项目开工</w:t>
                  </w:r>
                  <w:r>
                    <w:rPr>
                      <w:rFonts w:ascii="Times New Roman" w:hAnsi="Times New Roman" w:cs="Times New Roman"/>
                      <w:color w:val="auto"/>
                      <w:spacing w:val="8"/>
                      <w:sz w:val="20"/>
                      <w:szCs w:val="20"/>
                      <w:lang w:eastAsia="zh-CN"/>
                    </w:rPr>
                    <w:t>前完成县级林草部门需要的有关手续办理。</w:t>
                  </w:r>
                </w:p>
              </w:tc>
              <w:tc>
                <w:tcPr>
                  <w:tcW w:w="1145" w:type="pct"/>
                  <w:tcBorders>
                    <w:tl2br w:val="nil"/>
                    <w:tr2bl w:val="nil"/>
                  </w:tcBorders>
                  <w:shd w:val="clear" w:color="auto" w:fill="auto"/>
                  <w:vAlign w:val="center"/>
                </w:tcPr>
                <w:p w14:paraId="06C14D8C">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项目已取得曲靖</w:t>
                  </w:r>
                  <w:r>
                    <w:rPr>
                      <w:rFonts w:ascii="Times New Roman" w:hAnsi="Times New Roman" w:cs="Times New Roman"/>
                      <w:color w:val="auto"/>
                      <w:spacing w:val="7"/>
                      <w:sz w:val="20"/>
                      <w:szCs w:val="20"/>
                      <w:lang w:eastAsia="zh-CN"/>
                    </w:rPr>
                    <w:t>市会泽县林业和</w:t>
                  </w:r>
                  <w:r>
                    <w:rPr>
                      <w:rFonts w:ascii="Times New Roman" w:hAnsi="Times New Roman" w:cs="Times New Roman"/>
                      <w:color w:val="auto"/>
                      <w:spacing w:val="8"/>
                      <w:sz w:val="20"/>
                      <w:szCs w:val="20"/>
                      <w:lang w:eastAsia="zh-CN"/>
                    </w:rPr>
                    <w:t>草原局同意项目</w:t>
                  </w:r>
                  <w:r>
                    <w:rPr>
                      <w:rFonts w:ascii="Times New Roman" w:hAnsi="Times New Roman" w:cs="Times New Roman"/>
                      <w:color w:val="auto"/>
                      <w:spacing w:val="6"/>
                      <w:sz w:val="20"/>
                      <w:szCs w:val="20"/>
                      <w:lang w:eastAsia="zh-CN"/>
                    </w:rPr>
                    <w:t>用地的意见。</w:t>
                  </w:r>
                </w:p>
              </w:tc>
              <w:tc>
                <w:tcPr>
                  <w:tcW w:w="520" w:type="pct"/>
                  <w:tcBorders>
                    <w:tl2br w:val="nil"/>
                    <w:tr2bl w:val="nil"/>
                  </w:tcBorders>
                  <w:shd w:val="clear" w:color="auto" w:fill="auto"/>
                  <w:vAlign w:val="center"/>
                </w:tcPr>
                <w:p w14:paraId="40C8A430">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50F409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46870DFD">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z w:val="20"/>
                      <w:szCs w:val="20"/>
                    </w:rPr>
                    <w:t>9</w:t>
                  </w:r>
                </w:p>
              </w:tc>
              <w:tc>
                <w:tcPr>
                  <w:tcW w:w="2921" w:type="pct"/>
                  <w:tcBorders>
                    <w:tl2br w:val="nil"/>
                    <w:tr2bl w:val="nil"/>
                  </w:tcBorders>
                  <w:shd w:val="clear" w:color="auto" w:fill="auto"/>
                  <w:vAlign w:val="center"/>
                </w:tcPr>
                <w:p w14:paraId="463087D7">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及时移交实施林木采伐工作。</w:t>
                  </w:r>
                  <w:r>
                    <w:rPr>
                      <w:rFonts w:ascii="Times New Roman" w:hAnsi="Times New Roman" w:cs="Times New Roman"/>
                      <w:color w:val="auto"/>
                      <w:spacing w:val="8"/>
                      <w:sz w:val="20"/>
                      <w:szCs w:val="20"/>
                      <w:lang w:eastAsia="zh-CN"/>
                    </w:rPr>
                    <w:t>电力建设项目取得</w:t>
                  </w:r>
                  <w:r>
                    <w:rPr>
                      <w:rFonts w:ascii="Times New Roman" w:hAnsi="Times New Roman" w:cs="Times New Roman"/>
                      <w:color w:val="auto"/>
                      <w:spacing w:val="9"/>
                      <w:sz w:val="20"/>
                      <w:szCs w:val="20"/>
                      <w:lang w:eastAsia="zh-CN"/>
                    </w:rPr>
                    <w:t>林地审核同意书后，电力建设企业（或与电力建设企业有合同关系的施工企业）可与项目所在乡（镇）人民政府签订项目建设补偿包干协议（建议协议内容包含林地、林木权利人签订分户补偿协议、支付补偿，附着物拆迁，临时占用林地、林木采伐证办理及线路通道砍伐工作，复垦费用</w:t>
                  </w:r>
                  <w:r>
                    <w:rPr>
                      <w:rFonts w:ascii="Times New Roman" w:hAnsi="Times New Roman" w:cs="Times New Roman"/>
                      <w:color w:val="auto"/>
                      <w:spacing w:val="8"/>
                      <w:sz w:val="20"/>
                      <w:szCs w:val="20"/>
                      <w:lang w:eastAsia="zh-CN"/>
                    </w:rPr>
                    <w:t>及时限等</w:t>
                  </w:r>
                  <w:r>
                    <w:rPr>
                      <w:rFonts w:ascii="Times New Roman" w:hAnsi="Times New Roman" w:cs="Times New Roman"/>
                      <w:color w:val="auto"/>
                      <w:spacing w:val="23"/>
                      <w:sz w:val="20"/>
                      <w:szCs w:val="20"/>
                      <w:lang w:eastAsia="zh-CN"/>
                    </w:rPr>
                    <w:t>），</w:t>
                  </w:r>
                  <w:r>
                    <w:rPr>
                      <w:rFonts w:ascii="Times New Roman" w:hAnsi="Times New Roman" w:cs="Times New Roman"/>
                      <w:color w:val="auto"/>
                      <w:spacing w:val="8"/>
                      <w:sz w:val="20"/>
                      <w:szCs w:val="20"/>
                      <w:lang w:eastAsia="zh-CN"/>
                    </w:rPr>
                    <w:t>乡（镇）人民政府履行完协议内容后将林地移交电力建设项目企业施工建设。</w:t>
                  </w:r>
                </w:p>
              </w:tc>
              <w:tc>
                <w:tcPr>
                  <w:tcW w:w="1145" w:type="pct"/>
                  <w:tcBorders>
                    <w:tl2br w:val="nil"/>
                    <w:tr2bl w:val="nil"/>
                  </w:tcBorders>
                  <w:shd w:val="clear" w:color="auto" w:fill="auto"/>
                  <w:vAlign w:val="center"/>
                </w:tcPr>
                <w:p w14:paraId="4ED81048">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w:t>
                  </w:r>
                  <w:r>
                    <w:rPr>
                      <w:rFonts w:hint="eastAsia" w:ascii="Times New Roman" w:hAnsi="Times New Roman" w:cs="Times New Roman"/>
                      <w:color w:val="auto"/>
                      <w:spacing w:val="8"/>
                      <w:sz w:val="20"/>
                      <w:szCs w:val="20"/>
                      <w:lang w:eastAsia="zh-CN"/>
                    </w:rPr>
                    <w:t>正在</w:t>
                  </w:r>
                  <w:r>
                    <w:rPr>
                      <w:rFonts w:ascii="Times New Roman" w:hAnsi="Times New Roman" w:cs="Times New Roman"/>
                      <w:color w:val="auto"/>
                      <w:spacing w:val="8"/>
                      <w:sz w:val="20"/>
                      <w:szCs w:val="20"/>
                      <w:lang w:eastAsia="zh-CN"/>
                    </w:rPr>
                    <w:t>开展征地</w:t>
                  </w:r>
                  <w:r>
                    <w:rPr>
                      <w:rFonts w:ascii="Times New Roman" w:hAnsi="Times New Roman" w:cs="Times New Roman"/>
                      <w:color w:val="auto"/>
                      <w:spacing w:val="5"/>
                      <w:sz w:val="20"/>
                      <w:szCs w:val="20"/>
                      <w:lang w:eastAsia="zh-CN"/>
                    </w:rPr>
                    <w:t>补偿工作。</w:t>
                  </w:r>
                </w:p>
              </w:tc>
              <w:tc>
                <w:tcPr>
                  <w:tcW w:w="520" w:type="pct"/>
                  <w:tcBorders>
                    <w:tl2br w:val="nil"/>
                    <w:tr2bl w:val="nil"/>
                  </w:tcBorders>
                  <w:shd w:val="clear" w:color="auto" w:fill="auto"/>
                  <w:vAlign w:val="center"/>
                </w:tcPr>
                <w:p w14:paraId="51F57771">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304013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3D17EA0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7"/>
                      <w:sz w:val="20"/>
                      <w:szCs w:val="20"/>
                    </w:rPr>
                    <w:t>10</w:t>
                  </w:r>
                </w:p>
              </w:tc>
              <w:tc>
                <w:tcPr>
                  <w:tcW w:w="2921" w:type="pct"/>
                  <w:tcBorders>
                    <w:tl2br w:val="nil"/>
                    <w:tr2bl w:val="nil"/>
                  </w:tcBorders>
                  <w:shd w:val="clear" w:color="auto" w:fill="auto"/>
                  <w:vAlign w:val="center"/>
                </w:tcPr>
                <w:p w14:paraId="597B20E8">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优化消防验收程序。</w:t>
                  </w:r>
                  <w:r>
                    <w:rPr>
                      <w:rFonts w:ascii="Times New Roman" w:hAnsi="Times New Roman" w:eastAsia="Times New Roman" w:cs="Times New Roman"/>
                      <w:color w:val="auto"/>
                      <w:spacing w:val="8"/>
                      <w:sz w:val="20"/>
                      <w:szCs w:val="20"/>
                      <w:lang w:eastAsia="zh-CN"/>
                    </w:rPr>
                    <w:t>220</w:t>
                  </w:r>
                  <w:r>
                    <w:rPr>
                      <w:rFonts w:ascii="Times New Roman" w:hAnsi="Times New Roman" w:cs="Times New Roman"/>
                      <w:color w:val="auto"/>
                      <w:spacing w:val="8"/>
                      <w:sz w:val="20"/>
                      <w:szCs w:val="20"/>
                      <w:lang w:eastAsia="zh-CN"/>
                    </w:rPr>
                    <w:t>千伏及以上变电站（升</w:t>
                  </w:r>
                  <w:r>
                    <w:rPr>
                      <w:rFonts w:ascii="Times New Roman" w:hAnsi="Times New Roman" w:cs="Times New Roman"/>
                      <w:color w:val="auto"/>
                      <w:spacing w:val="9"/>
                      <w:sz w:val="20"/>
                      <w:szCs w:val="20"/>
                      <w:lang w:eastAsia="zh-CN"/>
                    </w:rPr>
                    <w:t>压站、汇集站）工程应当申请消防设计审查和消</w:t>
                  </w:r>
                  <w:r>
                    <w:rPr>
                      <w:rFonts w:ascii="Times New Roman" w:hAnsi="Times New Roman" w:cs="Times New Roman"/>
                      <w:color w:val="auto"/>
                      <w:spacing w:val="5"/>
                      <w:sz w:val="20"/>
                      <w:szCs w:val="20"/>
                      <w:lang w:eastAsia="zh-CN"/>
                    </w:rPr>
                    <w:t>防验收，</w:t>
                  </w:r>
                  <w:r>
                    <w:rPr>
                      <w:rFonts w:ascii="Times New Roman" w:hAnsi="Times New Roman" w:eastAsia="Times New Roman" w:cs="Times New Roman"/>
                      <w:color w:val="auto"/>
                      <w:spacing w:val="5"/>
                      <w:sz w:val="20"/>
                      <w:szCs w:val="20"/>
                      <w:lang w:eastAsia="zh-CN"/>
                    </w:rPr>
                    <w:t>220</w:t>
                  </w:r>
                  <w:r>
                    <w:rPr>
                      <w:rFonts w:ascii="Times New Roman" w:hAnsi="Times New Roman" w:cs="Times New Roman"/>
                      <w:color w:val="auto"/>
                      <w:spacing w:val="5"/>
                      <w:sz w:val="20"/>
                      <w:szCs w:val="20"/>
                      <w:lang w:eastAsia="zh-CN"/>
                    </w:rPr>
                    <w:t>千伏以下变电站（升压站、汇集站）</w:t>
                  </w:r>
                  <w:r>
                    <w:rPr>
                      <w:rFonts w:ascii="Times New Roman" w:hAnsi="Times New Roman" w:cs="Times New Roman"/>
                      <w:color w:val="auto"/>
                      <w:spacing w:val="8"/>
                      <w:sz w:val="20"/>
                      <w:szCs w:val="20"/>
                      <w:lang w:eastAsia="zh-CN"/>
                    </w:rPr>
                    <w:t>工程只需申报消防验收备案。</w:t>
                  </w:r>
                </w:p>
              </w:tc>
              <w:tc>
                <w:tcPr>
                  <w:tcW w:w="1145" w:type="pct"/>
                  <w:tcBorders>
                    <w:tl2br w:val="nil"/>
                    <w:tr2bl w:val="nil"/>
                  </w:tcBorders>
                  <w:shd w:val="clear" w:color="auto" w:fill="auto"/>
                  <w:vAlign w:val="center"/>
                </w:tcPr>
                <w:p w14:paraId="63AA4DDA">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本项目为输变电</w:t>
                  </w:r>
                  <w:r>
                    <w:rPr>
                      <w:rFonts w:ascii="Times New Roman" w:hAnsi="Times New Roman" w:cs="Times New Roman"/>
                      <w:color w:val="auto"/>
                      <w:spacing w:val="3"/>
                      <w:sz w:val="20"/>
                      <w:szCs w:val="20"/>
                      <w:lang w:eastAsia="zh-CN"/>
                    </w:rPr>
                    <w:t>线路工程，不涉及</w:t>
                  </w:r>
                  <w:r>
                    <w:rPr>
                      <w:rFonts w:ascii="Times New Roman" w:hAnsi="Times New Roman" w:cs="Times New Roman"/>
                      <w:color w:val="auto"/>
                      <w:spacing w:val="8"/>
                      <w:sz w:val="20"/>
                      <w:szCs w:val="20"/>
                      <w:lang w:eastAsia="zh-CN"/>
                    </w:rPr>
                    <w:t>变电站建设</w:t>
                  </w:r>
                </w:p>
              </w:tc>
              <w:tc>
                <w:tcPr>
                  <w:tcW w:w="520" w:type="pct"/>
                  <w:tcBorders>
                    <w:tl2br w:val="nil"/>
                    <w:tr2bl w:val="nil"/>
                  </w:tcBorders>
                  <w:shd w:val="clear" w:color="auto" w:fill="auto"/>
                  <w:vAlign w:val="center"/>
                </w:tcPr>
                <w:p w14:paraId="1779A1C7">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296EB0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252F74CA">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7"/>
                      <w:sz w:val="20"/>
                      <w:szCs w:val="20"/>
                    </w:rPr>
                    <w:t>11</w:t>
                  </w:r>
                </w:p>
              </w:tc>
              <w:tc>
                <w:tcPr>
                  <w:tcW w:w="2921" w:type="pct"/>
                  <w:tcBorders>
                    <w:tl2br w:val="nil"/>
                    <w:tr2bl w:val="nil"/>
                  </w:tcBorders>
                  <w:shd w:val="clear" w:color="auto" w:fill="auto"/>
                  <w:vAlign w:val="center"/>
                </w:tcPr>
                <w:p w14:paraId="28A02A7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强化电力工程质量监督。</w:t>
                  </w:r>
                  <w:r>
                    <w:rPr>
                      <w:rFonts w:ascii="Times New Roman" w:hAnsi="Times New Roman" w:cs="Times New Roman"/>
                      <w:color w:val="auto"/>
                      <w:spacing w:val="8"/>
                      <w:sz w:val="20"/>
                      <w:szCs w:val="20"/>
                      <w:lang w:eastAsia="zh-CN"/>
                    </w:rPr>
                    <w:t>电力建设项目应当</w:t>
                  </w:r>
                  <w:r>
                    <w:rPr>
                      <w:rFonts w:ascii="Times New Roman" w:hAnsi="Times New Roman" w:cs="Times New Roman"/>
                      <w:color w:val="auto"/>
                      <w:spacing w:val="7"/>
                      <w:sz w:val="20"/>
                      <w:szCs w:val="20"/>
                      <w:lang w:eastAsia="zh-CN"/>
                    </w:rPr>
                    <w:t>开展</w:t>
                  </w:r>
                  <w:r>
                    <w:rPr>
                      <w:rFonts w:ascii="Times New Roman" w:hAnsi="Times New Roman" w:cs="Times New Roman"/>
                      <w:color w:val="auto"/>
                      <w:spacing w:val="9"/>
                      <w:sz w:val="20"/>
                      <w:szCs w:val="20"/>
                      <w:lang w:eastAsia="zh-CN"/>
                    </w:rPr>
                    <w:t>质量监督管理，监督主体按《国家能源局关于加</w:t>
                  </w:r>
                  <w:r>
                    <w:rPr>
                      <w:rFonts w:ascii="Times New Roman" w:hAnsi="Times New Roman" w:cs="Times New Roman"/>
                      <w:color w:val="auto"/>
                      <w:spacing w:val="14"/>
                      <w:sz w:val="20"/>
                      <w:szCs w:val="20"/>
                      <w:lang w:eastAsia="zh-CN"/>
                    </w:rPr>
                    <w:t>强电力工程质量监督工作的通知》（国能安全﹝</w:t>
                  </w:r>
                  <w:r>
                    <w:rPr>
                      <w:rFonts w:ascii="Times New Roman" w:hAnsi="Times New Roman" w:eastAsia="Times New Roman" w:cs="Times New Roman"/>
                      <w:color w:val="auto"/>
                      <w:spacing w:val="9"/>
                      <w:sz w:val="20"/>
                      <w:szCs w:val="20"/>
                      <w:lang w:eastAsia="zh-CN"/>
                    </w:rPr>
                    <w:t>2014</w:t>
                  </w:r>
                  <w:r>
                    <w:rPr>
                      <w:rFonts w:ascii="Times New Roman" w:hAnsi="Times New Roman" w:cs="Times New Roman"/>
                      <w:color w:val="auto"/>
                      <w:spacing w:val="9"/>
                      <w:sz w:val="20"/>
                      <w:szCs w:val="20"/>
                      <w:lang w:eastAsia="zh-CN"/>
                    </w:rPr>
                    <w:t>〕</w:t>
                  </w:r>
                  <w:r>
                    <w:rPr>
                      <w:rFonts w:ascii="Times New Roman" w:hAnsi="Times New Roman" w:eastAsia="Times New Roman" w:cs="Times New Roman"/>
                      <w:color w:val="auto"/>
                      <w:spacing w:val="9"/>
                      <w:sz w:val="20"/>
                      <w:szCs w:val="20"/>
                      <w:lang w:eastAsia="zh-CN"/>
                    </w:rPr>
                    <w:t>206</w:t>
                  </w:r>
                  <w:r>
                    <w:rPr>
                      <w:rFonts w:ascii="Times New Roman" w:hAnsi="Times New Roman" w:cs="Times New Roman"/>
                      <w:color w:val="auto"/>
                      <w:spacing w:val="9"/>
                      <w:sz w:val="20"/>
                      <w:szCs w:val="20"/>
                      <w:lang w:eastAsia="zh-CN"/>
                    </w:rPr>
                    <w:t>号）等有关文件规定执行</w:t>
                  </w:r>
                  <w:r>
                    <w:rPr>
                      <w:rFonts w:ascii="Times New Roman" w:hAnsi="Times New Roman" w:cs="Times New Roman"/>
                      <w:color w:val="auto"/>
                      <w:spacing w:val="8"/>
                      <w:sz w:val="20"/>
                      <w:szCs w:val="20"/>
                      <w:lang w:eastAsia="zh-CN"/>
                    </w:rPr>
                    <w:t>，项目建</w:t>
                  </w:r>
                  <w:r>
                    <w:rPr>
                      <w:rFonts w:ascii="Times New Roman" w:hAnsi="Times New Roman" w:cs="Times New Roman"/>
                      <w:color w:val="auto"/>
                      <w:spacing w:val="14"/>
                      <w:sz w:val="20"/>
                      <w:szCs w:val="20"/>
                      <w:lang w:eastAsia="zh-CN"/>
                    </w:rPr>
                    <w:t>成后由电力建设工程质量监督机构核发建设工</w:t>
                  </w:r>
                  <w:r>
                    <w:rPr>
                      <w:rFonts w:ascii="Times New Roman" w:hAnsi="Times New Roman" w:cs="Times New Roman"/>
                      <w:color w:val="auto"/>
                      <w:spacing w:val="9"/>
                      <w:sz w:val="20"/>
                      <w:szCs w:val="20"/>
                      <w:lang w:eastAsia="zh-CN"/>
                    </w:rPr>
                    <w:t>程竣工验收备案表，作为建设企业办理不动产权</w:t>
                  </w:r>
                  <w:r>
                    <w:rPr>
                      <w:rFonts w:ascii="Times New Roman" w:hAnsi="Times New Roman" w:cs="Times New Roman"/>
                      <w:color w:val="auto"/>
                      <w:spacing w:val="5"/>
                      <w:sz w:val="20"/>
                      <w:szCs w:val="20"/>
                      <w:lang w:eastAsia="zh-CN"/>
                    </w:rPr>
                    <w:t>证的材料。</w:t>
                  </w:r>
                </w:p>
              </w:tc>
              <w:tc>
                <w:tcPr>
                  <w:tcW w:w="1145" w:type="pct"/>
                  <w:tcBorders>
                    <w:tl2br w:val="nil"/>
                    <w:tr2bl w:val="nil"/>
                  </w:tcBorders>
                  <w:shd w:val="clear" w:color="auto" w:fill="auto"/>
                  <w:vAlign w:val="center"/>
                </w:tcPr>
                <w:p w14:paraId="238B1E0F">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项目建设过程中</w:t>
                  </w:r>
                  <w:r>
                    <w:rPr>
                      <w:rFonts w:ascii="Times New Roman" w:hAnsi="Times New Roman" w:cs="Times New Roman"/>
                      <w:color w:val="auto"/>
                      <w:spacing w:val="4"/>
                      <w:sz w:val="20"/>
                      <w:szCs w:val="20"/>
                      <w:lang w:eastAsia="zh-CN"/>
                    </w:rPr>
                    <w:t>按《国家能源局关</w:t>
                  </w:r>
                  <w:r>
                    <w:rPr>
                      <w:rFonts w:ascii="Times New Roman" w:hAnsi="Times New Roman" w:cs="Times New Roman"/>
                      <w:color w:val="auto"/>
                      <w:spacing w:val="21"/>
                      <w:sz w:val="20"/>
                      <w:szCs w:val="20"/>
                      <w:lang w:eastAsia="zh-CN"/>
                    </w:rPr>
                    <w:t>于加强电力工程质量监督工作的</w:t>
                  </w:r>
                  <w:r>
                    <w:rPr>
                      <w:rFonts w:ascii="Times New Roman" w:hAnsi="Times New Roman" w:cs="Times New Roman"/>
                      <w:color w:val="auto"/>
                      <w:spacing w:val="4"/>
                      <w:sz w:val="20"/>
                      <w:szCs w:val="20"/>
                      <w:lang w:eastAsia="zh-CN"/>
                    </w:rPr>
                    <w:t>通知》（国能安全﹝</w:t>
                  </w:r>
                  <w:r>
                    <w:rPr>
                      <w:rFonts w:ascii="Times New Roman" w:hAnsi="Times New Roman" w:eastAsia="Times New Roman" w:cs="Times New Roman"/>
                      <w:color w:val="auto"/>
                      <w:spacing w:val="4"/>
                      <w:sz w:val="20"/>
                      <w:szCs w:val="20"/>
                      <w:lang w:eastAsia="zh-CN"/>
                    </w:rPr>
                    <w:t>2014</w:t>
                  </w:r>
                  <w:r>
                    <w:rPr>
                      <w:rFonts w:ascii="Times New Roman" w:hAnsi="Times New Roman" w:cs="Times New Roman"/>
                      <w:color w:val="auto"/>
                      <w:spacing w:val="4"/>
                      <w:sz w:val="20"/>
                      <w:szCs w:val="20"/>
                      <w:lang w:eastAsia="zh-CN"/>
                    </w:rPr>
                    <w:t>〕</w:t>
                  </w:r>
                  <w:r>
                    <w:rPr>
                      <w:rFonts w:ascii="Times New Roman" w:hAnsi="Times New Roman" w:eastAsia="Times New Roman" w:cs="Times New Roman"/>
                      <w:color w:val="auto"/>
                      <w:spacing w:val="4"/>
                      <w:sz w:val="20"/>
                      <w:szCs w:val="20"/>
                      <w:lang w:eastAsia="zh-CN"/>
                    </w:rPr>
                    <w:t>206</w:t>
                  </w:r>
                  <w:r>
                    <w:rPr>
                      <w:rFonts w:ascii="Times New Roman" w:hAnsi="Times New Roman" w:cs="Times New Roman"/>
                      <w:color w:val="auto"/>
                      <w:spacing w:val="4"/>
                      <w:sz w:val="20"/>
                      <w:szCs w:val="20"/>
                      <w:lang w:eastAsia="zh-CN"/>
                    </w:rPr>
                    <w:t>号</w:t>
                  </w:r>
                  <w:r>
                    <w:rPr>
                      <w:rFonts w:hint="eastAsia" w:ascii="Times New Roman" w:hAnsi="Times New Roman" w:cs="Times New Roman"/>
                      <w:color w:val="auto"/>
                      <w:spacing w:val="4"/>
                      <w:sz w:val="20"/>
                      <w:szCs w:val="20"/>
                      <w:lang w:eastAsia="zh-CN"/>
                    </w:rPr>
                    <w:t>）</w:t>
                  </w:r>
                  <w:r>
                    <w:rPr>
                      <w:rFonts w:ascii="Times New Roman" w:hAnsi="Times New Roman" w:cs="Times New Roman"/>
                      <w:color w:val="auto"/>
                      <w:spacing w:val="21"/>
                      <w:sz w:val="20"/>
                      <w:szCs w:val="20"/>
                      <w:lang w:eastAsia="zh-CN"/>
                    </w:rPr>
                    <w:t>有关文件规定执行质量监督管理</w:t>
                  </w:r>
                </w:p>
              </w:tc>
              <w:tc>
                <w:tcPr>
                  <w:tcW w:w="520" w:type="pct"/>
                  <w:tcBorders>
                    <w:tl2br w:val="nil"/>
                    <w:tr2bl w:val="nil"/>
                  </w:tcBorders>
                  <w:shd w:val="clear" w:color="auto" w:fill="auto"/>
                  <w:vAlign w:val="center"/>
                </w:tcPr>
                <w:p w14:paraId="2B0CE9B6">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3"/>
                      <w:sz w:val="20"/>
                      <w:szCs w:val="20"/>
                    </w:rPr>
                    <w:t>符合</w:t>
                  </w:r>
                </w:p>
              </w:tc>
            </w:tr>
            <w:tr w14:paraId="119DF5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2" w:type="pct"/>
                  <w:tcBorders>
                    <w:tl2br w:val="nil"/>
                    <w:tr2bl w:val="nil"/>
                  </w:tcBorders>
                  <w:shd w:val="clear" w:color="auto" w:fill="auto"/>
                  <w:vAlign w:val="center"/>
                </w:tcPr>
                <w:p w14:paraId="16817F78">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rPr>
                  </w:pPr>
                  <w:r>
                    <w:rPr>
                      <w:rFonts w:ascii="Times New Roman" w:hAnsi="Times New Roman" w:cs="Times New Roman"/>
                      <w:color w:val="auto"/>
                      <w:spacing w:val="-7"/>
                      <w:sz w:val="20"/>
                      <w:szCs w:val="20"/>
                    </w:rPr>
                    <w:t>12</w:t>
                  </w:r>
                </w:p>
              </w:tc>
              <w:tc>
                <w:tcPr>
                  <w:tcW w:w="2921" w:type="pct"/>
                  <w:tcBorders>
                    <w:tl2br w:val="nil"/>
                    <w:tr2bl w:val="nil"/>
                  </w:tcBorders>
                  <w:shd w:val="clear" w:color="auto" w:fill="auto"/>
                  <w:vAlign w:val="center"/>
                </w:tcPr>
                <w:p w14:paraId="0103CDA7">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b/>
                      <w:bCs/>
                      <w:color w:val="auto"/>
                      <w:spacing w:val="8"/>
                      <w:sz w:val="20"/>
                      <w:szCs w:val="20"/>
                      <w:lang w:eastAsia="zh-CN"/>
                    </w:rPr>
                    <w:t>加强施工管理和服务保障。</w:t>
                  </w:r>
                  <w:r>
                    <w:rPr>
                      <w:rFonts w:ascii="Times New Roman" w:hAnsi="Times New Roman" w:cs="Times New Roman"/>
                      <w:color w:val="auto"/>
                      <w:spacing w:val="8"/>
                      <w:sz w:val="20"/>
                      <w:szCs w:val="20"/>
                      <w:lang w:eastAsia="zh-CN"/>
                    </w:rPr>
                    <w:t>电力建设项目施工过</w:t>
                  </w:r>
                  <w:r>
                    <w:rPr>
                      <w:rFonts w:ascii="Times New Roman" w:hAnsi="Times New Roman" w:cs="Times New Roman"/>
                      <w:color w:val="auto"/>
                      <w:spacing w:val="9"/>
                      <w:sz w:val="20"/>
                      <w:szCs w:val="20"/>
                      <w:lang w:eastAsia="zh-CN"/>
                    </w:rPr>
                    <w:t>程中，各县（市、区）人民政府、曲靖经开区管委会应当做好协调、服务、保障工作，防范恶意索赔、重复索赔、无理阻挠施工或破坏电网项目</w:t>
                  </w:r>
                  <w:r>
                    <w:rPr>
                      <w:rFonts w:ascii="Times New Roman" w:hAnsi="Times New Roman" w:cs="Times New Roman"/>
                      <w:color w:val="auto"/>
                      <w:spacing w:val="6"/>
                      <w:sz w:val="20"/>
                      <w:szCs w:val="20"/>
                      <w:lang w:eastAsia="zh-CN"/>
                    </w:rPr>
                    <w:t>建设的行为。</w:t>
                  </w:r>
                </w:p>
              </w:tc>
              <w:tc>
                <w:tcPr>
                  <w:tcW w:w="1145" w:type="pct"/>
                  <w:tcBorders>
                    <w:tl2br w:val="nil"/>
                    <w:tr2bl w:val="nil"/>
                  </w:tcBorders>
                  <w:shd w:val="clear" w:color="auto" w:fill="auto"/>
                  <w:vAlign w:val="center"/>
                </w:tcPr>
                <w:p w14:paraId="09F535D8">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8"/>
                      <w:sz w:val="20"/>
                      <w:szCs w:val="20"/>
                      <w:lang w:eastAsia="zh-CN"/>
                    </w:rPr>
                    <w:t>项目已经取得会泽县各相关部门同意项目</w:t>
                  </w:r>
                  <w:r>
                    <w:rPr>
                      <w:rFonts w:ascii="Times New Roman" w:hAnsi="Times New Roman" w:cs="Times New Roman"/>
                      <w:color w:val="auto"/>
                      <w:spacing w:val="6"/>
                      <w:sz w:val="20"/>
                      <w:szCs w:val="20"/>
                      <w:lang w:eastAsia="zh-CN"/>
                    </w:rPr>
                    <w:t>建设意见</w:t>
                  </w:r>
                </w:p>
              </w:tc>
              <w:tc>
                <w:tcPr>
                  <w:tcW w:w="520" w:type="pct"/>
                  <w:tcBorders>
                    <w:tl2br w:val="nil"/>
                    <w:tr2bl w:val="nil"/>
                  </w:tcBorders>
                  <w:shd w:val="clear" w:color="auto" w:fill="auto"/>
                  <w:vAlign w:val="center"/>
                </w:tcPr>
                <w:p w14:paraId="1F1F5F76">
                  <w:pPr>
                    <w:pStyle w:val="74"/>
                    <w:widowControl/>
                    <w:overflowPunct w:val="0"/>
                    <w:topLinePunct/>
                    <w:autoSpaceDE w:val="0"/>
                    <w:autoSpaceDN w:val="0"/>
                    <w:adjustRightInd w:val="0"/>
                    <w:snapToGrid w:val="0"/>
                    <w:jc w:val="center"/>
                    <w:textAlignment w:val="baseline"/>
                    <w:rPr>
                      <w:rFonts w:ascii="Times New Roman" w:hAnsi="Times New Roman" w:cs="Times New Roman"/>
                      <w:color w:val="auto"/>
                      <w:sz w:val="20"/>
                      <w:szCs w:val="20"/>
                      <w:lang w:eastAsia="zh-CN"/>
                    </w:rPr>
                  </w:pPr>
                  <w:r>
                    <w:rPr>
                      <w:rFonts w:ascii="Times New Roman" w:hAnsi="Times New Roman" w:cs="Times New Roman"/>
                      <w:color w:val="auto"/>
                      <w:spacing w:val="3"/>
                      <w:sz w:val="20"/>
                      <w:szCs w:val="20"/>
                      <w:lang w:eastAsia="zh-CN"/>
                    </w:rPr>
                    <w:t>符合</w:t>
                  </w:r>
                </w:p>
              </w:tc>
            </w:tr>
          </w:tbl>
          <w:p w14:paraId="73DFA6C5">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从上表可以看出，本项目符合《曲靖市加快电网规划建设十四条措施（试行）的通知》（曲政办发〔2023〕26号）的相关要求。</w:t>
            </w:r>
          </w:p>
          <w:p w14:paraId="660DBA67">
            <w:pPr>
              <w:autoSpaceDE w:val="0"/>
              <w:autoSpaceDN w:val="0"/>
              <w:adjustRightInd w:val="0"/>
              <w:snapToGrid w:val="0"/>
              <w:spacing w:line="440" w:lineRule="exact"/>
              <w:ind w:firstLine="482" w:firstLineChars="200"/>
              <w:rPr>
                <w:rFonts w:ascii="Times New Roman" w:hAnsi="Times New Roman"/>
                <w:b/>
                <w:bCs/>
                <w:color w:val="auto"/>
                <w:sz w:val="24"/>
                <w:szCs w:val="20"/>
              </w:rPr>
            </w:pPr>
            <w:r>
              <w:rPr>
                <w:rFonts w:hint="eastAsia" w:ascii="Times New Roman" w:hAnsi="Times New Roman"/>
                <w:b/>
                <w:color w:val="auto"/>
                <w:kern w:val="0"/>
                <w:sz w:val="24"/>
                <w:szCs w:val="20"/>
              </w:rPr>
              <w:t>13、</w:t>
            </w:r>
            <w:r>
              <w:rPr>
                <w:rFonts w:ascii="Times New Roman" w:hAnsi="Times New Roman"/>
                <w:b/>
                <w:color w:val="auto"/>
                <w:kern w:val="0"/>
                <w:sz w:val="24"/>
                <w:szCs w:val="20"/>
              </w:rPr>
              <w:t>与</w:t>
            </w:r>
            <w:r>
              <w:rPr>
                <w:rFonts w:hint="eastAsia" w:ascii="Times New Roman" w:hAnsi="Times New Roman"/>
                <w:b/>
                <w:bCs/>
                <w:color w:val="auto"/>
                <w:sz w:val="24"/>
                <w:szCs w:val="20"/>
              </w:rPr>
              <w:t>《牛栏江流域（云南部分）水环境保护规划（2009-2030）》（云政复﹝2010﹞21号）符合性</w:t>
            </w:r>
          </w:p>
          <w:p w14:paraId="37B4FA21">
            <w:pPr>
              <w:autoSpaceDE w:val="0"/>
              <w:autoSpaceDN w:val="0"/>
              <w:adjustRightInd w:val="0"/>
              <w:snapToGrid w:val="0"/>
              <w:spacing w:line="440" w:lineRule="exact"/>
              <w:ind w:firstLine="480" w:firstLineChars="200"/>
              <w:rPr>
                <w:rFonts w:ascii="Times New Roman" w:hAnsi="Times New Roman"/>
                <w:color w:val="auto"/>
                <w:sz w:val="24"/>
                <w:szCs w:val="20"/>
              </w:rPr>
            </w:pPr>
            <w:r>
              <w:rPr>
                <w:rFonts w:hint="eastAsia" w:ascii="Times New Roman" w:hAnsi="Times New Roman"/>
                <w:color w:val="auto"/>
                <w:sz w:val="24"/>
                <w:szCs w:val="20"/>
              </w:rPr>
              <w:t>2009年11月，云南省环境保护厅、云南省水利厅联合组织编制完成了《牛栏江流域（云南部分）水环境保护规划（2009-2030）》，2010年5月24日，云南省人民政府以“云</w:t>
            </w:r>
            <w:r>
              <w:rPr>
                <w:rFonts w:ascii="Times New Roman" w:hAnsi="Times New Roman"/>
                <w:color w:val="auto"/>
                <w:sz w:val="24"/>
                <w:szCs w:val="20"/>
              </w:rPr>
              <w:t>政复﹝2010﹞21号</w:t>
            </w:r>
            <w:r>
              <w:rPr>
                <w:rFonts w:hint="eastAsia" w:ascii="Times New Roman" w:hAnsi="Times New Roman"/>
                <w:color w:val="auto"/>
                <w:sz w:val="24"/>
                <w:szCs w:val="20"/>
              </w:rPr>
              <w:t>”批复了规划。根据规划，</w:t>
            </w:r>
            <w:r>
              <w:rPr>
                <w:rFonts w:ascii="Times New Roman" w:hAnsi="Times New Roman"/>
                <w:color w:val="auto"/>
                <w:sz w:val="24"/>
                <w:szCs w:val="20"/>
              </w:rPr>
              <w:t>范围为牛栏江流域（云南部分），干流全长440km，流域面积13675km</w:t>
            </w:r>
            <w:r>
              <w:rPr>
                <w:rFonts w:ascii="Times New Roman" w:hAnsi="Times New Roman"/>
                <w:color w:val="auto"/>
                <w:sz w:val="24"/>
                <w:szCs w:val="20"/>
                <w:vertAlign w:val="superscript"/>
              </w:rPr>
              <w:t>2</w:t>
            </w:r>
            <w:r>
              <w:rPr>
                <w:rFonts w:ascii="Times New Roman" w:hAnsi="Times New Roman"/>
                <w:color w:val="auto"/>
                <w:sz w:val="24"/>
                <w:szCs w:val="20"/>
              </w:rPr>
              <w:t>，包括昆明、曲靖、昭通3市的10个县（市、区）、46个乡镇。其中，牛栏江干流拟建牛栏江—滇池补</w:t>
            </w:r>
            <w:r>
              <w:rPr>
                <w:rFonts w:hint="eastAsia" w:ascii="Times New Roman" w:hAnsi="Times New Roman"/>
                <w:color w:val="auto"/>
                <w:sz w:val="24"/>
                <w:szCs w:val="20"/>
              </w:rPr>
              <w:t>水枢</w:t>
            </w:r>
            <w:r>
              <w:rPr>
                <w:rFonts w:ascii="Times New Roman" w:hAnsi="Times New Roman"/>
                <w:color w:val="auto"/>
                <w:sz w:val="24"/>
                <w:szCs w:val="20"/>
              </w:rPr>
              <w:t>纽工程德泽水库坝址上游的流域范围为调水水源区，干流河长172km，流域面积4551km</w:t>
            </w:r>
            <w:r>
              <w:rPr>
                <w:rFonts w:ascii="Times New Roman" w:hAnsi="Times New Roman"/>
                <w:color w:val="auto"/>
                <w:sz w:val="24"/>
                <w:szCs w:val="20"/>
                <w:vertAlign w:val="superscript"/>
              </w:rPr>
              <w:t>2</w:t>
            </w:r>
            <w:r>
              <w:rPr>
                <w:rFonts w:ascii="Times New Roman" w:hAnsi="Times New Roman"/>
                <w:color w:val="auto"/>
                <w:sz w:val="24"/>
                <w:szCs w:val="20"/>
              </w:rPr>
              <w:t>，包括昆明、曲靖2市6县（区）21个乡（镇）；牛栏江干流拟建德泽水库坝址以下的流域范围为下游区，干流河长268km，流域面积9121km</w:t>
            </w:r>
            <w:r>
              <w:rPr>
                <w:rFonts w:ascii="Times New Roman" w:hAnsi="Times New Roman"/>
                <w:color w:val="auto"/>
                <w:sz w:val="24"/>
                <w:szCs w:val="20"/>
                <w:vertAlign w:val="superscript"/>
              </w:rPr>
              <w:t>2</w:t>
            </w:r>
            <w:r>
              <w:rPr>
                <w:rFonts w:ascii="Times New Roman" w:hAnsi="Times New Roman"/>
                <w:color w:val="auto"/>
                <w:sz w:val="24"/>
                <w:szCs w:val="20"/>
              </w:rPr>
              <w:t>，包括宣威市、会泽县、鲁甸县、巧家县、昭阳区2市5县（市、区）25个乡（镇）。其中调水水源区（Ⅰ区）分为水源保护核心区（Ⅰ</w:t>
            </w:r>
            <w:r>
              <w:rPr>
                <w:rFonts w:ascii="Times New Roman" w:hAnsi="Times New Roman"/>
                <w:color w:val="auto"/>
                <w:sz w:val="24"/>
                <w:szCs w:val="20"/>
                <w:vertAlign w:val="subscript"/>
              </w:rPr>
              <w:t>1</w:t>
            </w:r>
            <w:r>
              <w:rPr>
                <w:rFonts w:ascii="Times New Roman" w:hAnsi="Times New Roman"/>
                <w:color w:val="auto"/>
                <w:sz w:val="24"/>
                <w:szCs w:val="20"/>
              </w:rPr>
              <w:t>区）、重点污染控制区（Ⅰ</w:t>
            </w:r>
            <w:r>
              <w:rPr>
                <w:rFonts w:ascii="Times New Roman" w:hAnsi="Times New Roman"/>
                <w:color w:val="auto"/>
                <w:sz w:val="24"/>
                <w:szCs w:val="20"/>
                <w:vertAlign w:val="subscript"/>
              </w:rPr>
              <w:t>2</w:t>
            </w:r>
            <w:r>
              <w:rPr>
                <w:rFonts w:ascii="Times New Roman" w:hAnsi="Times New Roman"/>
                <w:color w:val="auto"/>
                <w:sz w:val="24"/>
                <w:szCs w:val="20"/>
              </w:rPr>
              <w:t>区）、水源涵养区（Ⅰ</w:t>
            </w:r>
            <w:r>
              <w:rPr>
                <w:rFonts w:ascii="Times New Roman" w:hAnsi="Times New Roman"/>
                <w:color w:val="auto"/>
                <w:sz w:val="24"/>
                <w:szCs w:val="20"/>
                <w:vertAlign w:val="subscript"/>
              </w:rPr>
              <w:t>3</w:t>
            </w:r>
            <w:r>
              <w:rPr>
                <w:rFonts w:ascii="Times New Roman" w:hAnsi="Times New Roman"/>
                <w:color w:val="auto"/>
                <w:sz w:val="24"/>
                <w:szCs w:val="20"/>
              </w:rPr>
              <w:t>区），下游区（Ⅱ区）分为污染控制区（Ⅱ</w:t>
            </w:r>
            <w:r>
              <w:rPr>
                <w:rFonts w:ascii="Times New Roman" w:hAnsi="Times New Roman"/>
                <w:color w:val="auto"/>
                <w:sz w:val="24"/>
                <w:szCs w:val="20"/>
                <w:vertAlign w:val="subscript"/>
              </w:rPr>
              <w:t>1</w:t>
            </w:r>
            <w:r>
              <w:rPr>
                <w:rFonts w:ascii="Times New Roman" w:hAnsi="Times New Roman"/>
                <w:color w:val="auto"/>
                <w:sz w:val="24"/>
                <w:szCs w:val="20"/>
              </w:rPr>
              <w:t>区）和水源涵养区（Ⅱ</w:t>
            </w:r>
            <w:r>
              <w:rPr>
                <w:rFonts w:ascii="Times New Roman" w:hAnsi="Times New Roman"/>
                <w:color w:val="auto"/>
                <w:sz w:val="24"/>
                <w:szCs w:val="20"/>
                <w:vertAlign w:val="subscript"/>
              </w:rPr>
              <w:t>2</w:t>
            </w:r>
            <w:r>
              <w:rPr>
                <w:rFonts w:ascii="Times New Roman" w:hAnsi="Times New Roman"/>
                <w:color w:val="auto"/>
                <w:sz w:val="24"/>
                <w:szCs w:val="20"/>
              </w:rPr>
              <w:t>区）。</w:t>
            </w:r>
            <w:r>
              <w:rPr>
                <w:rFonts w:ascii="Times New Roman" w:hAnsi="Times New Roman"/>
                <w:color w:val="auto"/>
                <w:sz w:val="24"/>
                <w:szCs w:val="20"/>
              </w:rPr>
              <w:fldChar w:fldCharType="begin"/>
            </w:r>
            <w:r>
              <w:rPr>
                <w:rFonts w:ascii="Times New Roman" w:hAnsi="Times New Roman"/>
                <w:color w:val="auto"/>
                <w:sz w:val="24"/>
                <w:szCs w:val="20"/>
              </w:rPr>
              <w:instrText xml:space="preserve"> = 2 \* ROMAN </w:instrText>
            </w:r>
            <w:r>
              <w:rPr>
                <w:rFonts w:ascii="Times New Roman" w:hAnsi="Times New Roman"/>
                <w:color w:val="auto"/>
                <w:sz w:val="24"/>
                <w:szCs w:val="20"/>
              </w:rPr>
              <w:fldChar w:fldCharType="separate"/>
            </w:r>
            <w:r>
              <w:rPr>
                <w:rFonts w:hint="eastAsia" w:ascii="Times New Roman" w:hAnsi="Times New Roman"/>
                <w:color w:val="auto"/>
                <w:sz w:val="24"/>
                <w:szCs w:val="20"/>
              </w:rPr>
              <w:t>Ⅱ</w:t>
            </w:r>
            <w:r>
              <w:rPr>
                <w:rFonts w:ascii="Times New Roman" w:hAnsi="Times New Roman"/>
                <w:color w:val="auto"/>
                <w:sz w:val="24"/>
                <w:szCs w:val="20"/>
              </w:rPr>
              <w:fldChar w:fldCharType="end"/>
            </w:r>
            <w:r>
              <w:rPr>
                <w:rFonts w:ascii="Times New Roman" w:hAnsi="Times New Roman"/>
                <w:color w:val="auto"/>
                <w:sz w:val="24"/>
                <w:szCs w:val="20"/>
              </w:rPr>
              <w:t>区牛栏江下游</w:t>
            </w:r>
            <w:r>
              <w:rPr>
                <w:rFonts w:hint="eastAsia" w:ascii="Times New Roman" w:hAnsi="Times New Roman"/>
                <w:color w:val="auto"/>
                <w:sz w:val="24"/>
                <w:szCs w:val="20"/>
              </w:rPr>
              <w:t>生态功能保护区</w:t>
            </w:r>
            <w:r>
              <w:rPr>
                <w:rFonts w:ascii="Times New Roman" w:hAnsi="Times New Roman"/>
                <w:color w:val="auto"/>
                <w:sz w:val="24"/>
                <w:szCs w:val="20"/>
              </w:rPr>
              <w:t>：为牛栏江流域下游区（德泽水库以下）的牛栏江流域云南段至昭通市昭阳区麻耗村附近注入金沙江区域。</w:t>
            </w:r>
          </w:p>
          <w:p w14:paraId="34EC8F5E">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snapToGrid w:val="0"/>
                <w:color w:val="auto"/>
                <w:sz w:val="24"/>
                <w:szCs w:val="20"/>
              </w:rPr>
              <w:t>本项目为输变电工程，位于</w:t>
            </w:r>
            <w:r>
              <w:rPr>
                <w:rFonts w:hint="eastAsia" w:ascii="Times New Roman" w:hAnsi="Times New Roman"/>
                <w:snapToGrid w:val="0"/>
                <w:color w:val="auto"/>
                <w:sz w:val="24"/>
                <w:szCs w:val="20"/>
              </w:rPr>
              <w:t>会泽县乐业镇境内</w:t>
            </w:r>
            <w:r>
              <w:rPr>
                <w:rFonts w:ascii="Times New Roman" w:hAnsi="Times New Roman"/>
                <w:snapToGrid w:val="0"/>
                <w:color w:val="auto"/>
                <w:sz w:val="24"/>
                <w:szCs w:val="20"/>
              </w:rPr>
              <w:t>，</w:t>
            </w:r>
            <w:r>
              <w:rPr>
                <w:rFonts w:ascii="Times New Roman" w:hAnsi="Times New Roman"/>
                <w:color w:val="auto"/>
                <w:sz w:val="24"/>
              </w:rPr>
              <w:t>项目区域涉及地表水主要为六河、龚家冲小河、酸梨树大箐（后河）、西沙冲、卡子河及淌水河，线路塔基N4～N5之间跨越六河、线路塔基N23～N24之间跨越龚家冲小河、线路塔基N39～N40之间跨越后河、线路塔基N50～N51之间跨越西沙冲、线路塔基N57～N58之间跨越卡子河、项目终点段位于淌水河南侧，最近距离为210米</w:t>
            </w:r>
            <w:r>
              <w:rPr>
                <w:rFonts w:hint="eastAsia" w:ascii="Times New Roman" w:hAnsi="Times New Roman"/>
                <w:color w:val="auto"/>
                <w:sz w:val="24"/>
              </w:rPr>
              <w:t>，淌水河为硝厂河支流，硝厂河由南向北汇入牛栏江。</w:t>
            </w:r>
            <w:r>
              <w:rPr>
                <w:rFonts w:ascii="Times New Roman" w:hAnsi="Times New Roman"/>
                <w:color w:val="auto"/>
                <w:sz w:val="24"/>
              </w:rPr>
              <w:t>六河、龚家冲小河、后河、西沙冲、卡子河等均为乐业大河支流，乐业大河由南向北汇入牛栏江。</w:t>
            </w:r>
          </w:p>
          <w:p w14:paraId="7244D8A5">
            <w:pPr>
              <w:autoSpaceDE w:val="0"/>
              <w:autoSpaceDN w:val="0"/>
              <w:adjustRightInd w:val="0"/>
              <w:snapToGrid w:val="0"/>
              <w:spacing w:line="440" w:lineRule="exact"/>
              <w:ind w:firstLine="480" w:firstLineChars="200"/>
              <w:rPr>
                <w:rFonts w:ascii="Times New Roman" w:hAnsi="Times New Roman"/>
                <w:snapToGrid w:val="0"/>
                <w:color w:val="auto"/>
                <w:sz w:val="24"/>
                <w:szCs w:val="20"/>
              </w:rPr>
            </w:pPr>
            <w:r>
              <w:rPr>
                <w:rFonts w:hint="eastAsia" w:ascii="Times New Roman" w:hAnsi="Times New Roman"/>
                <w:snapToGrid w:val="0"/>
                <w:color w:val="auto"/>
                <w:sz w:val="24"/>
                <w:szCs w:val="20"/>
              </w:rPr>
              <w:t>根据对照牛栏江流域（云南部分）水环境保护规划区，项目位于牛栏江水源涵养区（Ⅱ</w:t>
            </w:r>
            <w:r>
              <w:rPr>
                <w:rFonts w:hint="eastAsia" w:ascii="Times New Roman" w:hAnsi="Times New Roman"/>
                <w:snapToGrid w:val="0"/>
                <w:color w:val="auto"/>
                <w:sz w:val="24"/>
                <w:szCs w:val="20"/>
                <w:vertAlign w:val="subscript"/>
              </w:rPr>
              <w:t>2</w:t>
            </w:r>
            <w:r>
              <w:rPr>
                <w:rFonts w:hint="eastAsia" w:ascii="Times New Roman" w:hAnsi="Times New Roman"/>
                <w:snapToGrid w:val="0"/>
                <w:color w:val="auto"/>
                <w:sz w:val="24"/>
                <w:szCs w:val="20"/>
              </w:rPr>
              <w:t>区）。</w:t>
            </w:r>
          </w:p>
          <w:p w14:paraId="5638276E">
            <w:pPr>
              <w:autoSpaceDE w:val="0"/>
              <w:autoSpaceDN w:val="0"/>
              <w:adjustRightInd w:val="0"/>
              <w:snapToGrid w:val="0"/>
              <w:jc w:val="center"/>
              <w:rPr>
                <w:rFonts w:ascii="Times New Roman" w:hAnsi="Times New Roman"/>
                <w:color w:val="auto"/>
                <w:sz w:val="24"/>
                <w:szCs w:val="20"/>
              </w:rPr>
            </w:pPr>
            <w:r>
              <w:rPr>
                <w:rFonts w:ascii="Times New Roman" w:hAnsi="Times New Roman"/>
                <w:color w:val="auto"/>
                <w:sz w:val="24"/>
                <w:szCs w:val="20"/>
              </w:rPr>
              <mc:AlternateContent>
                <mc:Choice Requires="wps">
                  <w:drawing>
                    <wp:anchor distT="0" distB="0" distL="114300" distR="114300" simplePos="0" relativeHeight="251659264" behindDoc="0" locked="0" layoutInCell="1" allowOverlap="1">
                      <wp:simplePos x="0" y="0"/>
                      <wp:positionH relativeFrom="column">
                        <wp:posOffset>3560445</wp:posOffset>
                      </wp:positionH>
                      <wp:positionV relativeFrom="paragraph">
                        <wp:posOffset>1862455</wp:posOffset>
                      </wp:positionV>
                      <wp:extent cx="871855" cy="304800"/>
                      <wp:effectExtent l="1624965" t="4445" r="17780" b="719455"/>
                      <wp:wrapNone/>
                      <wp:docPr id="15" name="圆角矩形标注 12"/>
                      <wp:cNvGraphicFramePr/>
                      <a:graphic xmlns:a="http://schemas.openxmlformats.org/drawingml/2006/main">
                        <a:graphicData uri="http://schemas.microsoft.com/office/word/2010/wordprocessingShape">
                          <wps:wsp>
                            <wps:cNvSpPr/>
                            <wps:spPr>
                              <a:xfrm>
                                <a:off x="0" y="0"/>
                                <a:ext cx="871855" cy="304800"/>
                              </a:xfrm>
                              <a:prstGeom prst="wedgeRoundRectCallout">
                                <a:avLst>
                                  <a:gd name="adj1" fmla="val -232130"/>
                                  <a:gd name="adj2" fmla="val 2775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F387FCC">
                                  <w:pPr>
                                    <w:adjustRightInd w:val="0"/>
                                    <w:snapToGrid w:val="0"/>
                                    <w:rPr>
                                      <w:b/>
                                      <w:bCs/>
                                      <w:color w:val="FF0000"/>
                                    </w:rPr>
                                  </w:pPr>
                                  <w:r>
                                    <w:rPr>
                                      <w:rFonts w:hint="eastAsia"/>
                                      <w:b/>
                                      <w:bCs/>
                                      <w:color w:val="FF0000"/>
                                    </w:rPr>
                                    <w:t>项目位置</w:t>
                                  </w:r>
                                </w:p>
                              </w:txbxContent>
                            </wps:txbx>
                            <wps:bodyPr upright="1"/>
                          </wps:wsp>
                        </a:graphicData>
                      </a:graphic>
                    </wp:anchor>
                  </w:drawing>
                </mc:Choice>
                <mc:Fallback>
                  <w:pict>
                    <v:shape id="圆角矩形标注 12" o:spid="_x0000_s1026" o:spt="62" type="#_x0000_t62" style="position:absolute;left:0pt;margin-left:280.35pt;margin-top:146.65pt;height:24pt;width:68.65pt;z-index:251659264;mso-width-relative:page;mso-height-relative:page;" fillcolor="#FFFFFF" filled="t" stroked="t" coordsize="21600,21600" o:gfxdata="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YAHEs1wAAAAsB&#10;AAAPAAAAAAAAAAEAIAAAACIAAABkcnMvZG93bnJldi54bWxQSwECFAAUAAAACACHTuJAGFKWblUC&#10;AAC/BAAADgAAAAAAAAABACAAAAAmAQAAZHJzL2Uyb0RvYy54bWxQSwUGAAAAAAYABgBZAQAA7QUA&#10;AAAA&#10;" adj="-39340,70740,14400">
                      <v:fill on="t" focussize="0,0"/>
                      <v:stroke color="#000000" joinstyle="miter"/>
                      <v:imagedata o:title=""/>
                      <o:lock v:ext="edit" aspectratio="f"/>
                      <v:textbox>
                        <w:txbxContent>
                          <w:p w14:paraId="4F387FCC">
                            <w:pPr>
                              <w:adjustRightInd w:val="0"/>
                              <w:snapToGrid w:val="0"/>
                              <w:rPr>
                                <w:b/>
                                <w:bCs/>
                                <w:color w:val="FF0000"/>
                              </w:rPr>
                            </w:pPr>
                            <w:r>
                              <w:rPr>
                                <w:rFonts w:hint="eastAsia"/>
                                <w:b/>
                                <w:bCs/>
                                <w:color w:val="FF0000"/>
                              </w:rPr>
                              <w:t>项目位置</w:t>
                            </w:r>
                          </w:p>
                        </w:txbxContent>
                      </v:textbox>
                    </v:shape>
                  </w:pict>
                </mc:Fallback>
              </mc:AlternateContent>
            </w: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1733550</wp:posOffset>
                      </wp:positionH>
                      <wp:positionV relativeFrom="paragraph">
                        <wp:posOffset>2814955</wp:posOffset>
                      </wp:positionV>
                      <wp:extent cx="231775" cy="466090"/>
                      <wp:effectExtent l="40005" t="0" r="52070" b="5080"/>
                      <wp:wrapNone/>
                      <wp:docPr id="42" name="任意多边形 46"/>
                      <wp:cNvGraphicFramePr/>
                      <a:graphic xmlns:a="http://schemas.openxmlformats.org/drawingml/2006/main">
                        <a:graphicData uri="http://schemas.microsoft.com/office/word/2010/wordprocessingShape">
                          <wps:wsp>
                            <wps:cNvSpPr/>
                            <wps:spPr>
                              <a:xfrm rot="-10200000">
                                <a:off x="0" y="0"/>
                                <a:ext cx="231775" cy="466090"/>
                              </a:xfrm>
                              <a:custGeom>
                                <a:avLst/>
                                <a:gdLst/>
                                <a:ahLst/>
                                <a:cxnLst>
                                  <a:cxn ang="0">
                                    <a:pos x="240665" y="0"/>
                                  </a:cxn>
                                  <a:cxn ang="0">
                                    <a:pos x="308610" y="72390"/>
                                  </a:cxn>
                                  <a:cxn ang="0">
                                    <a:pos x="240665" y="180975"/>
                                  </a:cxn>
                                  <a:cxn ang="0">
                                    <a:pos x="172085" y="307975"/>
                                  </a:cxn>
                                  <a:cxn ang="0">
                                    <a:pos x="0" y="489585"/>
                                  </a:cxn>
                                </a:cxnLst>
                                <a:pathLst>
                                  <a:path w="308610" h="489585">
                                    <a:moveTo>
                                      <a:pt x="240665" y="0"/>
                                    </a:moveTo>
                                    <a:cubicBezTo>
                                      <a:pt x="255905" y="12065"/>
                                      <a:pt x="308610" y="36195"/>
                                      <a:pt x="308610" y="72390"/>
                                    </a:cubicBezTo>
                                    <a:cubicBezTo>
                                      <a:pt x="308610" y="108585"/>
                                      <a:pt x="267970" y="133985"/>
                                      <a:pt x="240665" y="180975"/>
                                    </a:cubicBezTo>
                                    <a:cubicBezTo>
                                      <a:pt x="213360" y="227965"/>
                                      <a:pt x="220345" y="246380"/>
                                      <a:pt x="172085" y="307975"/>
                                    </a:cubicBezTo>
                                    <a:cubicBezTo>
                                      <a:pt x="123825" y="369570"/>
                                      <a:pt x="33020" y="455930"/>
                                      <a:pt x="0" y="489585"/>
                                    </a:cubicBezTo>
                                  </a:path>
                                </a:pathLst>
                              </a:custGeom>
                              <a:noFill/>
                              <a:ln w="25400" cap="flat" cmpd="sng">
                                <a:solidFill>
                                  <a:srgbClr val="FF0000"/>
                                </a:solidFill>
                                <a:prstDash val="solid"/>
                                <a:headEnd type="none" w="med" len="med"/>
                                <a:tailEnd type="none" w="med" len="med"/>
                              </a:ln>
                            </wps:spPr>
                            <wps:bodyPr upright="1"/>
                          </wps:wsp>
                        </a:graphicData>
                      </a:graphic>
                    </wp:anchor>
                  </w:drawing>
                </mc:Choice>
                <mc:Fallback>
                  <w:pict>
                    <v:shape id="任意多边形 46" o:spid="_x0000_s1026" o:spt="100" style="position:absolute;left:0pt;margin-left:136.5pt;margin-top:221.65pt;height:36.7pt;width:18.25pt;rotation:-11141120f;z-index:251659264;mso-width-relative:page;mso-height-relative:page;" filled="f" stroked="t" coordsize="308610,489585" o:gfxdata="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DRH4n2gAAAAsBAAAPAAAAAAAAAAEAIAAAACIAAABkcnMvZG93bnJldi54bWxQSwECFAAUAAAA&#10;CACHTuJAujVfUgkDAABTBwAADgAAAAAAAAABACAAAAApAQAAZHJzL2Uyb0RvYy54bWxQSwUGAAAA&#10;AAYABgBZAQAApAYAAAAA&#10;" path="m240665,0c255905,12065,308610,36195,308610,72390c308610,108585,267970,133985,240665,180975c213360,227965,220345,246380,172085,307975c123825,369570,33020,455930,0,489585e">
                      <v:path o:connectlocs="240665,0;308610,72390;240665,180975;172085,307975;0,489585" o:connectangles="0,0,0,0,0"/>
                      <v:fill on="f" focussize="0,0"/>
                      <v:stroke weight="2pt" color="#FF0000" joinstyle="round"/>
                      <v:imagedata o:title=""/>
                      <o:lock v:ext="edit" aspectratio="f"/>
                    </v:shape>
                  </w:pict>
                </mc:Fallback>
              </mc:AlternateContent>
            </w:r>
            <w:r>
              <w:rPr>
                <w:color w:val="auto"/>
              </w:rPr>
              <w:drawing>
                <wp:inline distT="0" distB="0" distL="114300" distR="114300">
                  <wp:extent cx="4610100" cy="5038725"/>
                  <wp:effectExtent l="0" t="0" r="0" b="9525"/>
                  <wp:docPr id="84" name="图片 7" descr="附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 descr="附10-4"/>
                          <pic:cNvPicPr>
                            <a:picLocks noChangeAspect="1"/>
                          </pic:cNvPicPr>
                        </pic:nvPicPr>
                        <pic:blipFill>
                          <a:blip r:embed="rId20"/>
                          <a:srcRect b="4140"/>
                          <a:stretch>
                            <a:fillRect/>
                          </a:stretch>
                        </pic:blipFill>
                        <pic:spPr>
                          <a:xfrm>
                            <a:off x="0" y="0"/>
                            <a:ext cx="4610100" cy="5038725"/>
                          </a:xfrm>
                          <a:prstGeom prst="rect">
                            <a:avLst/>
                          </a:prstGeom>
                          <a:noFill/>
                          <a:ln>
                            <a:noFill/>
                          </a:ln>
                        </pic:spPr>
                      </pic:pic>
                    </a:graphicData>
                  </a:graphic>
                </wp:inline>
              </w:drawing>
            </w:r>
          </w:p>
          <w:p w14:paraId="434D799B">
            <w:pPr>
              <w:autoSpaceDE w:val="0"/>
              <w:autoSpaceDN w:val="0"/>
              <w:adjustRightInd w:val="0"/>
              <w:snapToGrid w:val="0"/>
              <w:jc w:val="center"/>
              <w:rPr>
                <w:rFonts w:ascii="Times New Roman" w:hAnsi="Times New Roman"/>
                <w:b/>
                <w:color w:val="auto"/>
                <w:sz w:val="24"/>
                <w:szCs w:val="20"/>
              </w:rPr>
            </w:pPr>
            <w:r>
              <w:rPr>
                <w:rFonts w:ascii="Times New Roman" w:hAnsi="Times New Roman"/>
                <w:b/>
                <w:color w:val="auto"/>
                <w:kern w:val="0"/>
                <w:sz w:val="24"/>
                <w:szCs w:val="20"/>
              </w:rPr>
              <w:t>图1-</w:t>
            </w:r>
            <w:r>
              <w:rPr>
                <w:rFonts w:hint="eastAsia" w:ascii="Times New Roman" w:hAnsi="Times New Roman"/>
                <w:b/>
                <w:color w:val="auto"/>
                <w:kern w:val="0"/>
                <w:sz w:val="24"/>
                <w:szCs w:val="20"/>
              </w:rPr>
              <w:t>8</w:t>
            </w:r>
            <w:r>
              <w:rPr>
                <w:rFonts w:ascii="Times New Roman" w:hAnsi="Times New Roman"/>
                <w:b/>
                <w:color w:val="auto"/>
                <w:kern w:val="0"/>
                <w:sz w:val="24"/>
                <w:szCs w:val="20"/>
              </w:rPr>
              <w:t xml:space="preserve"> 项目与</w:t>
            </w:r>
            <w:r>
              <w:rPr>
                <w:rFonts w:ascii="Times New Roman" w:hAnsi="Times New Roman"/>
                <w:b/>
                <w:color w:val="auto"/>
                <w:sz w:val="24"/>
                <w:szCs w:val="20"/>
              </w:rPr>
              <w:t>牛栏江流域（云南部分）水环境保护规划区位置关系图</w:t>
            </w:r>
          </w:p>
          <w:p w14:paraId="0E3F1690">
            <w:pPr>
              <w:autoSpaceDE w:val="0"/>
              <w:autoSpaceDN w:val="0"/>
              <w:adjustRightInd w:val="0"/>
              <w:snapToGrid w:val="0"/>
              <w:spacing w:line="440" w:lineRule="exact"/>
              <w:ind w:firstLine="480"/>
              <w:rPr>
                <w:rFonts w:ascii="Times New Roman" w:hAnsi="Times New Roman"/>
                <w:color w:val="auto"/>
                <w:sz w:val="24"/>
              </w:rPr>
            </w:pPr>
            <w:r>
              <w:rPr>
                <w:rFonts w:hint="eastAsia" w:ascii="Times New Roman" w:hAnsi="Times New Roman"/>
                <w:color w:val="auto"/>
                <w:sz w:val="24"/>
              </w:rPr>
              <w:t>本项目与牛栏江水源涵养区相关要求符合性分析详见下表。</w:t>
            </w:r>
          </w:p>
          <w:p w14:paraId="25515154">
            <w:pPr>
              <w:pStyle w:val="2"/>
              <w:adjustRightInd w:val="0"/>
              <w:snapToGrid w:val="0"/>
              <w:spacing w:after="0"/>
              <w:jc w:val="center"/>
              <w:rPr>
                <w:b/>
                <w:bCs/>
                <w:color w:val="auto"/>
                <w:sz w:val="24"/>
              </w:rPr>
            </w:pPr>
            <w:r>
              <w:rPr>
                <w:b/>
                <w:bCs/>
                <w:color w:val="auto"/>
                <w:sz w:val="24"/>
              </w:rPr>
              <w:t>表1-</w:t>
            </w:r>
            <w:r>
              <w:rPr>
                <w:rFonts w:hint="eastAsia"/>
                <w:b/>
                <w:bCs/>
                <w:color w:val="auto"/>
                <w:sz w:val="24"/>
              </w:rPr>
              <w:t>12</w:t>
            </w:r>
            <w:r>
              <w:rPr>
                <w:b/>
                <w:bCs/>
                <w:color w:val="auto"/>
                <w:sz w:val="24"/>
              </w:rPr>
              <w:t xml:space="preserve">  与《云南省牛栏江保护条例》符合性分析</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93"/>
              <w:gridCol w:w="3940"/>
              <w:gridCol w:w="1859"/>
              <w:gridCol w:w="782"/>
            </w:tblGrid>
            <w:tr w14:paraId="5FAFE8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3BA9D424">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2784" w:type="pct"/>
                  <w:tcBorders>
                    <w:tl2br w:val="nil"/>
                    <w:tr2bl w:val="nil"/>
                  </w:tcBorders>
                  <w:vAlign w:val="center"/>
                </w:tcPr>
                <w:p w14:paraId="7D3C2DA2">
                  <w:pPr>
                    <w:adjustRightInd w:val="0"/>
                    <w:snapToGrid w:val="0"/>
                    <w:jc w:val="center"/>
                    <w:rPr>
                      <w:rFonts w:ascii="Times New Roman" w:hAnsi="Times New Roman"/>
                      <w:b/>
                      <w:bCs/>
                      <w:color w:val="auto"/>
                      <w:szCs w:val="21"/>
                    </w:rPr>
                  </w:pPr>
                  <w:r>
                    <w:rPr>
                      <w:rFonts w:ascii="Times New Roman" w:hAnsi="Times New Roman"/>
                      <w:b/>
                      <w:bCs/>
                      <w:color w:val="auto"/>
                      <w:szCs w:val="21"/>
                    </w:rPr>
                    <w:t>《云南省牛栏江保护条例》相关内容</w:t>
                  </w:r>
                </w:p>
              </w:tc>
              <w:tc>
                <w:tcPr>
                  <w:tcW w:w="1313" w:type="pct"/>
                  <w:tcBorders>
                    <w:tl2br w:val="nil"/>
                    <w:tr2bl w:val="nil"/>
                  </w:tcBorders>
                  <w:vAlign w:val="center"/>
                </w:tcPr>
                <w:p w14:paraId="08AFA7C6">
                  <w:pPr>
                    <w:adjustRightInd w:val="0"/>
                    <w:snapToGrid w:val="0"/>
                    <w:jc w:val="center"/>
                    <w:rPr>
                      <w:rFonts w:ascii="Times New Roman" w:hAnsi="Times New Roman"/>
                      <w:b/>
                      <w:bCs/>
                      <w:color w:val="auto"/>
                      <w:szCs w:val="21"/>
                    </w:rPr>
                  </w:pPr>
                  <w:r>
                    <w:rPr>
                      <w:rFonts w:ascii="Times New Roman" w:hAnsi="Times New Roman"/>
                      <w:b/>
                      <w:bCs/>
                      <w:color w:val="auto"/>
                      <w:szCs w:val="21"/>
                    </w:rPr>
                    <w:t>项目建设情况</w:t>
                  </w:r>
                </w:p>
              </w:tc>
              <w:tc>
                <w:tcPr>
                  <w:tcW w:w="553" w:type="pct"/>
                  <w:tcBorders>
                    <w:tl2br w:val="nil"/>
                    <w:tr2bl w:val="nil"/>
                  </w:tcBorders>
                  <w:vAlign w:val="center"/>
                </w:tcPr>
                <w:p w14:paraId="55C41D96">
                  <w:pPr>
                    <w:adjustRightInd w:val="0"/>
                    <w:snapToGrid w:val="0"/>
                    <w:jc w:val="center"/>
                    <w:rPr>
                      <w:rFonts w:ascii="Times New Roman" w:hAnsi="Times New Roman"/>
                      <w:b/>
                      <w:bCs/>
                      <w:color w:val="auto"/>
                      <w:szCs w:val="21"/>
                    </w:rPr>
                  </w:pPr>
                  <w:r>
                    <w:rPr>
                      <w:rFonts w:ascii="Times New Roman" w:hAnsi="Times New Roman"/>
                      <w:b/>
                      <w:bCs/>
                      <w:color w:val="auto"/>
                      <w:szCs w:val="21"/>
                    </w:rPr>
                    <w:t>符合性</w:t>
                  </w:r>
                </w:p>
              </w:tc>
            </w:tr>
            <w:tr w14:paraId="3C2E76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7A716489">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2784" w:type="pct"/>
                  <w:tcBorders>
                    <w:tl2br w:val="nil"/>
                    <w:tr2bl w:val="nil"/>
                  </w:tcBorders>
                  <w:vAlign w:val="center"/>
                </w:tcPr>
                <w:p w14:paraId="6B2AE38A">
                  <w:pPr>
                    <w:adjustRightInd w:val="0"/>
                    <w:snapToGrid w:val="0"/>
                    <w:rPr>
                      <w:rFonts w:ascii="Times New Roman" w:hAnsi="Times New Roman"/>
                      <w:color w:val="auto"/>
                      <w:szCs w:val="21"/>
                    </w:rPr>
                  </w:pPr>
                  <w:r>
                    <w:rPr>
                      <w:rFonts w:ascii="Times New Roman" w:hAnsi="Times New Roman"/>
                      <w:b/>
                      <w:color w:val="auto"/>
                      <w:szCs w:val="21"/>
                    </w:rPr>
                    <w:t xml:space="preserve">第四条 </w:t>
                  </w:r>
                  <w:r>
                    <w:rPr>
                      <w:rFonts w:ascii="Times New Roman" w:hAnsi="Times New Roman"/>
                      <w:color w:val="auto"/>
                      <w:szCs w:val="21"/>
                    </w:rPr>
                    <w:t>牛栏江流域实行分区保护。</w:t>
                  </w:r>
                </w:p>
                <w:p w14:paraId="67680411">
                  <w:pPr>
                    <w:adjustRightInd w:val="0"/>
                    <w:snapToGrid w:val="0"/>
                    <w:rPr>
                      <w:rFonts w:ascii="Times New Roman" w:hAnsi="Times New Roman"/>
                      <w:color w:val="auto"/>
                      <w:szCs w:val="21"/>
                    </w:rPr>
                  </w:pPr>
                  <w:r>
                    <w:rPr>
                      <w:rFonts w:ascii="Times New Roman" w:hAnsi="Times New Roman"/>
                      <w:color w:val="auto"/>
                      <w:szCs w:val="21"/>
                    </w:rPr>
                    <w:t>牛栏江德泽水库坝址以上集水区域为牛栏江流域上游保护区，牛栏江德泽水库坝址以下集水区域为牛栏江流域下游保护区。</w:t>
                  </w:r>
                </w:p>
              </w:tc>
              <w:tc>
                <w:tcPr>
                  <w:tcW w:w="1313" w:type="pct"/>
                  <w:tcBorders>
                    <w:tl2br w:val="nil"/>
                    <w:tr2bl w:val="nil"/>
                  </w:tcBorders>
                  <w:vAlign w:val="center"/>
                </w:tcPr>
                <w:p w14:paraId="1C70DF6A">
                  <w:pPr>
                    <w:adjustRightInd w:val="0"/>
                    <w:snapToGrid w:val="0"/>
                    <w:jc w:val="center"/>
                    <w:rPr>
                      <w:rFonts w:ascii="Times New Roman" w:hAnsi="Times New Roman"/>
                      <w:color w:val="auto"/>
                      <w:szCs w:val="21"/>
                    </w:rPr>
                  </w:pPr>
                  <w:r>
                    <w:rPr>
                      <w:rFonts w:hint="eastAsia" w:ascii="Times New Roman" w:hAnsi="Times New Roman"/>
                      <w:color w:val="auto"/>
                      <w:szCs w:val="21"/>
                    </w:rPr>
                    <w:t>项目区</w:t>
                  </w:r>
                  <w:r>
                    <w:rPr>
                      <w:rFonts w:ascii="Times New Roman" w:hAnsi="Times New Roman"/>
                      <w:color w:val="auto"/>
                      <w:szCs w:val="21"/>
                    </w:rPr>
                    <w:t>属于牛栏江流域</w:t>
                  </w:r>
                  <w:r>
                    <w:rPr>
                      <w:rFonts w:hint="eastAsia" w:ascii="Times New Roman" w:hAnsi="Times New Roman"/>
                      <w:color w:val="auto"/>
                      <w:szCs w:val="21"/>
                    </w:rPr>
                    <w:t>下游</w:t>
                  </w:r>
                  <w:r>
                    <w:rPr>
                      <w:rFonts w:ascii="Times New Roman" w:hAnsi="Times New Roman"/>
                      <w:color w:val="auto"/>
                      <w:szCs w:val="21"/>
                    </w:rPr>
                    <w:t>保护区</w:t>
                  </w:r>
                </w:p>
              </w:tc>
              <w:tc>
                <w:tcPr>
                  <w:tcW w:w="553" w:type="pct"/>
                  <w:tcBorders>
                    <w:tl2br w:val="nil"/>
                    <w:tr2bl w:val="nil"/>
                  </w:tcBorders>
                  <w:vAlign w:val="center"/>
                </w:tcPr>
                <w:p w14:paraId="313793D1">
                  <w:pPr>
                    <w:adjustRightInd w:val="0"/>
                    <w:snapToGrid w:val="0"/>
                    <w:jc w:val="center"/>
                    <w:rPr>
                      <w:rFonts w:ascii="Times New Roman" w:hAnsi="Times New Roman"/>
                      <w:color w:val="auto"/>
                      <w:szCs w:val="21"/>
                    </w:rPr>
                  </w:pPr>
                  <w:r>
                    <w:rPr>
                      <w:rFonts w:hint="eastAsia" w:ascii="Times New Roman" w:hAnsi="Times New Roman"/>
                      <w:color w:val="auto"/>
                      <w:szCs w:val="21"/>
                    </w:rPr>
                    <w:t>/</w:t>
                  </w:r>
                </w:p>
              </w:tc>
            </w:tr>
            <w:tr w14:paraId="7AAF8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5D772C47">
                  <w:pPr>
                    <w:adjustRightInd w:val="0"/>
                    <w:snapToGrid w:val="0"/>
                    <w:jc w:val="center"/>
                    <w:rPr>
                      <w:rFonts w:ascii="Times New Roman" w:hAnsi="Times New Roman"/>
                      <w:color w:val="auto"/>
                      <w:szCs w:val="21"/>
                    </w:rPr>
                  </w:pPr>
                  <w:r>
                    <w:rPr>
                      <w:rFonts w:ascii="Times New Roman" w:hAnsi="Times New Roman"/>
                      <w:color w:val="auto"/>
                      <w:szCs w:val="21"/>
                    </w:rPr>
                    <w:t>2</w:t>
                  </w:r>
                </w:p>
              </w:tc>
              <w:tc>
                <w:tcPr>
                  <w:tcW w:w="2784" w:type="pct"/>
                  <w:tcBorders>
                    <w:tl2br w:val="nil"/>
                    <w:tr2bl w:val="nil"/>
                  </w:tcBorders>
                  <w:vAlign w:val="center"/>
                </w:tcPr>
                <w:p w14:paraId="3FEA7A88">
                  <w:pPr>
                    <w:adjustRightInd w:val="0"/>
                    <w:snapToGrid w:val="0"/>
                    <w:rPr>
                      <w:rFonts w:ascii="Times New Roman" w:hAnsi="Times New Roman"/>
                      <w:color w:val="auto"/>
                      <w:szCs w:val="21"/>
                    </w:rPr>
                  </w:pPr>
                  <w:r>
                    <w:rPr>
                      <w:rFonts w:ascii="Times New Roman" w:hAnsi="Times New Roman"/>
                      <w:b/>
                      <w:color w:val="auto"/>
                      <w:szCs w:val="21"/>
                    </w:rPr>
                    <w:t>第五条</w:t>
                  </w:r>
                  <w:r>
                    <w:rPr>
                      <w:rFonts w:ascii="Times New Roman" w:hAnsi="Times New Roman"/>
                      <w:color w:val="auto"/>
                      <w:szCs w:val="21"/>
                    </w:rPr>
                    <w:t xml:space="preserve"> 牛栏江流域上游保护区划分为水源保护核心区、重点污染控制区和重点水源涵养区。</w:t>
                  </w:r>
                </w:p>
                <w:p w14:paraId="216B8BF9">
                  <w:pPr>
                    <w:adjustRightInd w:val="0"/>
                    <w:snapToGrid w:val="0"/>
                    <w:rPr>
                      <w:rFonts w:ascii="Times New Roman" w:hAnsi="Times New Roman"/>
                      <w:color w:val="auto"/>
                      <w:szCs w:val="21"/>
                    </w:rPr>
                  </w:pPr>
                  <w:r>
                    <w:rPr>
                      <w:rFonts w:ascii="Times New Roman" w:hAnsi="Times New Roman"/>
                      <w:color w:val="auto"/>
                      <w:szCs w:val="21"/>
                    </w:rPr>
                    <w:t>（一）水源保护核心区包括德泽水库库区和德泽水库以上牛栏江干流区。德泽水库库区为德泽水库正常蓄水位1790米水面及沿岸外延2000米的范围，区域范围超过一级山脊线的，按照一级山脊线划定；德泽水库以上牛栏江干流区指德泽水库以上干流（包括干流源头矣纳岔口至嘉丽泽对龙河河段）水域及两岸外延1000米的范围，区域范围超过一级山脊线的，按照一级山脊线划定。</w:t>
                  </w:r>
                </w:p>
                <w:p w14:paraId="35E59DC2">
                  <w:pPr>
                    <w:adjustRightInd w:val="0"/>
                    <w:snapToGrid w:val="0"/>
                    <w:rPr>
                      <w:rFonts w:ascii="Times New Roman" w:hAnsi="Times New Roman"/>
                      <w:color w:val="auto"/>
                      <w:szCs w:val="21"/>
                    </w:rPr>
                  </w:pPr>
                  <w:r>
                    <w:rPr>
                      <w:rFonts w:ascii="Times New Roman" w:hAnsi="Times New Roman"/>
                      <w:color w:val="auto"/>
                      <w:szCs w:val="21"/>
                    </w:rPr>
                    <w:t>（二）重点污染控制区为水源保护核心区以外，流域范围内的坝区以及花庄河、果马河、普沙河、弥良河、对龙河、杨林河、匡郎河、前进河、马龙河水域及两岸外延3000米的区域，区域范围超过一级山脊线的，按照一级山脊线划定。</w:t>
                  </w:r>
                </w:p>
                <w:p w14:paraId="44E1EE33">
                  <w:pPr>
                    <w:adjustRightInd w:val="0"/>
                    <w:snapToGrid w:val="0"/>
                    <w:rPr>
                      <w:rFonts w:ascii="Times New Roman" w:hAnsi="Times New Roman"/>
                      <w:color w:val="auto"/>
                      <w:szCs w:val="21"/>
                    </w:rPr>
                  </w:pPr>
                  <w:r>
                    <w:rPr>
                      <w:rFonts w:ascii="Times New Roman" w:hAnsi="Times New Roman"/>
                      <w:color w:val="auto"/>
                      <w:szCs w:val="21"/>
                    </w:rPr>
                    <w:t>（三）重点水源涵养区为流域范围内除水源保护核心区、重点污染控制区以外的集水区域。</w:t>
                  </w:r>
                </w:p>
              </w:tc>
              <w:tc>
                <w:tcPr>
                  <w:tcW w:w="1313" w:type="pct"/>
                  <w:tcBorders>
                    <w:tl2br w:val="nil"/>
                    <w:tr2bl w:val="nil"/>
                  </w:tcBorders>
                  <w:vAlign w:val="center"/>
                </w:tcPr>
                <w:p w14:paraId="2A7BE263">
                  <w:pPr>
                    <w:adjustRightInd w:val="0"/>
                    <w:snapToGrid w:val="0"/>
                    <w:ind w:firstLine="210" w:firstLineChars="100"/>
                    <w:jc w:val="center"/>
                    <w:rPr>
                      <w:rFonts w:ascii="Times New Roman" w:hAnsi="Times New Roman"/>
                      <w:color w:val="auto"/>
                      <w:szCs w:val="21"/>
                    </w:rPr>
                  </w:pPr>
                  <w:r>
                    <w:rPr>
                      <w:rFonts w:hint="eastAsia" w:ascii="Times New Roman" w:hAnsi="Times New Roman"/>
                      <w:color w:val="auto"/>
                      <w:szCs w:val="21"/>
                    </w:rPr>
                    <w:t>项目</w:t>
                  </w:r>
                  <w:r>
                    <w:rPr>
                      <w:rFonts w:ascii="Times New Roman" w:hAnsi="Times New Roman"/>
                      <w:color w:val="auto"/>
                      <w:szCs w:val="21"/>
                    </w:rPr>
                    <w:t>位于重点水源涵养区。</w:t>
                  </w:r>
                  <w:r>
                    <w:rPr>
                      <w:rFonts w:hint="eastAsia" w:ascii="Times New Roman" w:hAnsi="Times New Roman"/>
                      <w:color w:val="auto"/>
                      <w:szCs w:val="21"/>
                    </w:rPr>
                    <w:t>本项目属于输变电工程，不涉及排水，</w:t>
                  </w:r>
                  <w:r>
                    <w:rPr>
                      <w:rFonts w:ascii="Times New Roman" w:hAnsi="Times New Roman"/>
                      <w:color w:val="auto"/>
                      <w:szCs w:val="21"/>
                    </w:rPr>
                    <w:t>实施过程中必须按照规划及《云南省牛栏江保护条例</w:t>
                  </w:r>
                  <w:r>
                    <w:rPr>
                      <w:rFonts w:hint="eastAsia" w:ascii="Times New Roman" w:hAnsi="Times New Roman"/>
                      <w:color w:val="auto"/>
                      <w:szCs w:val="21"/>
                    </w:rPr>
                    <w:t>》实</w:t>
                  </w:r>
                  <w:r>
                    <w:rPr>
                      <w:rFonts w:ascii="Times New Roman" w:hAnsi="Times New Roman"/>
                      <w:color w:val="auto"/>
                      <w:szCs w:val="21"/>
                    </w:rPr>
                    <w:t>施。</w:t>
                  </w:r>
                </w:p>
              </w:tc>
              <w:tc>
                <w:tcPr>
                  <w:tcW w:w="553" w:type="pct"/>
                  <w:tcBorders>
                    <w:tl2br w:val="nil"/>
                    <w:tr2bl w:val="nil"/>
                  </w:tcBorders>
                  <w:vAlign w:val="center"/>
                </w:tcPr>
                <w:p w14:paraId="6DA8AADB">
                  <w:pPr>
                    <w:adjustRightInd w:val="0"/>
                    <w:snapToGrid w:val="0"/>
                    <w:jc w:val="center"/>
                    <w:rPr>
                      <w:rFonts w:ascii="Times New Roman" w:hAnsi="Times New Roman"/>
                      <w:color w:val="auto"/>
                      <w:szCs w:val="21"/>
                    </w:rPr>
                  </w:pPr>
                  <w:r>
                    <w:rPr>
                      <w:rFonts w:hint="eastAsia" w:ascii="Times New Roman" w:hAnsi="Times New Roman"/>
                      <w:color w:val="auto"/>
                      <w:szCs w:val="21"/>
                    </w:rPr>
                    <w:t>符合</w:t>
                  </w:r>
                </w:p>
              </w:tc>
            </w:tr>
            <w:tr w14:paraId="7EBF5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3B7140D9">
                  <w:pPr>
                    <w:adjustRightInd w:val="0"/>
                    <w:snapToGrid w:val="0"/>
                    <w:jc w:val="center"/>
                    <w:rPr>
                      <w:rFonts w:ascii="Times New Roman" w:hAnsi="Times New Roman"/>
                      <w:color w:val="auto"/>
                      <w:szCs w:val="21"/>
                    </w:rPr>
                  </w:pPr>
                  <w:r>
                    <w:rPr>
                      <w:rFonts w:ascii="Times New Roman" w:hAnsi="Times New Roman"/>
                      <w:color w:val="auto"/>
                      <w:szCs w:val="21"/>
                    </w:rPr>
                    <w:t>3</w:t>
                  </w:r>
                </w:p>
              </w:tc>
              <w:tc>
                <w:tcPr>
                  <w:tcW w:w="2784" w:type="pct"/>
                  <w:tcBorders>
                    <w:tl2br w:val="nil"/>
                    <w:tr2bl w:val="nil"/>
                  </w:tcBorders>
                  <w:vAlign w:val="center"/>
                </w:tcPr>
                <w:p w14:paraId="02D198D5">
                  <w:pPr>
                    <w:adjustRightInd w:val="0"/>
                    <w:snapToGrid w:val="0"/>
                    <w:rPr>
                      <w:rFonts w:ascii="Times New Roman" w:hAnsi="Times New Roman"/>
                      <w:color w:val="auto"/>
                      <w:szCs w:val="21"/>
                    </w:rPr>
                  </w:pPr>
                  <w:r>
                    <w:rPr>
                      <w:rFonts w:ascii="Times New Roman" w:hAnsi="Times New Roman"/>
                      <w:b/>
                      <w:color w:val="auto"/>
                      <w:szCs w:val="21"/>
                    </w:rPr>
                    <w:t xml:space="preserve">第八条 </w:t>
                  </w:r>
                  <w:r>
                    <w:rPr>
                      <w:rFonts w:ascii="Times New Roman" w:hAnsi="Times New Roman"/>
                      <w:color w:val="auto"/>
                      <w:szCs w:val="21"/>
                    </w:rPr>
                    <w:t>牛栏江流域水体水质按照《地表水环境质量标准》Ⅲ类水质标准进行保护。</w:t>
                  </w:r>
                </w:p>
              </w:tc>
              <w:tc>
                <w:tcPr>
                  <w:tcW w:w="1313" w:type="pct"/>
                  <w:tcBorders>
                    <w:tl2br w:val="nil"/>
                    <w:tr2bl w:val="nil"/>
                  </w:tcBorders>
                  <w:vAlign w:val="center"/>
                </w:tcPr>
                <w:p w14:paraId="3DE0C83E">
                  <w:pPr>
                    <w:adjustRightInd w:val="0"/>
                    <w:snapToGrid w:val="0"/>
                    <w:jc w:val="center"/>
                    <w:rPr>
                      <w:rFonts w:ascii="Times New Roman" w:hAnsi="Times New Roman"/>
                      <w:color w:val="auto"/>
                      <w:szCs w:val="21"/>
                    </w:rPr>
                  </w:pPr>
                  <w:r>
                    <w:rPr>
                      <w:rFonts w:ascii="Times New Roman" w:hAnsi="Times New Roman"/>
                      <w:color w:val="auto"/>
                      <w:szCs w:val="21"/>
                    </w:rPr>
                    <w:t>水环境保护目标不低于《地表水环境质量标准》Ⅲ类水质标准</w:t>
                  </w:r>
                </w:p>
              </w:tc>
              <w:tc>
                <w:tcPr>
                  <w:tcW w:w="553" w:type="pct"/>
                  <w:tcBorders>
                    <w:tl2br w:val="nil"/>
                    <w:tr2bl w:val="nil"/>
                  </w:tcBorders>
                  <w:vAlign w:val="center"/>
                </w:tcPr>
                <w:p w14:paraId="736EDA73">
                  <w:pPr>
                    <w:adjustRightInd w:val="0"/>
                    <w:snapToGrid w:val="0"/>
                    <w:jc w:val="center"/>
                    <w:rPr>
                      <w:rFonts w:ascii="Times New Roman" w:hAnsi="Times New Roman"/>
                      <w:color w:val="auto"/>
                      <w:szCs w:val="21"/>
                    </w:rPr>
                  </w:pPr>
                  <w:r>
                    <w:rPr>
                      <w:rFonts w:hint="eastAsia" w:ascii="Times New Roman" w:hAnsi="Times New Roman"/>
                      <w:color w:val="auto"/>
                      <w:szCs w:val="21"/>
                    </w:rPr>
                    <w:t>符合</w:t>
                  </w:r>
                </w:p>
              </w:tc>
            </w:tr>
            <w:tr w14:paraId="7FCE0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0E3EE6B7">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2784" w:type="pct"/>
                  <w:tcBorders>
                    <w:tl2br w:val="nil"/>
                    <w:tr2bl w:val="nil"/>
                  </w:tcBorders>
                  <w:vAlign w:val="center"/>
                </w:tcPr>
                <w:p w14:paraId="1E25A3EB">
                  <w:pPr>
                    <w:adjustRightInd w:val="0"/>
                    <w:snapToGrid w:val="0"/>
                    <w:rPr>
                      <w:rFonts w:ascii="Times New Roman" w:hAnsi="Times New Roman"/>
                      <w:color w:val="auto"/>
                      <w:szCs w:val="21"/>
                    </w:rPr>
                  </w:pPr>
                  <w:r>
                    <w:rPr>
                      <w:rFonts w:ascii="Times New Roman" w:hAnsi="Times New Roman"/>
                      <w:b/>
                      <w:color w:val="auto"/>
                      <w:szCs w:val="21"/>
                    </w:rPr>
                    <w:t>第二十二条</w:t>
                  </w:r>
                  <w:r>
                    <w:rPr>
                      <w:rFonts w:ascii="Times New Roman" w:hAnsi="Times New Roman"/>
                      <w:color w:val="auto"/>
                      <w:szCs w:val="21"/>
                    </w:rPr>
                    <w:t xml:space="preserve"> 县级以上人民政府应当合理规划工业布局，淘汰严重污染水环境的落后工艺和设备，禁止新建、改建、扩建不符合国家产业政策或者严重污染水环境的建设项目。</w:t>
                  </w:r>
                </w:p>
              </w:tc>
              <w:tc>
                <w:tcPr>
                  <w:tcW w:w="1313" w:type="pct"/>
                  <w:tcBorders>
                    <w:tl2br w:val="nil"/>
                    <w:tr2bl w:val="nil"/>
                  </w:tcBorders>
                  <w:vAlign w:val="center"/>
                </w:tcPr>
                <w:p w14:paraId="250E3302">
                  <w:pPr>
                    <w:adjustRightInd w:val="0"/>
                    <w:snapToGrid w:val="0"/>
                    <w:jc w:val="center"/>
                    <w:rPr>
                      <w:rFonts w:ascii="Times New Roman" w:hAnsi="Times New Roman"/>
                      <w:color w:val="auto"/>
                      <w:szCs w:val="21"/>
                    </w:rPr>
                  </w:pPr>
                  <w:r>
                    <w:rPr>
                      <w:rFonts w:hint="eastAsia" w:ascii="Times New Roman" w:hAnsi="Times New Roman"/>
                      <w:color w:val="auto"/>
                      <w:szCs w:val="21"/>
                    </w:rPr>
                    <w:t>项目属于输变电工程，不属于</w:t>
                  </w:r>
                  <w:r>
                    <w:rPr>
                      <w:rFonts w:ascii="Times New Roman" w:hAnsi="Times New Roman"/>
                      <w:color w:val="auto"/>
                      <w:szCs w:val="21"/>
                    </w:rPr>
                    <w:t>禁止新建、改建、扩建不符合国家产业政策或者严重污染水环境的建设项目。</w:t>
                  </w:r>
                </w:p>
              </w:tc>
              <w:tc>
                <w:tcPr>
                  <w:tcW w:w="553" w:type="pct"/>
                  <w:tcBorders>
                    <w:tl2br w:val="nil"/>
                    <w:tr2bl w:val="nil"/>
                  </w:tcBorders>
                  <w:vAlign w:val="center"/>
                </w:tcPr>
                <w:p w14:paraId="2CC795E4">
                  <w:pPr>
                    <w:adjustRightInd w:val="0"/>
                    <w:snapToGrid w:val="0"/>
                    <w:jc w:val="center"/>
                    <w:rPr>
                      <w:rFonts w:ascii="Times New Roman" w:hAnsi="Times New Roman"/>
                      <w:color w:val="auto"/>
                      <w:szCs w:val="21"/>
                    </w:rPr>
                  </w:pPr>
                  <w:r>
                    <w:rPr>
                      <w:rFonts w:hint="eastAsia" w:ascii="Times New Roman" w:hAnsi="Times New Roman"/>
                      <w:color w:val="auto"/>
                      <w:szCs w:val="21"/>
                    </w:rPr>
                    <w:t>符合</w:t>
                  </w:r>
                </w:p>
              </w:tc>
            </w:tr>
            <w:tr w14:paraId="4E9266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8" w:type="pct"/>
                  <w:tcBorders>
                    <w:tl2br w:val="nil"/>
                    <w:tr2bl w:val="nil"/>
                  </w:tcBorders>
                  <w:vAlign w:val="center"/>
                </w:tcPr>
                <w:p w14:paraId="1F042B46">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2784" w:type="pct"/>
                  <w:tcBorders>
                    <w:tl2br w:val="nil"/>
                    <w:tr2bl w:val="nil"/>
                  </w:tcBorders>
                  <w:shd w:val="clear" w:color="auto" w:fill="auto"/>
                  <w:vAlign w:val="center"/>
                </w:tcPr>
                <w:p w14:paraId="7DFCE76E">
                  <w:pPr>
                    <w:adjustRightInd w:val="0"/>
                    <w:snapToGrid w:val="0"/>
                    <w:rPr>
                      <w:rFonts w:ascii="Times New Roman" w:hAnsi="Times New Roman"/>
                      <w:color w:val="auto"/>
                      <w:szCs w:val="21"/>
                    </w:rPr>
                  </w:pPr>
                  <w:r>
                    <w:rPr>
                      <w:rFonts w:ascii="Times New Roman" w:hAnsi="Times New Roman"/>
                      <w:b/>
                      <w:color w:val="auto"/>
                      <w:szCs w:val="21"/>
                    </w:rPr>
                    <w:t>第三十二条</w:t>
                  </w:r>
                  <w:r>
                    <w:rPr>
                      <w:rFonts w:ascii="Times New Roman" w:hAnsi="Times New Roman"/>
                      <w:color w:val="auto"/>
                      <w:szCs w:val="21"/>
                    </w:rPr>
                    <w:t xml:space="preserve"> 重点水源涵养区内禁止下列行为：</w:t>
                  </w:r>
                </w:p>
                <w:p w14:paraId="6A476058">
                  <w:pPr>
                    <w:adjustRightInd w:val="0"/>
                    <w:snapToGrid w:val="0"/>
                    <w:rPr>
                      <w:rFonts w:ascii="Times New Roman" w:hAnsi="Times New Roman"/>
                      <w:color w:val="auto"/>
                      <w:szCs w:val="21"/>
                    </w:rPr>
                  </w:pPr>
                  <w:r>
                    <w:rPr>
                      <w:rFonts w:ascii="Times New Roman" w:hAnsi="Times New Roman"/>
                      <w:color w:val="auto"/>
                      <w:szCs w:val="21"/>
                    </w:rPr>
                    <w:t>（一）盗伐、滥伐林木和破坏草地；</w:t>
                  </w:r>
                </w:p>
                <w:p w14:paraId="4F47F3B3">
                  <w:pPr>
                    <w:adjustRightInd w:val="0"/>
                    <w:snapToGrid w:val="0"/>
                    <w:rPr>
                      <w:rFonts w:ascii="Times New Roman" w:hAnsi="Times New Roman"/>
                      <w:color w:val="auto"/>
                      <w:szCs w:val="21"/>
                    </w:rPr>
                  </w:pPr>
                  <w:r>
                    <w:rPr>
                      <w:rFonts w:ascii="Times New Roman" w:hAnsi="Times New Roman"/>
                      <w:color w:val="auto"/>
                      <w:szCs w:val="21"/>
                    </w:rPr>
                    <w:t>（二）使用高毒、高残留农药；</w:t>
                  </w:r>
                </w:p>
                <w:p w14:paraId="165CEACE">
                  <w:pPr>
                    <w:adjustRightInd w:val="0"/>
                    <w:snapToGrid w:val="0"/>
                    <w:rPr>
                      <w:rFonts w:ascii="Times New Roman" w:hAnsi="Times New Roman"/>
                      <w:color w:val="auto"/>
                      <w:szCs w:val="21"/>
                    </w:rPr>
                  </w:pPr>
                  <w:r>
                    <w:rPr>
                      <w:rFonts w:ascii="Times New Roman" w:hAnsi="Times New Roman"/>
                      <w:color w:val="auto"/>
                      <w:szCs w:val="21"/>
                    </w:rPr>
                    <w:t>（三）利用溶洞、渗井、渗坑、裂隙排放、倾倒含有毒有害物质的废水、废渣；</w:t>
                  </w:r>
                </w:p>
                <w:p w14:paraId="05A88CF9">
                  <w:pPr>
                    <w:adjustRightInd w:val="0"/>
                    <w:snapToGrid w:val="0"/>
                    <w:rPr>
                      <w:rFonts w:ascii="Times New Roman" w:hAnsi="Times New Roman"/>
                      <w:color w:val="auto"/>
                      <w:szCs w:val="21"/>
                    </w:rPr>
                  </w:pPr>
                  <w:r>
                    <w:rPr>
                      <w:rFonts w:ascii="Times New Roman" w:hAnsi="Times New Roman"/>
                      <w:color w:val="auto"/>
                      <w:szCs w:val="21"/>
                    </w:rPr>
                    <w:t>（四）向水体排放废水、倾倒工业废渣、城镇垃圾或者其他废弃物；</w:t>
                  </w:r>
                </w:p>
                <w:p w14:paraId="2E34DF69">
                  <w:pPr>
                    <w:adjustRightInd w:val="0"/>
                    <w:snapToGrid w:val="0"/>
                    <w:rPr>
                      <w:rFonts w:ascii="Times New Roman" w:hAnsi="Times New Roman"/>
                      <w:color w:val="auto"/>
                      <w:szCs w:val="21"/>
                    </w:rPr>
                  </w:pPr>
                  <w:r>
                    <w:rPr>
                      <w:rFonts w:ascii="Times New Roman" w:hAnsi="Times New Roman"/>
                      <w:color w:val="auto"/>
                      <w:szCs w:val="21"/>
                    </w:rPr>
                    <w:t>（五）在江河、渠道、水库最高水位线以下的滩地、岸坡堆放、存贮固体废弃物或者其他污染物；</w:t>
                  </w:r>
                </w:p>
                <w:p w14:paraId="3D6B8667">
                  <w:pPr>
                    <w:adjustRightInd w:val="0"/>
                    <w:snapToGrid w:val="0"/>
                    <w:rPr>
                      <w:rFonts w:ascii="Times New Roman" w:hAnsi="Times New Roman"/>
                      <w:color w:val="auto"/>
                      <w:szCs w:val="21"/>
                    </w:rPr>
                  </w:pPr>
                  <w:r>
                    <w:rPr>
                      <w:rFonts w:ascii="Times New Roman" w:hAnsi="Times New Roman"/>
                      <w:color w:val="auto"/>
                      <w:szCs w:val="21"/>
                    </w:rPr>
                    <w:t>（六）利用无防渗漏措施的沟渠、坑塘等输送或者存贮含有毒污染物的废水、含病原体的污水或者其他废弃物。</w:t>
                  </w:r>
                </w:p>
              </w:tc>
              <w:tc>
                <w:tcPr>
                  <w:tcW w:w="1313" w:type="pct"/>
                  <w:tcBorders>
                    <w:tl2br w:val="nil"/>
                    <w:tr2bl w:val="nil"/>
                  </w:tcBorders>
                  <w:shd w:val="clear" w:color="auto" w:fill="auto"/>
                  <w:vAlign w:val="center"/>
                </w:tcPr>
                <w:p w14:paraId="610FED4A">
                  <w:pPr>
                    <w:adjustRightInd w:val="0"/>
                    <w:snapToGrid w:val="0"/>
                    <w:jc w:val="center"/>
                    <w:rPr>
                      <w:rFonts w:ascii="Times New Roman" w:hAnsi="Times New Roman"/>
                      <w:color w:val="auto"/>
                      <w:szCs w:val="21"/>
                    </w:rPr>
                  </w:pPr>
                  <w:r>
                    <w:rPr>
                      <w:rFonts w:hint="eastAsia" w:ascii="Times New Roman" w:hAnsi="Times New Roman"/>
                      <w:color w:val="auto"/>
                      <w:szCs w:val="21"/>
                    </w:rPr>
                    <w:t>项目涉及占用林地及草地，已按照相关要求办理林业手续，无禁止行为</w:t>
                  </w:r>
                </w:p>
              </w:tc>
              <w:tc>
                <w:tcPr>
                  <w:tcW w:w="553" w:type="pct"/>
                  <w:tcBorders>
                    <w:tl2br w:val="nil"/>
                    <w:tr2bl w:val="nil"/>
                  </w:tcBorders>
                  <w:shd w:val="clear" w:color="auto" w:fill="auto"/>
                  <w:vAlign w:val="center"/>
                </w:tcPr>
                <w:p w14:paraId="3B0F21D9">
                  <w:pPr>
                    <w:adjustRightInd w:val="0"/>
                    <w:snapToGrid w:val="0"/>
                    <w:jc w:val="center"/>
                    <w:rPr>
                      <w:rFonts w:ascii="Times New Roman" w:hAnsi="Times New Roman"/>
                      <w:color w:val="auto"/>
                      <w:szCs w:val="21"/>
                    </w:rPr>
                  </w:pPr>
                  <w:r>
                    <w:rPr>
                      <w:rFonts w:hint="eastAsia" w:ascii="Times New Roman" w:hAnsi="Times New Roman"/>
                      <w:color w:val="auto"/>
                      <w:szCs w:val="21"/>
                    </w:rPr>
                    <w:t>符合</w:t>
                  </w:r>
                </w:p>
              </w:tc>
            </w:tr>
          </w:tbl>
          <w:p w14:paraId="6168F4EB">
            <w:pPr>
              <w:autoSpaceDE w:val="0"/>
              <w:autoSpaceDN w:val="0"/>
              <w:adjustRightInd w:val="0"/>
              <w:snapToGrid w:val="0"/>
              <w:spacing w:line="440" w:lineRule="exact"/>
              <w:ind w:firstLine="480"/>
              <w:rPr>
                <w:rFonts w:ascii="Times New Roman" w:hAnsi="Times New Roman"/>
                <w:color w:val="auto"/>
                <w:sz w:val="24"/>
                <w:szCs w:val="20"/>
              </w:rPr>
            </w:pPr>
            <w:r>
              <w:rPr>
                <w:rFonts w:hint="eastAsia" w:ascii="Times New Roman" w:hAnsi="Times New Roman"/>
                <w:color w:val="auto"/>
                <w:sz w:val="24"/>
                <w:szCs w:val="20"/>
              </w:rPr>
              <w:t>综上</w:t>
            </w:r>
            <w:r>
              <w:rPr>
                <w:rFonts w:ascii="Times New Roman" w:hAnsi="Times New Roman"/>
                <w:color w:val="auto"/>
                <w:sz w:val="24"/>
                <w:szCs w:val="20"/>
              </w:rPr>
              <w:t>，</w:t>
            </w:r>
            <w:r>
              <w:rPr>
                <w:rFonts w:hint="eastAsia" w:ascii="Times New Roman" w:hAnsi="Times New Roman"/>
                <w:color w:val="auto"/>
                <w:sz w:val="24"/>
                <w:szCs w:val="20"/>
              </w:rPr>
              <w:t>经对照分析，</w:t>
            </w:r>
            <w:r>
              <w:rPr>
                <w:rFonts w:ascii="Times New Roman" w:hAnsi="Times New Roman"/>
                <w:color w:val="auto"/>
                <w:sz w:val="24"/>
                <w:szCs w:val="20"/>
              </w:rPr>
              <w:t>项目</w:t>
            </w:r>
            <w:r>
              <w:rPr>
                <w:rFonts w:hint="eastAsia" w:ascii="Times New Roman" w:hAnsi="Times New Roman"/>
                <w:color w:val="auto"/>
                <w:sz w:val="24"/>
                <w:szCs w:val="20"/>
              </w:rPr>
              <w:t>符合《牛栏江流域（云南部分）水环境保护规划（2009-2030）》（云政复﹝2010﹞21号）相关要求</w:t>
            </w:r>
            <w:r>
              <w:rPr>
                <w:rFonts w:ascii="Times New Roman" w:hAnsi="Times New Roman"/>
                <w:color w:val="auto"/>
                <w:sz w:val="24"/>
                <w:szCs w:val="20"/>
              </w:rPr>
              <w:t>。</w:t>
            </w:r>
          </w:p>
          <w:p w14:paraId="1288D582">
            <w:pPr>
              <w:pStyle w:val="25"/>
              <w:adjustRightInd w:val="0"/>
              <w:snapToGrid w:val="0"/>
              <w:spacing w:after="0" w:line="440" w:lineRule="exact"/>
              <w:ind w:firstLine="482" w:firstLineChars="200"/>
              <w:rPr>
                <w:b/>
                <w:color w:val="auto"/>
                <w:sz w:val="24"/>
              </w:rPr>
            </w:pPr>
            <w:r>
              <w:rPr>
                <w:rFonts w:hint="eastAsia"/>
                <w:b/>
                <w:color w:val="auto"/>
                <w:sz w:val="24"/>
              </w:rPr>
              <w:t>14、项目与永久基本农田相符性分析</w:t>
            </w:r>
          </w:p>
          <w:p w14:paraId="2673928D">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根据会泽县自然资源局关于六合一至乐业变220kV送出线路工程查询的情况说明，经查询，不涉及占用“三区三线”划定的会泽县生态保护红线，不位于城镇开发边界及中心城区；涉及占用永久基本农田核实处置成果面积237.56平方米，涉及占用“三区三线”划定的耕地保护目标面积1237.53平方米，占用耕地后备资源数据374.55平方米，不在村庄建设边界内。</w:t>
            </w:r>
          </w:p>
          <w:p w14:paraId="3AC9F926">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根据《基本农田保护条例》第十五条：“基本农田保护区经依法划定后，任何单位和个人不得改变或者占用。国家能源、交通、水利、军事设施等重点建设项目选址确实无法避开基本农田保护区，需要占用基本农田，涉及农用地转用或者征用土地的，必须经国务院批准。”</w:t>
            </w:r>
          </w:p>
          <w:p w14:paraId="7167FD0B">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第十七条：“禁止任何单位和个人在基本农田保护区内建窑、建房、建坟、挖砂、采石、采矿、取土、堆放固体废弃物或者进行其他破坏基本农田的活动。禁止任何单位和个人占用基本农田发展林果业和挖塘养鱼。”</w:t>
            </w:r>
          </w:p>
          <w:p w14:paraId="3D6391D2">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输电线路架空电力线路走廊（包括杆、塔基础）不实行征地。施工期间与村民签订补偿协议，在施工结束后及时恢复原状，及时复耕，施工占地在工程结束后亦可恢复原状，与《基本农田保护条例》中要求不冲突。</w:t>
            </w:r>
          </w:p>
          <w:p w14:paraId="2FDE04D3">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另外，根据云南省人民政府办公厅发文《云南省人民政府办公厅印发省发展改革委关于加强云南电网规划建设实施意见的通知》（云政办发〔2008〕142号）及2023年3月14日云南省自然资源厅关于电网项目用地手续办理研究情况的报告，对</w:t>
            </w:r>
            <w:r>
              <w:rPr>
                <w:rFonts w:ascii="Times New Roman" w:hAnsi="Times New Roman" w:cs="Times New Roman"/>
                <w:color w:val="auto"/>
                <w:lang w:eastAsia="zh-CN"/>
              </w:rPr>
              <w:t>220</w:t>
            </w:r>
            <w:r>
              <w:rPr>
                <w:rFonts w:hint="eastAsia" w:ascii="Times New Roman" w:hAnsi="Times New Roman" w:cs="Times New Roman"/>
                <w:color w:val="auto"/>
                <w:lang w:eastAsia="zh-CN"/>
              </w:rPr>
              <w:t>千伏及以下项目，只对变电站用地进行预审。加大电网建设支持力度，妥善解决电网建设中存在的问题：土地方面，电网企业要及时将每年度电网建设项目用地计划报送国土资源部门。国土资源部门在编制年度用地计划和项目用地预审时，要优先安排电网建设项目用地。输电线路塔基建设用地，原则上按属地管理以县（市、区）为单位打捆上报农用地转用审批，不再办理集体土地征收审批手续。塔基建设用地补偿必须依法保障当地群众的正当权益，经济补偿要符合国家有关规定，并切实做好群众工作；塔基用地只做土地登记备案，不颁发土地使用证，不得上市；变电站建设按照国家有关基础设施建设用地的政策规定办理相关手续。</w:t>
            </w:r>
          </w:p>
          <w:p w14:paraId="736BDCD4">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输变电工程特点，项目呈间隔点位式占地，用地指标符合土地使用标准，位于农田区域的塔基施工结束后，可以移交给当地村民复耕。根据调查咨询，工程在施工期严格控制临时占地范围，减少土石方量、减少水土流失、减轻对地表植被的破坏；牵张场等临时设施未占用永久基本农田，不损坏农田水利设施，施工结束后及时复耕，已签订补偿协议，最大限度减少工程建设对永久基本农田的影响。</w:t>
            </w:r>
          </w:p>
          <w:p w14:paraId="0C03AA7A">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根据“云政办发〔</w:t>
            </w:r>
            <w:r>
              <w:rPr>
                <w:rFonts w:ascii="Times New Roman" w:hAnsi="Times New Roman"/>
                <w:color w:val="auto"/>
                <w:sz w:val="24"/>
                <w:szCs w:val="24"/>
              </w:rPr>
              <w:t>2008</w:t>
            </w:r>
            <w:r>
              <w:rPr>
                <w:rFonts w:hint="eastAsia" w:ascii="Times New Roman" w:hAnsi="Times New Roman"/>
                <w:color w:val="auto"/>
                <w:sz w:val="24"/>
                <w:szCs w:val="24"/>
              </w:rPr>
              <w:t>〕</w:t>
            </w:r>
            <w:r>
              <w:rPr>
                <w:rFonts w:ascii="Times New Roman" w:hAnsi="Times New Roman"/>
                <w:color w:val="auto"/>
                <w:sz w:val="24"/>
                <w:szCs w:val="24"/>
              </w:rPr>
              <w:t>142</w:t>
            </w:r>
            <w:r>
              <w:rPr>
                <w:rFonts w:hint="eastAsia" w:ascii="Times New Roman" w:hAnsi="Times New Roman"/>
                <w:color w:val="auto"/>
                <w:sz w:val="24"/>
                <w:szCs w:val="24"/>
              </w:rPr>
              <w:t>号”及云南省自然资源厅关于电网项目用地手续办理研究情况的报告文件规定，本项目塔基占地不需办理集体土地征收审批手续，塔基用地只做土地登记备案，不颁发土地使用证，不得上市。按照国家有关规定，实施用地已办理补偿，项目建设与“云政办发〔</w:t>
            </w:r>
            <w:r>
              <w:rPr>
                <w:rFonts w:ascii="Times New Roman" w:hAnsi="Times New Roman"/>
                <w:color w:val="auto"/>
                <w:sz w:val="24"/>
                <w:szCs w:val="24"/>
              </w:rPr>
              <w:t>2008</w:t>
            </w:r>
            <w:r>
              <w:rPr>
                <w:rFonts w:hint="eastAsia" w:ascii="Times New Roman" w:hAnsi="Times New Roman"/>
                <w:color w:val="auto"/>
                <w:sz w:val="24"/>
                <w:szCs w:val="24"/>
              </w:rPr>
              <w:t>〕</w:t>
            </w:r>
            <w:r>
              <w:rPr>
                <w:rFonts w:ascii="Times New Roman" w:hAnsi="Times New Roman"/>
                <w:color w:val="auto"/>
                <w:sz w:val="24"/>
                <w:szCs w:val="24"/>
              </w:rPr>
              <w:t>142</w:t>
            </w:r>
            <w:r>
              <w:rPr>
                <w:rFonts w:hint="eastAsia" w:ascii="Times New Roman" w:hAnsi="Times New Roman"/>
                <w:color w:val="auto"/>
                <w:sz w:val="24"/>
                <w:szCs w:val="24"/>
              </w:rPr>
              <w:t>号”及云南省自然资源厅关于电网项目用地手续办理研究情况的报告文件相符。</w:t>
            </w:r>
          </w:p>
          <w:p w14:paraId="03AFCEBC">
            <w:pPr>
              <w:adjustRightInd w:val="0"/>
              <w:snapToGrid w:val="0"/>
              <w:spacing w:line="440" w:lineRule="exact"/>
              <w:ind w:firstLine="480" w:firstLineChars="200"/>
              <w:rPr>
                <w:rFonts w:ascii="Times New Roman" w:hAnsi="Times New Roman"/>
                <w:color w:val="auto"/>
                <w:sz w:val="24"/>
                <w:szCs w:val="24"/>
                <w:lang w:val="zh-CN"/>
              </w:rPr>
            </w:pPr>
            <w:r>
              <w:rPr>
                <w:rFonts w:hint="eastAsia" w:ascii="Times New Roman" w:hAnsi="Times New Roman"/>
                <w:color w:val="auto"/>
                <w:sz w:val="24"/>
                <w:szCs w:val="24"/>
              </w:rPr>
              <w:t>另外，</w:t>
            </w:r>
            <w:r>
              <w:rPr>
                <w:rFonts w:hint="eastAsia" w:ascii="Times New Roman" w:hAnsi="Times New Roman"/>
                <w:color w:val="auto"/>
                <w:sz w:val="24"/>
                <w:szCs w:val="24"/>
                <w:lang w:val="zh-CN"/>
              </w:rPr>
              <w:t>根据《云南省基本农田保护条例》：“确定的基本农田，任何单位和个人不得擅自改变或者占用。能源、交通、水利等重点建设项目选址确实无法避开，需占用的，建设单位应当持有关批准文件，向县级以上土地管理部门提出申请，经同级农业行政主管部门签署意见后，按照规定办理报批手续”。</w:t>
            </w:r>
          </w:p>
          <w:p w14:paraId="0A9AAF8F">
            <w:pPr>
              <w:adjustRightInd w:val="0"/>
              <w:snapToGrid w:val="0"/>
              <w:spacing w:line="440" w:lineRule="exact"/>
              <w:ind w:firstLine="480" w:firstLineChars="200"/>
              <w:rPr>
                <w:rFonts w:ascii="Times New Roman" w:hAnsi="Times New Roman"/>
                <w:color w:val="auto"/>
                <w:sz w:val="24"/>
                <w:szCs w:val="24"/>
                <w:lang w:val="zh-CN"/>
              </w:rPr>
            </w:pPr>
            <w:r>
              <w:rPr>
                <w:rFonts w:hint="eastAsia" w:ascii="Times New Roman" w:hAnsi="Times New Roman"/>
                <w:color w:val="auto"/>
                <w:sz w:val="24"/>
                <w:szCs w:val="24"/>
                <w:lang w:val="zh-CN"/>
              </w:rPr>
              <w:t>根据</w:t>
            </w:r>
            <w:r>
              <w:rPr>
                <w:rFonts w:hint="eastAsia" w:ascii="Times New Roman" w:hAnsi="Times New Roman"/>
                <w:color w:val="auto"/>
                <w:kern w:val="0"/>
                <w:sz w:val="24"/>
              </w:rPr>
              <w:t>会泽县自然资源局关于六合一至乐业变220kV送出线路工程占用永久基本农田不可避让的情况说明，</w:t>
            </w:r>
            <w:r>
              <w:rPr>
                <w:rFonts w:hint="eastAsia" w:ascii="Times New Roman" w:hAnsi="Times New Roman"/>
                <w:color w:val="auto"/>
                <w:sz w:val="24"/>
                <w:szCs w:val="24"/>
                <w:lang w:val="zh-CN"/>
              </w:rPr>
              <w:t>线路不可避让占用基本农田0.238hm</w:t>
            </w:r>
            <w:r>
              <w:rPr>
                <w:rFonts w:hint="eastAsia" w:ascii="Times New Roman" w:hAnsi="Times New Roman"/>
                <w:color w:val="auto"/>
                <w:sz w:val="24"/>
                <w:szCs w:val="24"/>
                <w:vertAlign w:val="superscript"/>
                <w:lang w:val="zh-CN"/>
              </w:rPr>
              <w:t>2</w:t>
            </w:r>
            <w:r>
              <w:rPr>
                <w:rFonts w:hint="eastAsia" w:ascii="Times New Roman" w:hAnsi="Times New Roman"/>
                <w:color w:val="auto"/>
                <w:sz w:val="24"/>
                <w:szCs w:val="24"/>
                <w:lang w:val="zh-CN"/>
              </w:rPr>
              <w:t>，于2026年8月20日取得会泽县自然资源局关于六合一至乐业变220kV送出线路工程占用永久基本农田不可避让的情况说明，符合《永久基本农田保护红线管理办法》的要求，因此，项目建设符合《云南省基本农田保护条例》的相关要求。</w:t>
            </w:r>
          </w:p>
          <w:p w14:paraId="6B4DA955">
            <w:pPr>
              <w:pStyle w:val="25"/>
              <w:numPr>
                <w:ilvl w:val="0"/>
                <w:numId w:val="1"/>
              </w:numPr>
              <w:adjustRightInd w:val="0"/>
              <w:snapToGrid w:val="0"/>
              <w:spacing w:after="0" w:line="440" w:lineRule="exact"/>
              <w:ind w:firstLine="482" w:firstLineChars="200"/>
              <w:rPr>
                <w:b/>
                <w:color w:val="auto"/>
                <w:sz w:val="24"/>
              </w:rPr>
            </w:pPr>
            <w:r>
              <w:rPr>
                <w:rFonts w:hint="eastAsia"/>
                <w:b/>
                <w:color w:val="auto"/>
                <w:sz w:val="24"/>
              </w:rPr>
              <w:t>与《永久基本农田保护红线管理办法》符合性分析</w:t>
            </w:r>
          </w:p>
          <w:p w14:paraId="1D661E6A">
            <w:pPr>
              <w:adjustRightInd w:val="0"/>
              <w:snapToGrid w:val="0"/>
              <w:spacing w:line="440" w:lineRule="exact"/>
              <w:ind w:firstLine="480" w:firstLineChars="200"/>
              <w:rPr>
                <w:rFonts w:ascii="Times New Roman" w:hAnsi="Times New Roman"/>
                <w:color w:val="auto"/>
                <w:kern w:val="0"/>
                <w:sz w:val="24"/>
              </w:rPr>
            </w:pPr>
            <w:r>
              <w:rPr>
                <w:rFonts w:hint="eastAsia" w:ascii="Times New Roman" w:hAnsi="Times New Roman"/>
                <w:color w:val="auto"/>
                <w:kern w:val="0"/>
                <w:sz w:val="24"/>
              </w:rPr>
              <w:t>经自然资源部2024年12月6日第4次部务会议和农业农村部2025年7月7日第8次常务会议审议通过，2025年8月29日自然资源部、农业农村部令第17号公布，自2025年10月1日起施行。根据《永久基本农田保护红线管理办法》，项目符合性分析如下：</w:t>
            </w:r>
          </w:p>
          <w:p w14:paraId="71A977C9">
            <w:pPr>
              <w:pStyle w:val="2"/>
              <w:adjustRightInd w:val="0"/>
              <w:snapToGrid w:val="0"/>
              <w:spacing w:after="0"/>
              <w:jc w:val="center"/>
              <w:rPr>
                <w:b/>
                <w:bCs/>
                <w:color w:val="auto"/>
                <w:sz w:val="24"/>
              </w:rPr>
            </w:pPr>
            <w:r>
              <w:rPr>
                <w:rFonts w:hint="eastAsia"/>
                <w:b/>
                <w:bCs/>
                <w:color w:val="auto"/>
                <w:sz w:val="24"/>
              </w:rPr>
              <w:t>表1-13  项目与《永久基本农田保护红线管理办法》符合性分析</w:t>
            </w:r>
          </w:p>
          <w:tbl>
            <w:tblPr>
              <w:tblStyle w:val="27"/>
              <w:tblW w:w="707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503"/>
              <w:gridCol w:w="2363"/>
              <w:gridCol w:w="683"/>
            </w:tblGrid>
            <w:tr w14:paraId="7FD2E1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tcBorders>
                    <w:tl2br w:val="nil"/>
                    <w:tr2bl w:val="nil"/>
                  </w:tcBorders>
                  <w:shd w:val="clear" w:color="auto" w:fill="auto"/>
                  <w:vAlign w:val="center"/>
                </w:tcPr>
                <w:p w14:paraId="0D654B77">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序号</w:t>
                  </w:r>
                </w:p>
              </w:tc>
              <w:tc>
                <w:tcPr>
                  <w:tcW w:w="3503" w:type="dxa"/>
                  <w:tcBorders>
                    <w:tl2br w:val="nil"/>
                    <w:tr2bl w:val="nil"/>
                  </w:tcBorders>
                  <w:shd w:val="clear" w:color="auto" w:fill="auto"/>
                  <w:vAlign w:val="center"/>
                </w:tcPr>
                <w:p w14:paraId="020CC803">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《永久基本农田保护红线管理办法》相关内容</w:t>
                  </w:r>
                </w:p>
              </w:tc>
              <w:tc>
                <w:tcPr>
                  <w:tcW w:w="2363" w:type="dxa"/>
                  <w:tcBorders>
                    <w:tl2br w:val="nil"/>
                    <w:tr2bl w:val="nil"/>
                  </w:tcBorders>
                  <w:shd w:val="clear" w:color="auto" w:fill="auto"/>
                  <w:vAlign w:val="center"/>
                </w:tcPr>
                <w:p w14:paraId="3F61BBE9">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项目建设情况</w:t>
                  </w:r>
                </w:p>
              </w:tc>
              <w:tc>
                <w:tcPr>
                  <w:tcW w:w="683" w:type="dxa"/>
                  <w:tcBorders>
                    <w:tl2br w:val="nil"/>
                    <w:tr2bl w:val="nil"/>
                  </w:tcBorders>
                  <w:shd w:val="clear" w:color="auto" w:fill="auto"/>
                  <w:vAlign w:val="center"/>
                </w:tcPr>
                <w:p w14:paraId="2372A28E">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符合性</w:t>
                  </w:r>
                </w:p>
              </w:tc>
            </w:tr>
            <w:tr w14:paraId="143089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tcBorders>
                    <w:tl2br w:val="nil"/>
                    <w:tr2bl w:val="nil"/>
                  </w:tcBorders>
                  <w:shd w:val="clear" w:color="auto" w:fill="auto"/>
                  <w:vAlign w:val="center"/>
                </w:tcPr>
                <w:p w14:paraId="5833023D">
                  <w:pPr>
                    <w:adjustRightInd w:val="0"/>
                    <w:snapToGrid w:val="0"/>
                    <w:jc w:val="center"/>
                    <w:rPr>
                      <w:rFonts w:ascii="Times New Roman" w:hAnsi="Times New Roman"/>
                      <w:color w:val="auto"/>
                      <w:szCs w:val="21"/>
                    </w:rPr>
                  </w:pPr>
                  <w:r>
                    <w:rPr>
                      <w:rFonts w:hint="eastAsia" w:ascii="Times New Roman" w:hAnsi="Times New Roman"/>
                      <w:color w:val="auto"/>
                      <w:szCs w:val="21"/>
                    </w:rPr>
                    <w:t>1</w:t>
                  </w:r>
                </w:p>
              </w:tc>
              <w:tc>
                <w:tcPr>
                  <w:tcW w:w="3503" w:type="dxa"/>
                  <w:tcBorders>
                    <w:tl2br w:val="nil"/>
                    <w:tr2bl w:val="nil"/>
                  </w:tcBorders>
                  <w:shd w:val="clear" w:color="auto" w:fill="auto"/>
                  <w:vAlign w:val="center"/>
                </w:tcPr>
                <w:p w14:paraId="37E9CBC8">
                  <w:pPr>
                    <w:adjustRightInd w:val="0"/>
                    <w:snapToGrid w:val="0"/>
                    <w:rPr>
                      <w:rFonts w:ascii="Times New Roman" w:hAnsi="Times New Roman"/>
                      <w:color w:val="auto"/>
                      <w:kern w:val="0"/>
                      <w:szCs w:val="21"/>
                    </w:rPr>
                  </w:pPr>
                  <w:r>
                    <w:rPr>
                      <w:rStyle w:val="30"/>
                      <w:rFonts w:hint="eastAsia" w:ascii="宋体" w:hAnsi="宋体" w:cs="宋体"/>
                      <w:color w:val="auto"/>
                      <w:szCs w:val="21"/>
                      <w:shd w:val="clear" w:color="auto" w:fill="FFFFFF"/>
                    </w:rPr>
                    <w:t>第二十一条</w:t>
                  </w:r>
                  <w:r>
                    <w:rPr>
                      <w:rFonts w:hint="eastAsia" w:ascii="宋体" w:hAnsi="宋体" w:cs="宋体"/>
                      <w:color w:val="auto"/>
                      <w:szCs w:val="21"/>
                      <w:shd w:val="clear" w:color="auto" w:fill="FFFFFF"/>
                    </w:rPr>
                    <w:t>　依法可以按照原地类管理的架空电力传输线路、通信设施涉及的点状杆、塔确实难以避让永久基本农田的，应当在不妨碍机械化耕作的前提下，尽可能沿田间道路、沟渠、田坎铺设。铺设方案应当对永久基本农田的不可避让性以及对耕作的影响进行论证，报县级人民政府自然资源主管部门备案并加强监管。</w:t>
                  </w:r>
                </w:p>
              </w:tc>
              <w:tc>
                <w:tcPr>
                  <w:tcW w:w="2363" w:type="dxa"/>
                  <w:tcBorders>
                    <w:tl2br w:val="nil"/>
                    <w:tr2bl w:val="nil"/>
                  </w:tcBorders>
                  <w:shd w:val="clear" w:color="auto" w:fill="auto"/>
                  <w:vAlign w:val="center"/>
                </w:tcPr>
                <w:p w14:paraId="1F3B8788">
                  <w:pPr>
                    <w:adjustRightInd w:val="0"/>
                    <w:snapToGrid w:val="0"/>
                    <w:jc w:val="center"/>
                    <w:rPr>
                      <w:rFonts w:ascii="Times New Roman" w:hAnsi="Times New Roman"/>
                      <w:color w:val="auto"/>
                      <w:kern w:val="0"/>
                      <w:szCs w:val="21"/>
                    </w:rPr>
                  </w:pPr>
                  <w:r>
                    <w:rPr>
                      <w:rFonts w:hint="eastAsia"/>
                      <w:color w:val="auto"/>
                      <w:szCs w:val="21"/>
                    </w:rPr>
                    <w:t>线路不可避让占用基本农田</w:t>
                  </w:r>
                  <w:r>
                    <w:rPr>
                      <w:rFonts w:hint="eastAsia" w:ascii="Times New Roman" w:hAnsi="Times New Roman"/>
                      <w:color w:val="auto"/>
                      <w:szCs w:val="21"/>
                    </w:rPr>
                    <w:t>0.238hm</w:t>
                  </w:r>
                  <w:r>
                    <w:rPr>
                      <w:rFonts w:hint="eastAsia" w:ascii="Times New Roman" w:hAnsi="Times New Roman"/>
                      <w:color w:val="auto"/>
                      <w:szCs w:val="21"/>
                      <w:vertAlign w:val="superscript"/>
                    </w:rPr>
                    <w:t>2</w:t>
                  </w:r>
                  <w:r>
                    <w:rPr>
                      <w:rFonts w:ascii="Times New Roman" w:hAnsi="Times New Roman"/>
                      <w:color w:val="auto"/>
                      <w:szCs w:val="21"/>
                    </w:rPr>
                    <w:t>，</w:t>
                  </w:r>
                  <w:r>
                    <w:rPr>
                      <w:rFonts w:hint="eastAsia" w:ascii="Times New Roman" w:hAnsi="Times New Roman"/>
                      <w:color w:val="auto"/>
                      <w:szCs w:val="21"/>
                    </w:rPr>
                    <w:t>于2026年8月20日取得会泽县自然资源局关于六合一至乐业变220kV送出线路工程占用永久基本农田不可避让的情况说明</w:t>
                  </w:r>
                </w:p>
              </w:tc>
              <w:tc>
                <w:tcPr>
                  <w:tcW w:w="683" w:type="dxa"/>
                  <w:tcBorders>
                    <w:tl2br w:val="nil"/>
                    <w:tr2bl w:val="nil"/>
                  </w:tcBorders>
                  <w:shd w:val="clear" w:color="auto" w:fill="auto"/>
                  <w:vAlign w:val="center"/>
                </w:tcPr>
                <w:p w14:paraId="49CB380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bl>
          <w:p w14:paraId="2509A01D">
            <w:pPr>
              <w:adjustRightInd w:val="0"/>
              <w:snapToGrid w:val="0"/>
              <w:spacing w:line="440" w:lineRule="exact"/>
              <w:ind w:firstLine="480" w:firstLineChars="200"/>
              <w:rPr>
                <w:rFonts w:ascii="Times New Roman" w:hAnsi="Times New Roman"/>
                <w:color w:val="auto"/>
                <w:kern w:val="0"/>
                <w:sz w:val="24"/>
              </w:rPr>
            </w:pPr>
            <w:r>
              <w:rPr>
                <w:rFonts w:ascii="Times New Roman" w:hAnsi="Times New Roman"/>
                <w:color w:val="auto"/>
                <w:kern w:val="0"/>
                <w:sz w:val="24"/>
              </w:rPr>
              <w:t>本项目为220kV架空输电线路，其主体工程通过空中架线传输电力，不改变下方土地的性质和耕作功能；涉及占地的仅为孤立的、点状分布的铁塔基础。这种“点状占用、线状跨越”的用地特征，与公路、铁路等面状、带状永久性覆盖土地的工程有着本质区别，对耕地资源的实际破坏程度极低。塔基的选址受周围地形及穿越村庄的限制</w:t>
            </w:r>
            <w:r>
              <w:rPr>
                <w:rFonts w:hint="eastAsia" w:ascii="Times New Roman" w:hAnsi="Times New Roman"/>
                <w:color w:val="auto"/>
                <w:kern w:val="0"/>
                <w:sz w:val="24"/>
              </w:rPr>
              <w:t>，被迫</w:t>
            </w:r>
            <w:r>
              <w:rPr>
                <w:rFonts w:ascii="Times New Roman" w:hAnsi="Times New Roman"/>
                <w:color w:val="auto"/>
                <w:kern w:val="0"/>
                <w:sz w:val="24"/>
              </w:rPr>
              <w:t>落</w:t>
            </w:r>
            <w:r>
              <w:rPr>
                <w:rFonts w:hint="eastAsia" w:ascii="Times New Roman" w:hAnsi="Times New Roman"/>
                <w:color w:val="auto"/>
                <w:kern w:val="0"/>
                <w:sz w:val="24"/>
              </w:rPr>
              <w:t>在</w:t>
            </w:r>
            <w:r>
              <w:rPr>
                <w:rFonts w:ascii="Times New Roman" w:hAnsi="Times New Roman"/>
                <w:color w:val="auto"/>
                <w:kern w:val="0"/>
                <w:sz w:val="24"/>
              </w:rPr>
              <w:t>基本农田图斑内，但其占地性质完全符合“架空电力传输线路涉及的点状杆、塔”这一法定情形。</w:t>
            </w:r>
          </w:p>
          <w:p w14:paraId="7D504C4D">
            <w:pPr>
              <w:adjustRightInd w:val="0"/>
              <w:snapToGrid w:val="0"/>
              <w:spacing w:line="440" w:lineRule="exact"/>
              <w:ind w:firstLine="480" w:firstLineChars="200"/>
              <w:rPr>
                <w:rFonts w:ascii="Times New Roman" w:hAnsi="Times New Roman"/>
                <w:color w:val="auto"/>
                <w:kern w:val="0"/>
                <w:sz w:val="24"/>
              </w:rPr>
            </w:pPr>
            <w:r>
              <w:rPr>
                <w:rFonts w:hint="eastAsia" w:ascii="Times New Roman" w:hAnsi="Times New Roman"/>
                <w:color w:val="auto"/>
                <w:kern w:val="0"/>
                <w:sz w:val="24"/>
              </w:rPr>
              <w:t>根据2026年8月20日会泽县自然资源局关于六合一至乐业变220kV送出线路工程占用永久基本农田不可避让的情况说明，本项目《六合一至乐业变220kV送出线路工程占用永久基本农田不可避让性论证报告》建设单位已组织省级节地、耕保及行业专家进行了评审，评审专家一致审查通过，在满足电力输送技术规范条件下，已最大限度避让永久基本农田，占用部分确实难以避让永久基本农田。</w:t>
            </w:r>
          </w:p>
          <w:p w14:paraId="0C8C2907">
            <w:pPr>
              <w:adjustRightInd w:val="0"/>
              <w:snapToGrid w:val="0"/>
              <w:spacing w:line="440" w:lineRule="exact"/>
              <w:ind w:firstLine="480" w:firstLineChars="200"/>
              <w:rPr>
                <w:rFonts w:ascii="Times New Roman" w:hAnsi="Times New Roman"/>
                <w:color w:val="auto"/>
                <w:kern w:val="0"/>
                <w:sz w:val="24"/>
              </w:rPr>
            </w:pPr>
            <w:r>
              <w:rPr>
                <w:rFonts w:hint="eastAsia" w:ascii="Times New Roman" w:hAnsi="Times New Roman"/>
                <w:color w:val="auto"/>
                <w:kern w:val="0"/>
                <w:sz w:val="24"/>
              </w:rPr>
              <w:t>《六合一至乐业变220kV送出线路工程占用永久基本农田不可避让论证报告》中关于项目占用永久基本农田不可避让性的论证依据充分、理由明确、程序规范，符合相关政策要求。</w:t>
            </w:r>
          </w:p>
          <w:p w14:paraId="780E992D">
            <w:pPr>
              <w:adjustRightInd w:val="0"/>
              <w:snapToGrid w:val="0"/>
              <w:spacing w:line="440" w:lineRule="exact"/>
              <w:ind w:firstLine="480" w:firstLineChars="200"/>
              <w:rPr>
                <w:rFonts w:ascii="Times New Roman" w:hAnsi="Times New Roman"/>
                <w:color w:val="auto"/>
                <w:kern w:val="0"/>
                <w:sz w:val="24"/>
              </w:rPr>
            </w:pPr>
            <w:r>
              <w:rPr>
                <w:rFonts w:hint="eastAsia" w:ascii="Times New Roman" w:hAnsi="Times New Roman"/>
                <w:color w:val="auto"/>
                <w:kern w:val="0"/>
                <w:sz w:val="24"/>
              </w:rPr>
              <w:t>因此，</w:t>
            </w:r>
            <w:r>
              <w:rPr>
                <w:rFonts w:ascii="Times New Roman" w:hAnsi="Times New Roman"/>
                <w:color w:val="auto"/>
                <w:kern w:val="0"/>
                <w:sz w:val="24"/>
              </w:rPr>
              <w:t>在证明了“确实难以避让”且采取了有效节地措施的前提下，本项目塔基占用</w:t>
            </w:r>
            <w:r>
              <w:rPr>
                <w:rFonts w:hint="eastAsia" w:ascii="Times New Roman" w:hAnsi="Times New Roman"/>
                <w:color w:val="auto"/>
                <w:kern w:val="0"/>
                <w:sz w:val="24"/>
              </w:rPr>
              <w:t>永久基本农田，</w:t>
            </w:r>
            <w:r>
              <w:rPr>
                <w:rFonts w:ascii="Times New Roman" w:hAnsi="Times New Roman"/>
                <w:color w:val="auto"/>
                <w:kern w:val="0"/>
                <w:sz w:val="24"/>
              </w:rPr>
              <w:t>在法律法规层面是完全合规、允许的。</w:t>
            </w:r>
          </w:p>
          <w:p w14:paraId="631756EB">
            <w:pPr>
              <w:adjustRightInd w:val="0"/>
              <w:snapToGrid w:val="0"/>
              <w:spacing w:line="440" w:lineRule="exact"/>
              <w:ind w:firstLine="480" w:firstLineChars="200"/>
              <w:rPr>
                <w:rFonts w:ascii="Times New Roman" w:hAnsi="Times New Roman"/>
                <w:color w:val="auto"/>
                <w:kern w:val="0"/>
                <w:sz w:val="24"/>
              </w:rPr>
            </w:pPr>
          </w:p>
          <w:p w14:paraId="116E7414">
            <w:pPr>
              <w:adjustRightInd w:val="0"/>
              <w:snapToGrid w:val="0"/>
              <w:spacing w:line="440" w:lineRule="exact"/>
              <w:ind w:firstLine="480" w:firstLineChars="200"/>
              <w:rPr>
                <w:rFonts w:ascii="Times New Roman" w:hAnsi="Times New Roman"/>
                <w:color w:val="auto"/>
                <w:kern w:val="0"/>
                <w:sz w:val="24"/>
              </w:rPr>
            </w:pPr>
          </w:p>
          <w:p w14:paraId="5567DCA9">
            <w:pPr>
              <w:adjustRightInd w:val="0"/>
              <w:snapToGrid w:val="0"/>
              <w:spacing w:line="440" w:lineRule="exact"/>
              <w:ind w:firstLine="480" w:firstLineChars="200"/>
              <w:rPr>
                <w:rFonts w:ascii="Times New Roman" w:hAnsi="Times New Roman"/>
                <w:color w:val="auto"/>
                <w:kern w:val="0"/>
                <w:sz w:val="24"/>
              </w:rPr>
            </w:pPr>
          </w:p>
          <w:p w14:paraId="0C891E7B">
            <w:pPr>
              <w:adjustRightInd w:val="0"/>
              <w:snapToGrid w:val="0"/>
              <w:spacing w:line="440" w:lineRule="exact"/>
              <w:ind w:firstLine="480" w:firstLineChars="200"/>
              <w:rPr>
                <w:rFonts w:ascii="Times New Roman" w:hAnsi="Times New Roman"/>
                <w:color w:val="auto"/>
                <w:kern w:val="0"/>
                <w:sz w:val="24"/>
              </w:rPr>
            </w:pPr>
          </w:p>
          <w:p w14:paraId="03631B6C">
            <w:pPr>
              <w:adjustRightInd w:val="0"/>
              <w:snapToGrid w:val="0"/>
              <w:spacing w:line="440" w:lineRule="exact"/>
              <w:ind w:firstLine="480" w:firstLineChars="200"/>
              <w:rPr>
                <w:rFonts w:ascii="Times New Roman" w:hAnsi="Times New Roman"/>
                <w:color w:val="auto"/>
                <w:kern w:val="0"/>
                <w:sz w:val="24"/>
              </w:rPr>
            </w:pPr>
          </w:p>
          <w:p w14:paraId="0C1F9D55">
            <w:pPr>
              <w:adjustRightInd w:val="0"/>
              <w:snapToGrid w:val="0"/>
              <w:spacing w:line="440" w:lineRule="exact"/>
              <w:ind w:firstLine="480" w:firstLineChars="200"/>
              <w:rPr>
                <w:rFonts w:ascii="Times New Roman" w:hAnsi="Times New Roman"/>
                <w:color w:val="auto"/>
                <w:kern w:val="0"/>
                <w:sz w:val="24"/>
              </w:rPr>
            </w:pPr>
          </w:p>
          <w:p w14:paraId="33E387F7">
            <w:pPr>
              <w:rPr>
                <w:color w:val="auto"/>
              </w:rPr>
            </w:pPr>
          </w:p>
          <w:p w14:paraId="3AE3F083">
            <w:pPr>
              <w:rPr>
                <w:color w:val="auto"/>
              </w:rPr>
            </w:pPr>
          </w:p>
        </w:tc>
      </w:tr>
    </w:tbl>
    <w:p w14:paraId="5D8FC9EA">
      <w:pPr>
        <w:pStyle w:val="3"/>
        <w:rPr>
          <w:rFonts w:ascii="Times New Roman" w:hAnsi="Times New Roman"/>
          <w:color w:val="auto"/>
        </w:rPr>
        <w:sectPr>
          <w:headerReference r:id="rId7" w:type="default"/>
          <w:footerReference r:id="rId8" w:type="default"/>
          <w:pgSz w:w="11906" w:h="16838"/>
          <w:pgMar w:top="1418" w:right="1531" w:bottom="1418" w:left="1531" w:header="794" w:footer="992" w:gutter="0"/>
          <w:pgBorders>
            <w:top w:val="none" w:sz="0" w:space="0"/>
            <w:left w:val="none" w:sz="0" w:space="0"/>
            <w:bottom w:val="none" w:sz="0" w:space="0"/>
            <w:right w:val="none" w:sz="0" w:space="0"/>
          </w:pgBorders>
          <w:pgNumType w:start="1"/>
          <w:cols w:space="425" w:num="1"/>
          <w:docGrid w:type="lines" w:linePitch="312" w:charSpace="0"/>
        </w:sectPr>
      </w:pPr>
      <w:bookmarkStart w:id="1" w:name="_Toc74062913"/>
    </w:p>
    <w:p w14:paraId="70420BF1">
      <w:pPr>
        <w:pStyle w:val="3"/>
        <w:rPr>
          <w:rFonts w:ascii="Times New Roman" w:hAnsi="Times New Roman"/>
          <w:color w:val="auto"/>
        </w:rPr>
      </w:pPr>
      <w:r>
        <w:rPr>
          <w:rFonts w:ascii="Times New Roman" w:hAnsi="Times New Roman"/>
          <w:color w:val="auto"/>
        </w:rPr>
        <w:t>二、建设内容</w:t>
      </w:r>
      <w:bookmarkEnd w:id="1"/>
    </w:p>
    <w:tbl>
      <w:tblPr>
        <w:tblStyle w:val="2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8609"/>
      </w:tblGrid>
      <w:tr w14:paraId="3B7F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dxa"/>
            <w:shd w:val="clear" w:color="auto" w:fill="auto"/>
            <w:vAlign w:val="center"/>
          </w:tcPr>
          <w:p w14:paraId="30D11902">
            <w:pPr>
              <w:jc w:val="center"/>
              <w:rPr>
                <w:rFonts w:ascii="Times New Roman" w:hAnsi="Times New Roman"/>
                <w:b/>
                <w:color w:val="auto"/>
                <w:sz w:val="24"/>
                <w:szCs w:val="24"/>
              </w:rPr>
            </w:pPr>
            <w:r>
              <w:rPr>
                <w:rFonts w:ascii="Times New Roman" w:hAnsi="Times New Roman"/>
                <w:b/>
                <w:color w:val="auto"/>
                <w:sz w:val="24"/>
                <w:szCs w:val="24"/>
              </w:rPr>
              <w:t>地理位置</w:t>
            </w:r>
          </w:p>
        </w:tc>
        <w:tc>
          <w:tcPr>
            <w:tcW w:w="8609" w:type="dxa"/>
            <w:shd w:val="clear" w:color="auto" w:fill="auto"/>
          </w:tcPr>
          <w:p w14:paraId="60B9305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项目拟建220kV线路位于</w:t>
            </w:r>
            <w:r>
              <w:rPr>
                <w:rFonts w:hint="eastAsia" w:ascii="Times New Roman" w:hAnsi="Times New Roman"/>
                <w:color w:val="auto"/>
                <w:sz w:val="24"/>
                <w:szCs w:val="24"/>
              </w:rPr>
              <w:t>会泽县乐业镇境内</w:t>
            </w:r>
            <w:r>
              <w:rPr>
                <w:rFonts w:ascii="Times New Roman" w:hAnsi="Times New Roman"/>
                <w:color w:val="auto"/>
                <w:sz w:val="24"/>
                <w:szCs w:val="24"/>
              </w:rPr>
              <w:t>，线路</w:t>
            </w:r>
            <w:r>
              <w:rPr>
                <w:rFonts w:hint="eastAsia" w:ascii="Times New Roman" w:hAnsi="Times New Roman"/>
                <w:color w:val="auto"/>
                <w:sz w:val="24"/>
                <w:szCs w:val="24"/>
              </w:rPr>
              <w:t>起点：</w:t>
            </w:r>
            <w:r>
              <w:rPr>
                <w:rFonts w:ascii="Times New Roman" w:hAnsi="Times New Roman"/>
                <w:color w:val="auto"/>
                <w:sz w:val="24"/>
                <w:szCs w:val="24"/>
              </w:rPr>
              <w:t>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26</w:t>
            </w:r>
            <w:r>
              <w:rPr>
                <w:rFonts w:ascii="Times New Roman" w:hAnsi="Times New Roman"/>
                <w:color w:val="auto"/>
                <w:sz w:val="24"/>
                <w:szCs w:val="24"/>
              </w:rPr>
              <w:t>′</w:t>
            </w:r>
            <w:r>
              <w:rPr>
                <w:rFonts w:hint="eastAsia" w:ascii="Times New Roman" w:hAnsi="Times New Roman"/>
                <w:color w:val="auto"/>
                <w:sz w:val="24"/>
                <w:szCs w:val="24"/>
              </w:rPr>
              <w:t>53.437</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35</w:t>
            </w:r>
            <w:r>
              <w:rPr>
                <w:rFonts w:ascii="Times New Roman" w:hAnsi="Times New Roman"/>
                <w:color w:val="auto"/>
                <w:sz w:val="24"/>
                <w:szCs w:val="24"/>
              </w:rPr>
              <w:t>′</w:t>
            </w:r>
            <w:r>
              <w:rPr>
                <w:rFonts w:hint="eastAsia" w:ascii="Times New Roman" w:hAnsi="Times New Roman"/>
                <w:color w:val="auto"/>
                <w:sz w:val="24"/>
                <w:szCs w:val="24"/>
              </w:rPr>
              <w:t>1.042</w:t>
            </w:r>
            <w:r>
              <w:rPr>
                <w:rFonts w:ascii="Times New Roman" w:hAnsi="Times New Roman"/>
                <w:color w:val="auto"/>
                <w:sz w:val="24"/>
                <w:szCs w:val="24"/>
              </w:rPr>
              <w:t>″</w:t>
            </w:r>
            <w:r>
              <w:rPr>
                <w:rFonts w:hint="eastAsia" w:ascii="Times New Roman" w:hAnsi="Times New Roman"/>
                <w:color w:val="auto"/>
                <w:sz w:val="24"/>
                <w:szCs w:val="24"/>
              </w:rPr>
              <w:t>；</w:t>
            </w:r>
            <w:r>
              <w:rPr>
                <w:rFonts w:ascii="Times New Roman" w:hAnsi="Times New Roman"/>
                <w:color w:val="auto"/>
                <w:sz w:val="24"/>
                <w:szCs w:val="24"/>
              </w:rPr>
              <w:t>终点10</w:t>
            </w:r>
            <w:r>
              <w:rPr>
                <w:rFonts w:hint="eastAsia" w:ascii="Times New Roman" w:hAnsi="Times New Roman"/>
                <w:color w:val="auto"/>
                <w:sz w:val="24"/>
                <w:szCs w:val="24"/>
              </w:rPr>
              <w:t>3</w:t>
            </w:r>
            <w:r>
              <w:rPr>
                <w:rFonts w:ascii="Times New Roman" w:hAnsi="Times New Roman"/>
                <w:color w:val="auto"/>
                <w:sz w:val="24"/>
                <w:szCs w:val="24"/>
              </w:rPr>
              <w:t>°</w:t>
            </w:r>
            <w:r>
              <w:rPr>
                <w:rFonts w:hint="eastAsia" w:ascii="Times New Roman" w:hAnsi="Times New Roman"/>
                <w:color w:val="auto"/>
                <w:sz w:val="24"/>
                <w:szCs w:val="24"/>
              </w:rPr>
              <w:t>32</w:t>
            </w:r>
            <w:r>
              <w:rPr>
                <w:rFonts w:ascii="Times New Roman" w:hAnsi="Times New Roman"/>
                <w:color w:val="auto"/>
                <w:sz w:val="24"/>
                <w:szCs w:val="24"/>
              </w:rPr>
              <w:t>′</w:t>
            </w:r>
            <w:r>
              <w:rPr>
                <w:rFonts w:hint="eastAsia" w:ascii="Times New Roman" w:hAnsi="Times New Roman"/>
                <w:color w:val="auto"/>
                <w:sz w:val="24"/>
                <w:szCs w:val="24"/>
              </w:rPr>
              <w:t>59.253</w:t>
            </w:r>
            <w:r>
              <w:rPr>
                <w:rFonts w:ascii="Times New Roman" w:hAnsi="Times New Roman"/>
                <w:color w:val="auto"/>
                <w:sz w:val="24"/>
                <w:szCs w:val="24"/>
              </w:rPr>
              <w:t>″，2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43</w:t>
            </w:r>
            <w:r>
              <w:rPr>
                <w:rFonts w:ascii="Times New Roman" w:hAnsi="Times New Roman"/>
                <w:color w:val="auto"/>
                <w:sz w:val="24"/>
                <w:szCs w:val="24"/>
              </w:rPr>
              <w:t>′</w:t>
            </w:r>
            <w:r>
              <w:rPr>
                <w:rFonts w:hint="eastAsia" w:ascii="Times New Roman" w:hAnsi="Times New Roman"/>
                <w:color w:val="auto"/>
                <w:sz w:val="24"/>
                <w:szCs w:val="24"/>
              </w:rPr>
              <w:t>54.543</w:t>
            </w:r>
            <w:r>
              <w:rPr>
                <w:rFonts w:ascii="Times New Roman" w:hAnsi="Times New Roman"/>
                <w:color w:val="auto"/>
                <w:sz w:val="24"/>
                <w:szCs w:val="24"/>
              </w:rPr>
              <w:t>″</w:t>
            </w:r>
            <w:r>
              <w:rPr>
                <w:rFonts w:hint="eastAsia" w:ascii="Times New Roman" w:hAnsi="Times New Roman"/>
                <w:color w:val="auto"/>
                <w:sz w:val="24"/>
                <w:szCs w:val="24"/>
              </w:rPr>
              <w:t>。</w:t>
            </w:r>
            <w:r>
              <w:rPr>
                <w:rFonts w:ascii="Times New Roman" w:hAnsi="Times New Roman"/>
                <w:color w:val="auto"/>
                <w:sz w:val="24"/>
                <w:szCs w:val="24"/>
              </w:rPr>
              <w:t>项目距离会泽县直线距离约35公里，项目区靠近G85银昆高速、G213国道，交通便利，项目地理位置图见附图1。</w:t>
            </w:r>
          </w:p>
        </w:tc>
      </w:tr>
      <w:tr w14:paraId="71B6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452" w:type="dxa"/>
            <w:shd w:val="clear" w:color="auto" w:fill="auto"/>
            <w:vAlign w:val="center"/>
          </w:tcPr>
          <w:p w14:paraId="312B5320">
            <w:pPr>
              <w:jc w:val="center"/>
              <w:rPr>
                <w:rFonts w:ascii="Times New Roman" w:hAnsi="Times New Roman"/>
                <w:b/>
                <w:color w:val="auto"/>
                <w:sz w:val="24"/>
                <w:szCs w:val="24"/>
              </w:rPr>
            </w:pPr>
          </w:p>
          <w:p w14:paraId="6620AF04">
            <w:pPr>
              <w:jc w:val="center"/>
              <w:rPr>
                <w:rFonts w:ascii="Times New Roman" w:hAnsi="Times New Roman"/>
                <w:b/>
                <w:color w:val="auto"/>
                <w:sz w:val="24"/>
                <w:szCs w:val="24"/>
              </w:rPr>
            </w:pPr>
          </w:p>
          <w:p w14:paraId="0EE715BB">
            <w:pPr>
              <w:jc w:val="center"/>
              <w:rPr>
                <w:rFonts w:ascii="Times New Roman" w:hAnsi="Times New Roman"/>
                <w:b/>
                <w:color w:val="auto"/>
                <w:sz w:val="24"/>
                <w:szCs w:val="24"/>
              </w:rPr>
            </w:pPr>
          </w:p>
          <w:p w14:paraId="52396247">
            <w:pPr>
              <w:jc w:val="center"/>
              <w:rPr>
                <w:rFonts w:ascii="Times New Roman" w:hAnsi="Times New Roman"/>
                <w:b/>
                <w:color w:val="auto"/>
                <w:sz w:val="24"/>
                <w:szCs w:val="24"/>
              </w:rPr>
            </w:pPr>
          </w:p>
          <w:p w14:paraId="7E7C123C">
            <w:pPr>
              <w:jc w:val="center"/>
              <w:rPr>
                <w:rFonts w:ascii="Times New Roman" w:hAnsi="Times New Roman"/>
                <w:b/>
                <w:color w:val="auto"/>
                <w:sz w:val="24"/>
                <w:szCs w:val="24"/>
              </w:rPr>
            </w:pPr>
          </w:p>
          <w:p w14:paraId="78D47CD5">
            <w:pPr>
              <w:jc w:val="center"/>
              <w:rPr>
                <w:rFonts w:ascii="Times New Roman" w:hAnsi="Times New Roman"/>
                <w:b/>
                <w:color w:val="auto"/>
                <w:sz w:val="24"/>
                <w:szCs w:val="24"/>
              </w:rPr>
            </w:pPr>
          </w:p>
          <w:p w14:paraId="0AC5ED18">
            <w:pPr>
              <w:jc w:val="center"/>
              <w:rPr>
                <w:rFonts w:ascii="Times New Roman" w:hAnsi="Times New Roman"/>
                <w:b/>
                <w:color w:val="auto"/>
                <w:sz w:val="24"/>
                <w:szCs w:val="24"/>
              </w:rPr>
            </w:pPr>
          </w:p>
          <w:p w14:paraId="662572FB">
            <w:pPr>
              <w:jc w:val="center"/>
              <w:rPr>
                <w:rFonts w:ascii="Times New Roman" w:hAnsi="Times New Roman"/>
                <w:b/>
                <w:color w:val="auto"/>
                <w:sz w:val="24"/>
                <w:szCs w:val="24"/>
              </w:rPr>
            </w:pPr>
          </w:p>
          <w:p w14:paraId="45B8E90A">
            <w:pPr>
              <w:jc w:val="center"/>
              <w:rPr>
                <w:rFonts w:ascii="Times New Roman" w:hAnsi="Times New Roman"/>
                <w:b/>
                <w:color w:val="auto"/>
                <w:sz w:val="24"/>
                <w:szCs w:val="24"/>
              </w:rPr>
            </w:pPr>
          </w:p>
          <w:p w14:paraId="61D10703">
            <w:pPr>
              <w:jc w:val="center"/>
              <w:rPr>
                <w:rFonts w:ascii="Times New Roman" w:hAnsi="Times New Roman"/>
                <w:b/>
                <w:color w:val="auto"/>
                <w:sz w:val="24"/>
                <w:szCs w:val="24"/>
              </w:rPr>
            </w:pPr>
          </w:p>
          <w:p w14:paraId="2B06EAE3">
            <w:pPr>
              <w:jc w:val="center"/>
              <w:rPr>
                <w:rFonts w:ascii="Times New Roman" w:hAnsi="Times New Roman"/>
                <w:b/>
                <w:color w:val="auto"/>
                <w:sz w:val="24"/>
                <w:szCs w:val="24"/>
              </w:rPr>
            </w:pPr>
          </w:p>
          <w:p w14:paraId="436DD66A">
            <w:pPr>
              <w:jc w:val="center"/>
              <w:rPr>
                <w:rFonts w:ascii="Times New Roman" w:hAnsi="Times New Roman"/>
                <w:b/>
                <w:color w:val="auto"/>
                <w:sz w:val="24"/>
                <w:szCs w:val="24"/>
              </w:rPr>
            </w:pPr>
            <w:r>
              <w:rPr>
                <w:rFonts w:ascii="Times New Roman" w:hAnsi="Times New Roman"/>
                <w:b/>
                <w:color w:val="auto"/>
                <w:sz w:val="24"/>
                <w:szCs w:val="24"/>
              </w:rPr>
              <w:t>项目组成及规模</w:t>
            </w:r>
          </w:p>
          <w:p w14:paraId="67C77314">
            <w:pPr>
              <w:jc w:val="center"/>
              <w:rPr>
                <w:rFonts w:ascii="Times New Roman" w:hAnsi="Times New Roman"/>
                <w:b/>
                <w:color w:val="auto"/>
                <w:sz w:val="24"/>
                <w:szCs w:val="24"/>
              </w:rPr>
            </w:pPr>
          </w:p>
          <w:p w14:paraId="6996A68C">
            <w:pPr>
              <w:jc w:val="center"/>
              <w:rPr>
                <w:rFonts w:ascii="Times New Roman" w:hAnsi="Times New Roman"/>
                <w:b/>
                <w:color w:val="auto"/>
                <w:sz w:val="24"/>
                <w:szCs w:val="24"/>
              </w:rPr>
            </w:pPr>
          </w:p>
          <w:p w14:paraId="5380325C">
            <w:pPr>
              <w:jc w:val="center"/>
              <w:rPr>
                <w:rFonts w:ascii="Times New Roman" w:hAnsi="Times New Roman"/>
                <w:b/>
                <w:color w:val="auto"/>
                <w:sz w:val="24"/>
                <w:szCs w:val="24"/>
              </w:rPr>
            </w:pPr>
          </w:p>
          <w:p w14:paraId="7818C3AB">
            <w:pPr>
              <w:jc w:val="center"/>
              <w:rPr>
                <w:rFonts w:ascii="Times New Roman" w:hAnsi="Times New Roman"/>
                <w:b/>
                <w:color w:val="auto"/>
                <w:sz w:val="24"/>
                <w:szCs w:val="24"/>
              </w:rPr>
            </w:pPr>
          </w:p>
          <w:p w14:paraId="69176590">
            <w:pPr>
              <w:jc w:val="center"/>
              <w:rPr>
                <w:rFonts w:ascii="Times New Roman" w:hAnsi="Times New Roman"/>
                <w:b/>
                <w:color w:val="auto"/>
                <w:sz w:val="24"/>
                <w:szCs w:val="24"/>
              </w:rPr>
            </w:pPr>
          </w:p>
          <w:p w14:paraId="41A03BA0">
            <w:pPr>
              <w:jc w:val="center"/>
              <w:rPr>
                <w:rFonts w:ascii="Times New Roman" w:hAnsi="Times New Roman"/>
                <w:b/>
                <w:color w:val="auto"/>
                <w:sz w:val="24"/>
                <w:szCs w:val="24"/>
              </w:rPr>
            </w:pPr>
          </w:p>
          <w:p w14:paraId="3B1C3BB2">
            <w:pPr>
              <w:jc w:val="center"/>
              <w:rPr>
                <w:rFonts w:ascii="Times New Roman" w:hAnsi="Times New Roman"/>
                <w:b/>
                <w:color w:val="auto"/>
                <w:sz w:val="24"/>
                <w:szCs w:val="24"/>
              </w:rPr>
            </w:pPr>
          </w:p>
          <w:p w14:paraId="452AFBF2">
            <w:pPr>
              <w:jc w:val="center"/>
              <w:rPr>
                <w:rFonts w:ascii="Times New Roman" w:hAnsi="Times New Roman"/>
                <w:b/>
                <w:color w:val="auto"/>
                <w:sz w:val="24"/>
                <w:szCs w:val="24"/>
              </w:rPr>
            </w:pPr>
          </w:p>
          <w:p w14:paraId="1D105C6A">
            <w:pPr>
              <w:jc w:val="center"/>
              <w:rPr>
                <w:rFonts w:ascii="Times New Roman" w:hAnsi="Times New Roman"/>
                <w:b/>
                <w:color w:val="auto"/>
                <w:sz w:val="24"/>
                <w:szCs w:val="24"/>
              </w:rPr>
            </w:pPr>
          </w:p>
          <w:p w14:paraId="17B61EC2">
            <w:pPr>
              <w:jc w:val="center"/>
              <w:rPr>
                <w:rFonts w:ascii="Times New Roman" w:hAnsi="Times New Roman"/>
                <w:b/>
                <w:color w:val="auto"/>
                <w:sz w:val="24"/>
                <w:szCs w:val="24"/>
              </w:rPr>
            </w:pPr>
          </w:p>
          <w:p w14:paraId="40C6C08F">
            <w:pPr>
              <w:jc w:val="center"/>
              <w:rPr>
                <w:rFonts w:ascii="Times New Roman" w:hAnsi="Times New Roman"/>
                <w:b/>
                <w:color w:val="auto"/>
                <w:sz w:val="24"/>
                <w:szCs w:val="24"/>
              </w:rPr>
            </w:pPr>
          </w:p>
          <w:p w14:paraId="23D5FDC0">
            <w:pPr>
              <w:jc w:val="center"/>
              <w:rPr>
                <w:rFonts w:ascii="Times New Roman" w:hAnsi="Times New Roman"/>
                <w:b/>
                <w:color w:val="auto"/>
                <w:sz w:val="24"/>
                <w:szCs w:val="24"/>
              </w:rPr>
            </w:pPr>
          </w:p>
          <w:p w14:paraId="63747362">
            <w:pPr>
              <w:jc w:val="center"/>
              <w:rPr>
                <w:rFonts w:ascii="Times New Roman" w:hAnsi="Times New Roman"/>
                <w:b/>
                <w:color w:val="auto"/>
                <w:sz w:val="24"/>
                <w:szCs w:val="24"/>
              </w:rPr>
            </w:pPr>
          </w:p>
          <w:p w14:paraId="057B5F21">
            <w:pPr>
              <w:jc w:val="center"/>
              <w:rPr>
                <w:rFonts w:ascii="Times New Roman" w:hAnsi="Times New Roman"/>
                <w:b/>
                <w:color w:val="auto"/>
                <w:sz w:val="24"/>
                <w:szCs w:val="24"/>
              </w:rPr>
            </w:pPr>
          </w:p>
          <w:p w14:paraId="68FD375F">
            <w:pPr>
              <w:jc w:val="center"/>
              <w:rPr>
                <w:rFonts w:ascii="Times New Roman" w:hAnsi="Times New Roman"/>
                <w:b/>
                <w:color w:val="auto"/>
                <w:sz w:val="24"/>
                <w:szCs w:val="24"/>
              </w:rPr>
            </w:pPr>
          </w:p>
          <w:p w14:paraId="5542352A">
            <w:pPr>
              <w:jc w:val="center"/>
              <w:rPr>
                <w:rFonts w:ascii="Times New Roman" w:hAnsi="Times New Roman"/>
                <w:b/>
                <w:color w:val="auto"/>
                <w:sz w:val="24"/>
                <w:szCs w:val="24"/>
              </w:rPr>
            </w:pPr>
          </w:p>
          <w:p w14:paraId="67FE7D8C">
            <w:pPr>
              <w:jc w:val="center"/>
              <w:rPr>
                <w:rFonts w:ascii="Times New Roman" w:hAnsi="Times New Roman"/>
                <w:b/>
                <w:color w:val="auto"/>
                <w:sz w:val="24"/>
                <w:szCs w:val="24"/>
              </w:rPr>
            </w:pPr>
          </w:p>
          <w:p w14:paraId="29235647">
            <w:pPr>
              <w:jc w:val="center"/>
              <w:rPr>
                <w:rFonts w:ascii="Times New Roman" w:hAnsi="Times New Roman"/>
                <w:b/>
                <w:color w:val="auto"/>
                <w:sz w:val="24"/>
                <w:szCs w:val="24"/>
              </w:rPr>
            </w:pPr>
          </w:p>
          <w:p w14:paraId="4BB1A348">
            <w:pPr>
              <w:jc w:val="center"/>
              <w:rPr>
                <w:rFonts w:ascii="Times New Roman" w:hAnsi="Times New Roman"/>
                <w:b/>
                <w:color w:val="auto"/>
                <w:sz w:val="24"/>
                <w:szCs w:val="24"/>
              </w:rPr>
            </w:pPr>
          </w:p>
          <w:p w14:paraId="78D1D18D">
            <w:pPr>
              <w:jc w:val="center"/>
              <w:rPr>
                <w:rFonts w:ascii="Times New Roman" w:hAnsi="Times New Roman"/>
                <w:b/>
                <w:color w:val="auto"/>
                <w:sz w:val="24"/>
                <w:szCs w:val="24"/>
              </w:rPr>
            </w:pPr>
          </w:p>
          <w:p w14:paraId="24610A9B">
            <w:pPr>
              <w:jc w:val="center"/>
              <w:rPr>
                <w:rFonts w:ascii="Times New Roman" w:hAnsi="Times New Roman"/>
                <w:b/>
                <w:color w:val="auto"/>
                <w:sz w:val="24"/>
                <w:szCs w:val="24"/>
              </w:rPr>
            </w:pPr>
          </w:p>
          <w:p w14:paraId="39E0A3DE">
            <w:pPr>
              <w:jc w:val="center"/>
              <w:rPr>
                <w:rFonts w:ascii="Times New Roman" w:hAnsi="Times New Roman"/>
                <w:b/>
                <w:color w:val="auto"/>
                <w:sz w:val="24"/>
                <w:szCs w:val="24"/>
              </w:rPr>
            </w:pPr>
          </w:p>
          <w:p w14:paraId="79FB4107">
            <w:pPr>
              <w:jc w:val="center"/>
              <w:rPr>
                <w:rFonts w:ascii="Times New Roman" w:hAnsi="Times New Roman"/>
                <w:b/>
                <w:color w:val="auto"/>
                <w:sz w:val="24"/>
                <w:szCs w:val="24"/>
              </w:rPr>
            </w:pPr>
          </w:p>
          <w:p w14:paraId="36FAB164">
            <w:pPr>
              <w:jc w:val="center"/>
              <w:rPr>
                <w:rFonts w:ascii="Times New Roman" w:hAnsi="Times New Roman"/>
                <w:b/>
                <w:color w:val="auto"/>
                <w:sz w:val="24"/>
                <w:szCs w:val="24"/>
              </w:rPr>
            </w:pPr>
          </w:p>
          <w:p w14:paraId="4A7408F1">
            <w:pPr>
              <w:jc w:val="center"/>
              <w:rPr>
                <w:rFonts w:ascii="Times New Roman" w:hAnsi="Times New Roman"/>
                <w:b/>
                <w:color w:val="auto"/>
                <w:sz w:val="24"/>
                <w:szCs w:val="24"/>
              </w:rPr>
            </w:pPr>
          </w:p>
          <w:p w14:paraId="6087E78E">
            <w:pPr>
              <w:jc w:val="center"/>
              <w:rPr>
                <w:rFonts w:ascii="Times New Roman" w:hAnsi="Times New Roman"/>
                <w:b/>
                <w:color w:val="auto"/>
                <w:sz w:val="24"/>
                <w:szCs w:val="24"/>
              </w:rPr>
            </w:pPr>
          </w:p>
          <w:p w14:paraId="58CB22E7">
            <w:pPr>
              <w:jc w:val="center"/>
              <w:rPr>
                <w:rFonts w:ascii="Times New Roman" w:hAnsi="Times New Roman"/>
                <w:b/>
                <w:color w:val="auto"/>
                <w:sz w:val="24"/>
                <w:szCs w:val="24"/>
              </w:rPr>
            </w:pPr>
          </w:p>
          <w:p w14:paraId="0406DC7A">
            <w:pPr>
              <w:jc w:val="center"/>
              <w:rPr>
                <w:rFonts w:ascii="Times New Roman" w:hAnsi="Times New Roman"/>
                <w:b/>
                <w:color w:val="auto"/>
                <w:sz w:val="24"/>
                <w:szCs w:val="24"/>
              </w:rPr>
            </w:pPr>
          </w:p>
          <w:p w14:paraId="1644DEA8">
            <w:pPr>
              <w:jc w:val="center"/>
              <w:rPr>
                <w:rFonts w:ascii="Times New Roman" w:hAnsi="Times New Roman"/>
                <w:b/>
                <w:color w:val="auto"/>
                <w:sz w:val="24"/>
                <w:szCs w:val="24"/>
              </w:rPr>
            </w:pPr>
          </w:p>
          <w:p w14:paraId="6B1E9E8F">
            <w:pPr>
              <w:jc w:val="center"/>
              <w:rPr>
                <w:rFonts w:ascii="Times New Roman" w:hAnsi="Times New Roman"/>
                <w:b/>
                <w:color w:val="auto"/>
                <w:sz w:val="24"/>
                <w:szCs w:val="24"/>
              </w:rPr>
            </w:pPr>
            <w:r>
              <w:rPr>
                <w:rFonts w:ascii="Times New Roman" w:hAnsi="Times New Roman"/>
                <w:b/>
                <w:color w:val="auto"/>
                <w:sz w:val="24"/>
                <w:szCs w:val="24"/>
              </w:rPr>
              <w:t>项目组成及规模</w:t>
            </w:r>
          </w:p>
        </w:tc>
        <w:tc>
          <w:tcPr>
            <w:tcW w:w="8609" w:type="dxa"/>
            <w:shd w:val="clear" w:color="auto" w:fill="auto"/>
          </w:tcPr>
          <w:p w14:paraId="10B5B163">
            <w:pPr>
              <w:numPr>
                <w:ilvl w:val="0"/>
                <w:numId w:val="2"/>
              </w:num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项目背景</w:t>
            </w:r>
          </w:p>
          <w:p w14:paraId="2562E9E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“十四五”期间，随着云南高载能用户的大量投产，云南的电力市场需求大幅增加，曲靖市负荷发展速度较快，需要新能源缓解云南的供需矛盾；曲靖市“十四五”负荷发展速度较快，尤其是</w:t>
            </w:r>
            <w:r>
              <w:rPr>
                <w:rFonts w:hint="eastAsia" w:ascii="Times New Roman" w:hAnsi="Times New Roman"/>
                <w:color w:val="auto"/>
                <w:sz w:val="24"/>
                <w:szCs w:val="24"/>
              </w:rPr>
              <w:t>随着</w:t>
            </w:r>
            <w:r>
              <w:rPr>
                <w:rFonts w:ascii="Times New Roman" w:hAnsi="Times New Roman"/>
                <w:color w:val="auto"/>
                <w:sz w:val="24"/>
                <w:szCs w:val="24"/>
              </w:rPr>
              <w:t>电解硅、钢铁、电池等项目的陆续投产负荷需求突增，位于曲靖南部的会泽县为曲靖电网的末端，供电范围较大，配电网网架较为薄弱，受地理条件影响高压配电网项目建设推进难度较大，从缓解现有曲靖电网供电压力、提高会泽配电网供电可靠性、满足负荷发展的角度来看，新能源的并网对会泽电网是有必要的；光伏作为一种高效清洁的能源技术，几乎不产生污染，具有很高的环境价值，项目建成后，可以代替燃煤电厂，减少废气、废渣的排放。</w:t>
            </w:r>
          </w:p>
          <w:p w14:paraId="5EB4DD1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项目位于曲靖市会泽县乐业镇，</w:t>
            </w:r>
            <w:r>
              <w:rPr>
                <w:rFonts w:hint="eastAsia" w:ascii="Times New Roman" w:hAnsi="Times New Roman"/>
                <w:color w:val="auto"/>
                <w:sz w:val="24"/>
                <w:szCs w:val="24"/>
              </w:rPr>
              <w:t>六合一</w:t>
            </w:r>
            <w:r>
              <w:rPr>
                <w:rFonts w:ascii="Times New Roman" w:hAnsi="Times New Roman"/>
                <w:color w:val="auto"/>
                <w:sz w:val="24"/>
                <w:szCs w:val="24"/>
              </w:rPr>
              <w:t>光伏电站装机容量</w:t>
            </w:r>
            <w:r>
              <w:rPr>
                <w:rFonts w:hint="eastAsia" w:ascii="Times New Roman" w:hAnsi="Times New Roman"/>
                <w:color w:val="auto"/>
                <w:sz w:val="24"/>
                <w:szCs w:val="24"/>
              </w:rPr>
              <w:t>148</w:t>
            </w:r>
            <w:r>
              <w:rPr>
                <w:rFonts w:ascii="Times New Roman" w:hAnsi="Times New Roman"/>
                <w:color w:val="auto"/>
                <w:sz w:val="24"/>
                <w:szCs w:val="24"/>
              </w:rPr>
              <w:t>MW，</w:t>
            </w:r>
            <w:r>
              <w:rPr>
                <w:rFonts w:hint="eastAsia" w:ascii="Times New Roman" w:hAnsi="Times New Roman"/>
                <w:color w:val="auto"/>
                <w:sz w:val="24"/>
                <w:szCs w:val="24"/>
              </w:rPr>
              <w:t>项目的</w:t>
            </w:r>
            <w:r>
              <w:rPr>
                <w:rFonts w:ascii="Times New Roman" w:hAnsi="Times New Roman"/>
                <w:color w:val="auto"/>
                <w:sz w:val="24"/>
                <w:szCs w:val="24"/>
              </w:rPr>
              <w:t>建设能够优化曲靖市会泽县的能源结构，有助于节能减排</w:t>
            </w:r>
            <w:r>
              <w:rPr>
                <w:rFonts w:hint="eastAsia" w:ascii="Times New Roman" w:hAnsi="Times New Roman"/>
                <w:color w:val="auto"/>
                <w:sz w:val="24"/>
                <w:szCs w:val="24"/>
              </w:rPr>
              <w:t>，具</w:t>
            </w:r>
            <w:r>
              <w:rPr>
                <w:rFonts w:ascii="Times New Roman" w:hAnsi="Times New Roman"/>
                <w:color w:val="auto"/>
                <w:sz w:val="24"/>
                <w:szCs w:val="24"/>
              </w:rPr>
              <w:t>有良好的环境效益，符合当地经济发展的需求，具有较好的社会效益和经济效益。为优化会泽县电网网架结构，有必要建设</w:t>
            </w: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w:t>
            </w:r>
          </w:p>
          <w:p w14:paraId="5B92E42B">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二、项目组成及规模</w:t>
            </w:r>
          </w:p>
          <w:p w14:paraId="2D48288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rPr>
              <w:t>根据设计及建设单位核实确认，</w:t>
            </w:r>
            <w:r>
              <w:rPr>
                <w:rFonts w:ascii="Times New Roman" w:hAnsi="Times New Roman"/>
                <w:color w:val="auto"/>
                <w:sz w:val="24"/>
                <w:szCs w:val="24"/>
              </w:rPr>
              <w:t>本</w:t>
            </w:r>
            <w:r>
              <w:rPr>
                <w:rFonts w:hint="eastAsia" w:ascii="Times New Roman" w:hAnsi="Times New Roman"/>
                <w:color w:val="auto"/>
                <w:sz w:val="24"/>
                <w:szCs w:val="24"/>
              </w:rPr>
              <w:t>工程新建220kV线路22km，起于六合村一期光伏项目220kV升压站出线构架，迄于500kV乐业变220kV侧构架。采用单回路架设，其中，路径长约2×1.2km（同塔双回单边挂线）+20.8km（单回路架设），10mm冰区选用2×JNRLH1/LB20A-400/50铝包钢芯耐热铝合金绞线、20mm冰区选用2×JNRLH1/LB20A-400/65铝包钢芯耐热铝合金绞线。新建铁塔61基，其中直线塔38基，耐张塔23基，采用三角、垂直排列，其中线路塔基N7-N27共21基水平排列，长度5.676km；线路塔基N55-N61共7基塔为垂直排列，长度1.2km，其余</w:t>
            </w:r>
            <w:r>
              <w:rPr>
                <w:rFonts w:ascii="Times New Roman" w:hAnsi="Times New Roman"/>
                <w:color w:val="auto"/>
                <w:sz w:val="24"/>
                <w:szCs w:val="24"/>
              </w:rPr>
              <w:t>线路导线架设为三角排列，长度</w:t>
            </w:r>
            <w:r>
              <w:rPr>
                <w:rFonts w:hint="eastAsia" w:ascii="Times New Roman" w:hAnsi="Times New Roman"/>
                <w:color w:val="auto"/>
                <w:sz w:val="24"/>
                <w:szCs w:val="24"/>
              </w:rPr>
              <w:t>15.124</w:t>
            </w:r>
            <w:r>
              <w:rPr>
                <w:rFonts w:ascii="Times New Roman" w:hAnsi="Times New Roman"/>
                <w:color w:val="auto"/>
                <w:sz w:val="24"/>
                <w:szCs w:val="24"/>
              </w:rPr>
              <w:t>km，共3</w:t>
            </w:r>
            <w:r>
              <w:rPr>
                <w:rFonts w:hint="eastAsia" w:ascii="Times New Roman" w:hAnsi="Times New Roman"/>
                <w:color w:val="auto"/>
                <w:sz w:val="24"/>
                <w:szCs w:val="24"/>
              </w:rPr>
              <w:t>3</w:t>
            </w:r>
            <w:r>
              <w:rPr>
                <w:rFonts w:ascii="Times New Roman" w:hAnsi="Times New Roman"/>
                <w:color w:val="auto"/>
                <w:sz w:val="24"/>
                <w:szCs w:val="24"/>
              </w:rPr>
              <w:t>基塔。</w:t>
            </w:r>
          </w:p>
          <w:p w14:paraId="444793E4">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地线型号：随新建线路架设2根OPGW光缆，同塔双回单边挂线段采用2根OPGW-120光缆，其余段采用2根OPGW-100光缆。</w:t>
            </w:r>
            <w:r>
              <w:rPr>
                <w:rFonts w:ascii="Times New Roman" w:hAnsi="Times New Roman"/>
                <w:color w:val="auto"/>
                <w:sz w:val="24"/>
                <w:szCs w:val="24"/>
              </w:rPr>
              <w:t>本项目建设内容见下表。</w:t>
            </w:r>
          </w:p>
          <w:p w14:paraId="09016B4C">
            <w:pPr>
              <w:adjustRightInd w:val="0"/>
              <w:snapToGrid w:val="0"/>
              <w:jc w:val="center"/>
              <w:rPr>
                <w:rFonts w:ascii="Times New Roman" w:hAnsi="Times New Roman"/>
                <w:b/>
                <w:color w:val="auto"/>
                <w:sz w:val="24"/>
                <w:szCs w:val="24"/>
              </w:rPr>
            </w:pPr>
          </w:p>
          <w:p w14:paraId="167DF171">
            <w:pPr>
              <w:adjustRightInd w:val="0"/>
              <w:snapToGrid w:val="0"/>
              <w:jc w:val="center"/>
              <w:rPr>
                <w:rFonts w:ascii="Times New Roman" w:hAnsi="Times New Roman"/>
                <w:b/>
                <w:color w:val="auto"/>
                <w:sz w:val="24"/>
                <w:szCs w:val="24"/>
              </w:rPr>
            </w:pPr>
          </w:p>
          <w:p w14:paraId="78A443AE">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表2-1  工程建设规模一览表</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99"/>
              <w:gridCol w:w="5043"/>
              <w:gridCol w:w="1336"/>
            </w:tblGrid>
            <w:tr w14:paraId="4BC5B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shd w:val="clear" w:color="auto" w:fill="auto"/>
                  <w:vAlign w:val="center"/>
                </w:tcPr>
                <w:p w14:paraId="50C55CED">
                  <w:pPr>
                    <w:adjustRightInd w:val="0"/>
                    <w:snapToGrid w:val="0"/>
                    <w:jc w:val="center"/>
                    <w:rPr>
                      <w:rFonts w:ascii="Times New Roman" w:hAnsi="Times New Roman"/>
                      <w:b/>
                      <w:color w:val="auto"/>
                      <w:szCs w:val="21"/>
                    </w:rPr>
                  </w:pPr>
                  <w:r>
                    <w:rPr>
                      <w:rFonts w:ascii="Times New Roman" w:hAnsi="Times New Roman"/>
                      <w:b/>
                      <w:color w:val="auto"/>
                      <w:szCs w:val="21"/>
                    </w:rPr>
                    <w:t>工程</w:t>
                  </w:r>
                </w:p>
              </w:tc>
              <w:tc>
                <w:tcPr>
                  <w:tcW w:w="774" w:type="pct"/>
                  <w:shd w:val="clear" w:color="auto" w:fill="auto"/>
                  <w:vAlign w:val="center"/>
                </w:tcPr>
                <w:p w14:paraId="3E8ACD89">
                  <w:pPr>
                    <w:adjustRightInd w:val="0"/>
                    <w:snapToGrid w:val="0"/>
                    <w:jc w:val="center"/>
                    <w:rPr>
                      <w:rFonts w:ascii="Times New Roman" w:hAnsi="Times New Roman"/>
                      <w:b/>
                      <w:color w:val="auto"/>
                      <w:szCs w:val="21"/>
                    </w:rPr>
                  </w:pPr>
                  <w:r>
                    <w:rPr>
                      <w:rFonts w:ascii="Times New Roman" w:hAnsi="Times New Roman"/>
                      <w:b/>
                      <w:color w:val="auto"/>
                      <w:szCs w:val="21"/>
                    </w:rPr>
                    <w:t>名称</w:t>
                  </w:r>
                </w:p>
              </w:tc>
              <w:tc>
                <w:tcPr>
                  <w:tcW w:w="3003" w:type="pct"/>
                  <w:shd w:val="clear" w:color="auto" w:fill="auto"/>
                  <w:vAlign w:val="center"/>
                </w:tcPr>
                <w:p w14:paraId="6DFBC7A6">
                  <w:pPr>
                    <w:adjustRightInd w:val="0"/>
                    <w:snapToGrid w:val="0"/>
                    <w:jc w:val="center"/>
                    <w:rPr>
                      <w:rFonts w:ascii="Times New Roman" w:hAnsi="Times New Roman"/>
                      <w:b/>
                      <w:color w:val="auto"/>
                      <w:szCs w:val="21"/>
                    </w:rPr>
                  </w:pPr>
                  <w:r>
                    <w:rPr>
                      <w:rFonts w:ascii="Times New Roman" w:hAnsi="Times New Roman"/>
                      <w:b/>
                      <w:color w:val="auto"/>
                      <w:szCs w:val="21"/>
                    </w:rPr>
                    <w:t>建设规模</w:t>
                  </w:r>
                </w:p>
              </w:tc>
              <w:tc>
                <w:tcPr>
                  <w:tcW w:w="796" w:type="pct"/>
                  <w:shd w:val="clear" w:color="auto" w:fill="auto"/>
                  <w:vAlign w:val="center"/>
                </w:tcPr>
                <w:p w14:paraId="6F272510">
                  <w:pPr>
                    <w:adjustRightInd w:val="0"/>
                    <w:snapToGrid w:val="0"/>
                    <w:jc w:val="center"/>
                    <w:rPr>
                      <w:rFonts w:ascii="Times New Roman" w:hAnsi="Times New Roman"/>
                      <w:b/>
                      <w:color w:val="auto"/>
                      <w:szCs w:val="21"/>
                    </w:rPr>
                  </w:pPr>
                  <w:r>
                    <w:rPr>
                      <w:rFonts w:ascii="Times New Roman" w:hAnsi="Times New Roman"/>
                      <w:b/>
                      <w:color w:val="auto"/>
                      <w:szCs w:val="21"/>
                    </w:rPr>
                    <w:t>备注</w:t>
                  </w:r>
                </w:p>
              </w:tc>
            </w:tr>
            <w:tr w14:paraId="02987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restart"/>
                  <w:shd w:val="clear" w:color="auto" w:fill="auto"/>
                  <w:vAlign w:val="center"/>
                </w:tcPr>
                <w:p w14:paraId="7B0DFD4A">
                  <w:pPr>
                    <w:adjustRightInd w:val="0"/>
                    <w:snapToGrid w:val="0"/>
                    <w:jc w:val="center"/>
                    <w:rPr>
                      <w:rFonts w:ascii="Times New Roman" w:hAnsi="Times New Roman"/>
                      <w:bCs/>
                      <w:color w:val="auto"/>
                      <w:szCs w:val="21"/>
                    </w:rPr>
                  </w:pPr>
                  <w:r>
                    <w:rPr>
                      <w:rFonts w:ascii="Times New Roman" w:hAnsi="Times New Roman"/>
                      <w:bCs/>
                      <w:color w:val="auto"/>
                      <w:szCs w:val="21"/>
                    </w:rPr>
                    <w:t>输电线路工程</w:t>
                  </w:r>
                </w:p>
              </w:tc>
              <w:tc>
                <w:tcPr>
                  <w:tcW w:w="774" w:type="pct"/>
                  <w:shd w:val="clear" w:color="auto" w:fill="auto"/>
                  <w:vAlign w:val="center"/>
                </w:tcPr>
                <w:p w14:paraId="62BAFD76">
                  <w:pPr>
                    <w:adjustRightInd w:val="0"/>
                    <w:snapToGrid w:val="0"/>
                    <w:jc w:val="center"/>
                    <w:rPr>
                      <w:rFonts w:ascii="Times New Roman" w:hAnsi="Times New Roman"/>
                      <w:bCs/>
                      <w:color w:val="auto"/>
                      <w:szCs w:val="21"/>
                    </w:rPr>
                  </w:pPr>
                  <w:r>
                    <w:rPr>
                      <w:rFonts w:ascii="Times New Roman" w:hAnsi="Times New Roman"/>
                      <w:bCs/>
                      <w:color w:val="auto"/>
                      <w:szCs w:val="21"/>
                    </w:rPr>
                    <w:t>220kV线路</w:t>
                  </w:r>
                </w:p>
              </w:tc>
              <w:tc>
                <w:tcPr>
                  <w:tcW w:w="3003" w:type="pct"/>
                  <w:shd w:val="clear" w:color="auto" w:fill="auto"/>
                  <w:vAlign w:val="center"/>
                </w:tcPr>
                <w:p w14:paraId="3A9A8231">
                  <w:pPr>
                    <w:adjustRightInd w:val="0"/>
                    <w:snapToGrid w:val="0"/>
                    <w:jc w:val="center"/>
                    <w:rPr>
                      <w:rFonts w:ascii="Times New Roman" w:hAnsi="Times New Roman"/>
                      <w:color w:val="auto"/>
                      <w:szCs w:val="21"/>
                    </w:rPr>
                  </w:pPr>
                  <w:r>
                    <w:rPr>
                      <w:rFonts w:ascii="Times New Roman" w:hAnsi="Times New Roman"/>
                      <w:color w:val="auto"/>
                      <w:szCs w:val="21"/>
                    </w:rPr>
                    <w:t>新建1回220kV架空输电线路，长</w:t>
                  </w:r>
                  <w:r>
                    <w:rPr>
                      <w:rFonts w:hint="eastAsia" w:ascii="Times New Roman" w:hAnsi="Times New Roman"/>
                      <w:color w:val="auto"/>
                      <w:szCs w:val="21"/>
                    </w:rPr>
                    <w:t>22</w:t>
                  </w:r>
                  <w:r>
                    <w:rPr>
                      <w:rFonts w:ascii="Times New Roman" w:hAnsi="Times New Roman"/>
                      <w:color w:val="auto"/>
                      <w:szCs w:val="21"/>
                    </w:rPr>
                    <w:t>km，采用单回路架设</w:t>
                  </w:r>
                  <w:r>
                    <w:rPr>
                      <w:rFonts w:hint="eastAsia" w:ascii="Times New Roman" w:hAnsi="Times New Roman"/>
                      <w:color w:val="auto"/>
                      <w:szCs w:val="21"/>
                    </w:rPr>
                    <w:t>，其中，路径长约2×1.2km（同塔双回单边挂线）+20.8km（单回路架设），10mm冰区选用2×JNRLH1/LB20A-400/50铝包钢芯耐热铝合金绞线、20mm冰区选用2×JNRLH1/LB20A-400/65铝包钢芯耐热铝合金绞线</w:t>
                  </w:r>
                  <w:r>
                    <w:rPr>
                      <w:rFonts w:ascii="Times New Roman" w:hAnsi="Times New Roman"/>
                      <w:color w:val="auto"/>
                      <w:szCs w:val="21"/>
                    </w:rPr>
                    <w:t>；导线截面选择</w:t>
                  </w:r>
                  <w:r>
                    <w:rPr>
                      <w:rFonts w:hint="eastAsia" w:ascii="Times New Roman" w:hAnsi="Times New Roman"/>
                      <w:color w:val="auto"/>
                      <w:szCs w:val="21"/>
                    </w:rPr>
                    <w:t>4</w:t>
                  </w:r>
                  <w:r>
                    <w:rPr>
                      <w:rFonts w:ascii="Times New Roman" w:hAnsi="Times New Roman"/>
                      <w:color w:val="auto"/>
                      <w:szCs w:val="21"/>
                    </w:rPr>
                    <w:t>00mm</w:t>
                  </w:r>
                  <w:r>
                    <w:rPr>
                      <w:rFonts w:ascii="Times New Roman" w:hAnsi="Times New Roman"/>
                      <w:color w:val="auto"/>
                      <w:szCs w:val="21"/>
                      <w:vertAlign w:val="superscript"/>
                    </w:rPr>
                    <w:t>2</w:t>
                  </w:r>
                  <w:r>
                    <w:rPr>
                      <w:rFonts w:ascii="Times New Roman" w:hAnsi="Times New Roman"/>
                      <w:color w:val="auto"/>
                      <w:szCs w:val="21"/>
                    </w:rPr>
                    <w:t>；电流为</w:t>
                  </w:r>
                  <w:r>
                    <w:rPr>
                      <w:rFonts w:hint="eastAsia" w:ascii="Times New Roman" w:hAnsi="Times New Roman"/>
                      <w:color w:val="auto"/>
                      <w:szCs w:val="21"/>
                    </w:rPr>
                    <w:t>1320</w:t>
                  </w:r>
                  <w:r>
                    <w:rPr>
                      <w:rFonts w:ascii="Times New Roman" w:hAnsi="Times New Roman"/>
                      <w:color w:val="auto"/>
                      <w:szCs w:val="21"/>
                    </w:rPr>
                    <w:t>A。线路塔基N7-N27共21基水平排列，长度5.676km；线路塔基N55-N61共7基塔为垂直排列，长度1.2km，其余线路导线架设为三角排列，长度15.124km，共33基塔。</w:t>
                  </w:r>
                </w:p>
              </w:tc>
              <w:tc>
                <w:tcPr>
                  <w:tcW w:w="796" w:type="pct"/>
                  <w:shd w:val="clear" w:color="auto" w:fill="auto"/>
                  <w:vAlign w:val="center"/>
                </w:tcPr>
                <w:p w14:paraId="548161F9">
                  <w:pPr>
                    <w:adjustRightInd w:val="0"/>
                    <w:snapToGrid w:val="0"/>
                    <w:jc w:val="center"/>
                    <w:rPr>
                      <w:rFonts w:ascii="Times New Roman" w:hAnsi="Times New Roman"/>
                      <w:color w:val="auto"/>
                      <w:szCs w:val="21"/>
                    </w:rPr>
                  </w:pPr>
                  <w:r>
                    <w:rPr>
                      <w:rFonts w:ascii="Times New Roman" w:hAnsi="Times New Roman"/>
                      <w:color w:val="auto"/>
                      <w:szCs w:val="21"/>
                    </w:rPr>
                    <w:t>本次新建1回</w:t>
                  </w:r>
                </w:p>
              </w:tc>
            </w:tr>
            <w:tr w14:paraId="691BF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2DCAC8BF">
                  <w:pPr>
                    <w:adjustRightInd w:val="0"/>
                    <w:snapToGrid w:val="0"/>
                    <w:jc w:val="center"/>
                    <w:rPr>
                      <w:rFonts w:ascii="Times New Roman" w:hAnsi="Times New Roman"/>
                      <w:bCs/>
                      <w:color w:val="auto"/>
                      <w:szCs w:val="21"/>
                    </w:rPr>
                  </w:pPr>
                </w:p>
              </w:tc>
              <w:tc>
                <w:tcPr>
                  <w:tcW w:w="774" w:type="pct"/>
                  <w:shd w:val="clear" w:color="auto" w:fill="auto"/>
                  <w:vAlign w:val="center"/>
                </w:tcPr>
                <w:p w14:paraId="57840BA6">
                  <w:pPr>
                    <w:adjustRightInd w:val="0"/>
                    <w:snapToGrid w:val="0"/>
                    <w:jc w:val="center"/>
                    <w:rPr>
                      <w:rFonts w:ascii="Times New Roman" w:hAnsi="Times New Roman"/>
                      <w:bCs/>
                      <w:color w:val="auto"/>
                      <w:szCs w:val="21"/>
                    </w:rPr>
                  </w:pPr>
                  <w:r>
                    <w:rPr>
                      <w:rFonts w:ascii="Times New Roman" w:hAnsi="Times New Roman"/>
                      <w:bCs/>
                      <w:color w:val="auto"/>
                      <w:szCs w:val="21"/>
                    </w:rPr>
                    <w:t>线路走向</w:t>
                  </w:r>
                </w:p>
              </w:tc>
              <w:tc>
                <w:tcPr>
                  <w:tcW w:w="3003" w:type="pct"/>
                  <w:shd w:val="clear" w:color="auto" w:fill="auto"/>
                  <w:vAlign w:val="center"/>
                </w:tcPr>
                <w:p w14:paraId="7FBFBBFD">
                  <w:pPr>
                    <w:adjustRightInd w:val="0"/>
                    <w:snapToGrid w:val="0"/>
                    <w:jc w:val="center"/>
                    <w:rPr>
                      <w:rFonts w:ascii="Times New Roman" w:hAnsi="Times New Roman"/>
                      <w:color w:val="auto"/>
                      <w:szCs w:val="21"/>
                    </w:rPr>
                  </w:pPr>
                  <w:r>
                    <w:rPr>
                      <w:rFonts w:hint="eastAsia" w:ascii="Times New Roman" w:hAnsi="Times New Roman"/>
                      <w:color w:val="auto"/>
                    </w:rPr>
                    <w:t>新建线路自六合村一期光伏项目220kV升压站构架出线后沿王家村南侧山脊向西北方向走线，随后右转到达老屋基东侧山腰，继续向北方向走线至岔沟西侧山顶，右转后向东北方向走线，途经上白沙坡、老陷塘、红瓦房、叶家冲、张家冲、到坡、小海子、上干冲、中梁子等地后到达林家村西侧山顶，继续右转跨越国道到达山背后山腰，随后左转最终接入500kV乐业变220kV侧构架。</w:t>
                  </w:r>
                </w:p>
              </w:tc>
              <w:tc>
                <w:tcPr>
                  <w:tcW w:w="796" w:type="pct"/>
                  <w:shd w:val="clear" w:color="auto" w:fill="auto"/>
                  <w:vAlign w:val="center"/>
                </w:tcPr>
                <w:p w14:paraId="799BCD32">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05CE1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7063A91A">
                  <w:pPr>
                    <w:adjustRightInd w:val="0"/>
                    <w:snapToGrid w:val="0"/>
                    <w:jc w:val="center"/>
                    <w:rPr>
                      <w:rFonts w:ascii="Times New Roman" w:hAnsi="Times New Roman"/>
                      <w:bCs/>
                      <w:color w:val="auto"/>
                      <w:szCs w:val="21"/>
                    </w:rPr>
                  </w:pPr>
                </w:p>
              </w:tc>
              <w:tc>
                <w:tcPr>
                  <w:tcW w:w="774" w:type="pct"/>
                  <w:shd w:val="clear" w:color="auto" w:fill="auto"/>
                  <w:vAlign w:val="center"/>
                </w:tcPr>
                <w:p w14:paraId="3A5B30CC">
                  <w:pPr>
                    <w:adjustRightInd w:val="0"/>
                    <w:snapToGrid w:val="0"/>
                    <w:jc w:val="center"/>
                    <w:rPr>
                      <w:rFonts w:ascii="Times New Roman" w:hAnsi="Times New Roman"/>
                      <w:bCs/>
                      <w:color w:val="auto"/>
                      <w:szCs w:val="21"/>
                    </w:rPr>
                  </w:pPr>
                  <w:r>
                    <w:rPr>
                      <w:rFonts w:ascii="Times New Roman" w:hAnsi="Times New Roman"/>
                      <w:bCs/>
                      <w:color w:val="auto"/>
                      <w:szCs w:val="21"/>
                    </w:rPr>
                    <w:t>光缆</w:t>
                  </w:r>
                </w:p>
              </w:tc>
              <w:tc>
                <w:tcPr>
                  <w:tcW w:w="3003" w:type="pct"/>
                  <w:shd w:val="clear" w:color="auto" w:fill="auto"/>
                  <w:vAlign w:val="center"/>
                </w:tcPr>
                <w:p w14:paraId="576BE0BE">
                  <w:pPr>
                    <w:adjustRightInd w:val="0"/>
                    <w:snapToGrid w:val="0"/>
                    <w:jc w:val="center"/>
                    <w:rPr>
                      <w:rFonts w:ascii="Times New Roman" w:hAnsi="Times New Roman"/>
                      <w:color w:val="auto"/>
                      <w:szCs w:val="21"/>
                    </w:rPr>
                  </w:pPr>
                  <w:r>
                    <w:rPr>
                      <w:rFonts w:ascii="Times New Roman" w:hAnsi="Times New Roman"/>
                      <w:color w:val="auto"/>
                      <w:szCs w:val="21"/>
                    </w:rPr>
                    <w:t>沿新建线路同步架设单回段架设2根24芯OPGW光缆，新建线路双回段架设2根48芯OPGW光缆（各预留24芯光缆作为备用通信通道），最终形成220kV六合村光伏升压站至500kV乐业变的2根24芯光缆，新建光缆路径长度约为2×22km。</w:t>
                  </w:r>
                </w:p>
              </w:tc>
              <w:tc>
                <w:tcPr>
                  <w:tcW w:w="796" w:type="pct"/>
                  <w:shd w:val="clear" w:color="auto" w:fill="auto"/>
                  <w:vAlign w:val="center"/>
                </w:tcPr>
                <w:p w14:paraId="6099C2AC">
                  <w:pPr>
                    <w:adjustRightInd w:val="0"/>
                    <w:snapToGrid w:val="0"/>
                    <w:jc w:val="center"/>
                    <w:rPr>
                      <w:rFonts w:ascii="Times New Roman" w:hAnsi="Times New Roman"/>
                      <w:color w:val="auto"/>
                      <w:szCs w:val="21"/>
                    </w:rPr>
                  </w:pPr>
                  <w:r>
                    <w:rPr>
                      <w:rFonts w:ascii="Times New Roman" w:hAnsi="Times New Roman"/>
                      <w:color w:val="auto"/>
                      <w:szCs w:val="21"/>
                    </w:rPr>
                    <w:t>本次新建</w:t>
                  </w:r>
                </w:p>
              </w:tc>
            </w:tr>
            <w:tr w14:paraId="77147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restart"/>
                  <w:shd w:val="clear" w:color="auto" w:fill="auto"/>
                  <w:vAlign w:val="center"/>
                </w:tcPr>
                <w:p w14:paraId="4F7B6C53">
                  <w:pPr>
                    <w:adjustRightInd w:val="0"/>
                    <w:snapToGrid w:val="0"/>
                    <w:jc w:val="center"/>
                    <w:rPr>
                      <w:rFonts w:ascii="Times New Roman" w:hAnsi="Times New Roman"/>
                      <w:bCs/>
                      <w:color w:val="auto"/>
                      <w:szCs w:val="21"/>
                    </w:rPr>
                  </w:pPr>
                  <w:r>
                    <w:rPr>
                      <w:rFonts w:ascii="Times New Roman" w:hAnsi="Times New Roman"/>
                      <w:bCs/>
                      <w:color w:val="auto"/>
                      <w:szCs w:val="21"/>
                    </w:rPr>
                    <w:t>依托工程</w:t>
                  </w:r>
                </w:p>
              </w:tc>
              <w:tc>
                <w:tcPr>
                  <w:tcW w:w="774" w:type="pct"/>
                  <w:shd w:val="clear" w:color="auto" w:fill="auto"/>
                  <w:vAlign w:val="center"/>
                </w:tcPr>
                <w:p w14:paraId="4CF77CB3">
                  <w:pPr>
                    <w:adjustRightInd w:val="0"/>
                    <w:snapToGrid w:val="0"/>
                    <w:jc w:val="center"/>
                    <w:rPr>
                      <w:rFonts w:ascii="Times New Roman" w:hAnsi="Times New Roman"/>
                      <w:bCs/>
                      <w:color w:val="auto"/>
                      <w:szCs w:val="21"/>
                    </w:rPr>
                  </w:pPr>
                  <w:r>
                    <w:rPr>
                      <w:rFonts w:hint="eastAsia" w:ascii="Times New Roman" w:hAnsi="Times New Roman"/>
                      <w:bCs/>
                      <w:color w:val="auto"/>
                      <w:szCs w:val="21"/>
                    </w:rPr>
                    <w:t>50</w:t>
                  </w:r>
                  <w:r>
                    <w:rPr>
                      <w:rFonts w:ascii="Times New Roman" w:hAnsi="Times New Roman"/>
                      <w:bCs/>
                      <w:color w:val="auto"/>
                      <w:szCs w:val="21"/>
                    </w:rPr>
                    <w:t>0kV</w:t>
                  </w:r>
                  <w:r>
                    <w:rPr>
                      <w:rFonts w:hint="eastAsia" w:ascii="Times New Roman" w:hAnsi="Times New Roman"/>
                      <w:bCs/>
                      <w:color w:val="auto"/>
                      <w:szCs w:val="21"/>
                    </w:rPr>
                    <w:t>乐业变电站</w:t>
                  </w:r>
                </w:p>
              </w:tc>
              <w:tc>
                <w:tcPr>
                  <w:tcW w:w="3003" w:type="pct"/>
                  <w:shd w:val="clear" w:color="auto" w:fill="auto"/>
                  <w:vAlign w:val="center"/>
                </w:tcPr>
                <w:p w14:paraId="4D77C2FB">
                  <w:pPr>
                    <w:adjustRightInd w:val="0"/>
                    <w:snapToGrid w:val="0"/>
                    <w:jc w:val="center"/>
                    <w:rPr>
                      <w:rFonts w:ascii="Times New Roman" w:hAnsi="Times New Roman"/>
                      <w:color w:val="auto"/>
                      <w:szCs w:val="21"/>
                    </w:rPr>
                  </w:pPr>
                  <w:r>
                    <w:rPr>
                      <w:rFonts w:ascii="Times New Roman" w:hAnsi="Times New Roman"/>
                      <w:color w:val="auto"/>
                      <w:szCs w:val="21"/>
                    </w:rPr>
                    <w:t>项目接入的500kV乐业变电站有预留间隔通道，不涉及间隔工程扩建；依托站内前期建设的化粪池、垃圾桶、事故油池等</w:t>
                  </w:r>
                </w:p>
              </w:tc>
              <w:tc>
                <w:tcPr>
                  <w:tcW w:w="796" w:type="pct"/>
                  <w:shd w:val="clear" w:color="auto" w:fill="auto"/>
                  <w:vAlign w:val="center"/>
                </w:tcPr>
                <w:p w14:paraId="067FFCDD">
                  <w:pPr>
                    <w:adjustRightInd w:val="0"/>
                    <w:snapToGrid w:val="0"/>
                    <w:jc w:val="center"/>
                    <w:rPr>
                      <w:rFonts w:ascii="Times New Roman" w:hAnsi="Times New Roman"/>
                      <w:color w:val="auto"/>
                      <w:szCs w:val="21"/>
                    </w:rPr>
                  </w:pPr>
                  <w:r>
                    <w:rPr>
                      <w:rFonts w:ascii="Times New Roman" w:hAnsi="Times New Roman"/>
                      <w:color w:val="auto"/>
                      <w:szCs w:val="21"/>
                    </w:rPr>
                    <w:t>本次在预留位置安装设备</w:t>
                  </w:r>
                </w:p>
              </w:tc>
            </w:tr>
            <w:tr w14:paraId="3C5F5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6629934F">
                  <w:pPr>
                    <w:adjustRightInd w:val="0"/>
                    <w:snapToGrid w:val="0"/>
                    <w:jc w:val="center"/>
                    <w:rPr>
                      <w:rFonts w:ascii="Times New Roman" w:hAnsi="Times New Roman"/>
                      <w:bCs/>
                      <w:color w:val="auto"/>
                      <w:szCs w:val="21"/>
                    </w:rPr>
                  </w:pPr>
                </w:p>
              </w:tc>
              <w:tc>
                <w:tcPr>
                  <w:tcW w:w="774" w:type="pct"/>
                  <w:shd w:val="clear" w:color="auto" w:fill="auto"/>
                  <w:vAlign w:val="center"/>
                </w:tcPr>
                <w:p w14:paraId="640520D4">
                  <w:pPr>
                    <w:adjustRightInd w:val="0"/>
                    <w:snapToGrid w:val="0"/>
                    <w:jc w:val="center"/>
                    <w:rPr>
                      <w:rFonts w:ascii="Times New Roman" w:hAnsi="Times New Roman"/>
                      <w:bCs/>
                      <w:color w:val="auto"/>
                      <w:szCs w:val="21"/>
                    </w:rPr>
                  </w:pPr>
                  <w:r>
                    <w:rPr>
                      <w:rFonts w:ascii="Times New Roman" w:hAnsi="Times New Roman"/>
                      <w:bCs/>
                      <w:color w:val="auto"/>
                      <w:szCs w:val="21"/>
                    </w:rPr>
                    <w:t>220kV</w:t>
                  </w:r>
                  <w:r>
                    <w:rPr>
                      <w:rFonts w:hint="eastAsia" w:ascii="Times New Roman" w:hAnsi="Times New Roman"/>
                      <w:bCs/>
                      <w:color w:val="auto"/>
                      <w:szCs w:val="21"/>
                    </w:rPr>
                    <w:t>六合一</w:t>
                  </w:r>
                  <w:r>
                    <w:rPr>
                      <w:rFonts w:ascii="Times New Roman" w:hAnsi="Times New Roman"/>
                      <w:bCs/>
                      <w:color w:val="auto"/>
                      <w:szCs w:val="21"/>
                    </w:rPr>
                    <w:t>升压站</w:t>
                  </w:r>
                </w:p>
              </w:tc>
              <w:tc>
                <w:tcPr>
                  <w:tcW w:w="3003" w:type="pct"/>
                  <w:shd w:val="clear" w:color="auto" w:fill="auto"/>
                  <w:vAlign w:val="center"/>
                </w:tcPr>
                <w:p w14:paraId="33C94AC5">
                  <w:pPr>
                    <w:adjustRightInd w:val="0"/>
                    <w:snapToGrid w:val="0"/>
                    <w:jc w:val="center"/>
                    <w:rPr>
                      <w:rFonts w:ascii="Times New Roman" w:hAnsi="Times New Roman"/>
                      <w:color w:val="auto"/>
                      <w:szCs w:val="21"/>
                    </w:rPr>
                  </w:pPr>
                  <w:r>
                    <w:rPr>
                      <w:rFonts w:ascii="Times New Roman" w:hAnsi="Times New Roman"/>
                      <w:color w:val="auto"/>
                      <w:szCs w:val="21"/>
                    </w:rPr>
                    <w:t>项目接入的220kV</w:t>
                  </w:r>
                  <w:r>
                    <w:rPr>
                      <w:rFonts w:hint="eastAsia" w:ascii="Times New Roman" w:hAnsi="Times New Roman"/>
                      <w:color w:val="auto"/>
                      <w:szCs w:val="21"/>
                    </w:rPr>
                    <w:t>六合一</w:t>
                  </w:r>
                  <w:r>
                    <w:rPr>
                      <w:rFonts w:ascii="Times New Roman" w:hAnsi="Times New Roman"/>
                      <w:color w:val="auto"/>
                      <w:szCs w:val="21"/>
                    </w:rPr>
                    <w:t>升压站有预留间隔通道，不涉及间隔工程扩建，依托站内前期建设的化粪池、垃圾桶、事故油池等</w:t>
                  </w:r>
                </w:p>
              </w:tc>
              <w:tc>
                <w:tcPr>
                  <w:tcW w:w="796" w:type="pct"/>
                  <w:shd w:val="clear" w:color="auto" w:fill="auto"/>
                  <w:vAlign w:val="center"/>
                </w:tcPr>
                <w:p w14:paraId="4C4634AB">
                  <w:pPr>
                    <w:adjustRightInd w:val="0"/>
                    <w:snapToGrid w:val="0"/>
                    <w:jc w:val="center"/>
                    <w:rPr>
                      <w:rFonts w:ascii="Times New Roman" w:hAnsi="Times New Roman"/>
                      <w:color w:val="auto"/>
                      <w:szCs w:val="21"/>
                    </w:rPr>
                  </w:pPr>
                  <w:r>
                    <w:rPr>
                      <w:rFonts w:ascii="Times New Roman" w:hAnsi="Times New Roman"/>
                      <w:color w:val="auto"/>
                      <w:szCs w:val="21"/>
                    </w:rPr>
                    <w:t>本次在预留位置安装设备</w:t>
                  </w:r>
                </w:p>
              </w:tc>
            </w:tr>
            <w:tr w14:paraId="531451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restart"/>
                  <w:shd w:val="clear" w:color="auto" w:fill="auto"/>
                  <w:vAlign w:val="center"/>
                </w:tcPr>
                <w:p w14:paraId="311D5E1E">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公用工程</w:t>
                  </w:r>
                </w:p>
              </w:tc>
              <w:tc>
                <w:tcPr>
                  <w:tcW w:w="774" w:type="pct"/>
                  <w:shd w:val="clear" w:color="auto" w:fill="auto"/>
                  <w:vAlign w:val="center"/>
                </w:tcPr>
                <w:p w14:paraId="4EB08029">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供电</w:t>
                  </w:r>
                </w:p>
              </w:tc>
              <w:tc>
                <w:tcPr>
                  <w:tcW w:w="3003" w:type="pct"/>
                  <w:shd w:val="clear" w:color="auto" w:fill="auto"/>
                  <w:vAlign w:val="center"/>
                </w:tcPr>
                <w:p w14:paraId="643187DF">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线路工程施工过程中用电根据周边设施情况安排，周围已有用电用户区，可按照安全用电规定引接用于施工用电</w:t>
                  </w:r>
                </w:p>
              </w:tc>
              <w:tc>
                <w:tcPr>
                  <w:tcW w:w="796" w:type="pct"/>
                  <w:shd w:val="clear" w:color="auto" w:fill="auto"/>
                  <w:vAlign w:val="center"/>
                </w:tcPr>
                <w:p w14:paraId="5B367431">
                  <w:pPr>
                    <w:pStyle w:val="69"/>
                    <w:autoSpaceDE/>
                    <w:autoSpaceDN/>
                    <w:jc w:val="center"/>
                    <w:rPr>
                      <w:rFonts w:ascii="Times New Roman" w:hAnsi="Times New Roman" w:cs="Times New Roman"/>
                      <w:color w:val="auto"/>
                    </w:rPr>
                  </w:pPr>
                  <w:r>
                    <w:rPr>
                      <w:rFonts w:ascii="Times New Roman" w:hAnsi="Times New Roman" w:cs="Times New Roman"/>
                      <w:color w:val="auto"/>
                      <w:spacing w:val="0"/>
                    </w:rPr>
                    <w:t>依托周边已有用电设施</w:t>
                  </w:r>
                </w:p>
              </w:tc>
            </w:tr>
            <w:tr w14:paraId="1793F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4D79CE02">
                  <w:pPr>
                    <w:pStyle w:val="69"/>
                    <w:autoSpaceDE/>
                    <w:autoSpaceDN/>
                    <w:jc w:val="center"/>
                    <w:rPr>
                      <w:rFonts w:ascii="Times New Roman" w:hAnsi="Times New Roman" w:cs="Times New Roman"/>
                      <w:bCs/>
                      <w:color w:val="auto"/>
                    </w:rPr>
                  </w:pPr>
                </w:p>
              </w:tc>
              <w:tc>
                <w:tcPr>
                  <w:tcW w:w="774" w:type="pct"/>
                  <w:shd w:val="clear" w:color="auto" w:fill="auto"/>
                  <w:vAlign w:val="center"/>
                </w:tcPr>
                <w:p w14:paraId="54E10D33">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供水</w:t>
                  </w:r>
                </w:p>
              </w:tc>
              <w:tc>
                <w:tcPr>
                  <w:tcW w:w="3003" w:type="pct"/>
                  <w:shd w:val="clear" w:color="auto" w:fill="auto"/>
                  <w:vAlign w:val="center"/>
                </w:tcPr>
                <w:p w14:paraId="58C43BA3">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线路工程每个塔基施工用水量较少，采用水车就近输送水源来满足施工用水。</w:t>
                  </w:r>
                </w:p>
              </w:tc>
              <w:tc>
                <w:tcPr>
                  <w:tcW w:w="796" w:type="pct"/>
                  <w:shd w:val="clear" w:color="auto" w:fill="auto"/>
                  <w:vAlign w:val="center"/>
                </w:tcPr>
                <w:p w14:paraId="7B30BB72">
                  <w:pPr>
                    <w:pStyle w:val="69"/>
                    <w:autoSpaceDE/>
                    <w:autoSpaceDN/>
                    <w:jc w:val="center"/>
                    <w:rPr>
                      <w:rFonts w:ascii="Times New Roman" w:hAnsi="Times New Roman" w:cs="Times New Roman"/>
                      <w:color w:val="auto"/>
                    </w:rPr>
                  </w:pPr>
                  <w:r>
                    <w:rPr>
                      <w:rFonts w:ascii="Times New Roman" w:hAnsi="Times New Roman" w:cs="Times New Roman"/>
                      <w:color w:val="auto"/>
                      <w:spacing w:val="0"/>
                    </w:rPr>
                    <w:t>新建</w:t>
                  </w:r>
                </w:p>
              </w:tc>
            </w:tr>
            <w:tr w14:paraId="2FE0C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23BB9C25">
                  <w:pPr>
                    <w:pStyle w:val="69"/>
                    <w:autoSpaceDE/>
                    <w:autoSpaceDN/>
                    <w:jc w:val="center"/>
                    <w:rPr>
                      <w:rFonts w:ascii="Times New Roman" w:hAnsi="Times New Roman" w:cs="Times New Roman"/>
                      <w:bCs/>
                      <w:color w:val="auto"/>
                    </w:rPr>
                  </w:pPr>
                </w:p>
              </w:tc>
              <w:tc>
                <w:tcPr>
                  <w:tcW w:w="774" w:type="pct"/>
                  <w:shd w:val="clear" w:color="auto" w:fill="auto"/>
                  <w:vAlign w:val="center"/>
                </w:tcPr>
                <w:p w14:paraId="6F620836">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排水</w:t>
                  </w:r>
                </w:p>
              </w:tc>
              <w:tc>
                <w:tcPr>
                  <w:tcW w:w="3003" w:type="pct"/>
                  <w:shd w:val="clear" w:color="auto" w:fill="auto"/>
                  <w:vAlign w:val="center"/>
                </w:tcPr>
                <w:p w14:paraId="1EE1F87B">
                  <w:pPr>
                    <w:pStyle w:val="69"/>
                    <w:autoSpaceDE/>
                    <w:autoSpaceDN/>
                    <w:jc w:val="center"/>
                    <w:rPr>
                      <w:rFonts w:ascii="Times New Roman" w:hAnsi="Times New Roman" w:cs="Times New Roman"/>
                      <w:bCs/>
                      <w:color w:val="auto"/>
                    </w:rPr>
                  </w:pPr>
                  <w:r>
                    <w:rPr>
                      <w:rFonts w:ascii="Times New Roman" w:hAnsi="Times New Roman" w:cs="Times New Roman"/>
                      <w:color w:val="auto"/>
                      <w:spacing w:val="0"/>
                    </w:rPr>
                    <w:t>施工期废水不外排；运营期无废水产生。</w:t>
                  </w:r>
                </w:p>
              </w:tc>
              <w:tc>
                <w:tcPr>
                  <w:tcW w:w="796" w:type="pct"/>
                  <w:shd w:val="clear" w:color="auto" w:fill="auto"/>
                  <w:vAlign w:val="center"/>
                </w:tcPr>
                <w:p w14:paraId="5E0639B5">
                  <w:pPr>
                    <w:pStyle w:val="69"/>
                    <w:autoSpaceDE/>
                    <w:autoSpaceDN/>
                    <w:jc w:val="center"/>
                    <w:rPr>
                      <w:rFonts w:ascii="Times New Roman" w:hAnsi="Times New Roman" w:cs="Times New Roman"/>
                      <w:color w:val="auto"/>
                    </w:rPr>
                  </w:pPr>
                  <w:r>
                    <w:rPr>
                      <w:rFonts w:ascii="Times New Roman" w:hAnsi="Times New Roman" w:cs="Times New Roman"/>
                      <w:color w:val="auto"/>
                      <w:spacing w:val="0"/>
                    </w:rPr>
                    <w:t>/</w:t>
                  </w:r>
                </w:p>
              </w:tc>
            </w:tr>
            <w:tr w14:paraId="6A8085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restart"/>
                  <w:shd w:val="clear" w:color="auto" w:fill="auto"/>
                  <w:vAlign w:val="center"/>
                </w:tcPr>
                <w:p w14:paraId="5D9900B8">
                  <w:pPr>
                    <w:adjustRightInd w:val="0"/>
                    <w:snapToGrid w:val="0"/>
                    <w:jc w:val="center"/>
                    <w:rPr>
                      <w:rFonts w:ascii="Times New Roman" w:hAnsi="Times New Roman"/>
                      <w:bCs/>
                      <w:color w:val="auto"/>
                      <w:szCs w:val="21"/>
                    </w:rPr>
                  </w:pPr>
                  <w:r>
                    <w:rPr>
                      <w:rFonts w:ascii="Times New Roman" w:hAnsi="Times New Roman"/>
                      <w:bCs/>
                      <w:color w:val="auto"/>
                      <w:szCs w:val="21"/>
                    </w:rPr>
                    <w:t>临时工程</w:t>
                  </w:r>
                </w:p>
              </w:tc>
              <w:tc>
                <w:tcPr>
                  <w:tcW w:w="774" w:type="pct"/>
                  <w:shd w:val="clear" w:color="auto" w:fill="auto"/>
                  <w:vAlign w:val="center"/>
                </w:tcPr>
                <w:p w14:paraId="51BD852F">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塔基施工场地</w:t>
                  </w:r>
                </w:p>
              </w:tc>
              <w:tc>
                <w:tcPr>
                  <w:tcW w:w="3003" w:type="pct"/>
                  <w:shd w:val="clear" w:color="auto" w:fill="auto"/>
                  <w:vAlign w:val="center"/>
                </w:tcPr>
                <w:p w14:paraId="6EAB3CF4">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塔基施工场地布置在塔基附近，用于进行塔材堆放、工具堆放等以及进行施工作业的场地。按每个塔基施工临时占地30m</w:t>
                  </w:r>
                  <w:r>
                    <w:rPr>
                      <w:rFonts w:ascii="Times New Roman" w:hAnsi="Times New Roman" w:cs="Times New Roman"/>
                      <w:color w:val="auto"/>
                      <w:spacing w:val="0"/>
                      <w:vertAlign w:val="superscript"/>
                    </w:rPr>
                    <w:t>2</w:t>
                  </w:r>
                  <w:r>
                    <w:rPr>
                      <w:rFonts w:ascii="Times New Roman" w:hAnsi="Times New Roman" w:cs="Times New Roman"/>
                      <w:color w:val="auto"/>
                      <w:spacing w:val="0"/>
                    </w:rPr>
                    <w:t>~60m</w:t>
                  </w:r>
                  <w:r>
                    <w:rPr>
                      <w:rFonts w:ascii="Times New Roman" w:hAnsi="Times New Roman" w:cs="Times New Roman"/>
                      <w:color w:val="auto"/>
                      <w:spacing w:val="0"/>
                      <w:vertAlign w:val="superscript"/>
                    </w:rPr>
                    <w:t>2</w:t>
                  </w:r>
                  <w:r>
                    <w:rPr>
                      <w:rFonts w:ascii="Times New Roman" w:hAnsi="Times New Roman" w:cs="Times New Roman"/>
                      <w:color w:val="auto"/>
                      <w:spacing w:val="0"/>
                    </w:rPr>
                    <w:t>计算，共61基，由于N58号塔基、N59号塔基整基位于基本农田范围内，施工期间考虑优化施工工艺，不设置塔基施工场地，项目共设计塔基施工场地59个，塔基施工场地区总占地面积约0.20hm</w:t>
                  </w:r>
                  <w:r>
                    <w:rPr>
                      <w:rFonts w:ascii="Times New Roman" w:hAnsi="Times New Roman" w:cs="Times New Roman"/>
                      <w:color w:val="auto"/>
                      <w:spacing w:val="0"/>
                      <w:vertAlign w:val="superscript"/>
                    </w:rPr>
                    <w:t>2</w:t>
                  </w:r>
                  <w:r>
                    <w:rPr>
                      <w:rFonts w:ascii="Times New Roman" w:hAnsi="Times New Roman" w:cs="Times New Roman"/>
                      <w:color w:val="auto"/>
                      <w:spacing w:val="0"/>
                    </w:rPr>
                    <w:t>。塔基区剥离表土堆存于塔基占地红线范围内，采取临时覆盖，施工结束后回填恢复</w:t>
                  </w:r>
                </w:p>
              </w:tc>
              <w:tc>
                <w:tcPr>
                  <w:tcW w:w="796" w:type="pct"/>
                  <w:vMerge w:val="restart"/>
                  <w:shd w:val="clear" w:color="auto" w:fill="auto"/>
                  <w:vAlign w:val="center"/>
                </w:tcPr>
                <w:p w14:paraId="3A4E5786">
                  <w:pPr>
                    <w:adjustRightInd w:val="0"/>
                    <w:snapToGrid w:val="0"/>
                    <w:jc w:val="center"/>
                    <w:rPr>
                      <w:rFonts w:ascii="Times New Roman" w:hAnsi="Times New Roman"/>
                      <w:color w:val="auto"/>
                      <w:szCs w:val="21"/>
                    </w:rPr>
                  </w:pPr>
                  <w:r>
                    <w:rPr>
                      <w:rFonts w:ascii="Times New Roman" w:hAnsi="Times New Roman"/>
                      <w:color w:val="auto"/>
                    </w:rPr>
                    <w:t>临时占地，施工结</w:t>
                  </w:r>
                  <w:r>
                    <w:rPr>
                      <w:rFonts w:hint="eastAsia" w:ascii="Times New Roman" w:hAnsi="Times New Roman"/>
                      <w:color w:val="auto"/>
                    </w:rPr>
                    <w:t>束后</w:t>
                  </w:r>
                  <w:r>
                    <w:rPr>
                      <w:rFonts w:ascii="Times New Roman" w:hAnsi="Times New Roman"/>
                      <w:color w:val="auto"/>
                    </w:rPr>
                    <w:t>恢复原状</w:t>
                  </w:r>
                </w:p>
              </w:tc>
            </w:tr>
            <w:tr w14:paraId="42604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5F878C3B">
                  <w:pPr>
                    <w:adjustRightInd w:val="0"/>
                    <w:snapToGrid w:val="0"/>
                    <w:jc w:val="center"/>
                    <w:rPr>
                      <w:rFonts w:ascii="Times New Roman" w:hAnsi="Times New Roman"/>
                      <w:bCs/>
                      <w:color w:val="auto"/>
                      <w:szCs w:val="21"/>
                    </w:rPr>
                  </w:pPr>
                </w:p>
              </w:tc>
              <w:tc>
                <w:tcPr>
                  <w:tcW w:w="774" w:type="pct"/>
                  <w:shd w:val="clear" w:color="auto" w:fill="auto"/>
                  <w:vAlign w:val="center"/>
                </w:tcPr>
                <w:p w14:paraId="6E1B8D6C">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人抬道路</w:t>
                  </w:r>
                </w:p>
              </w:tc>
              <w:tc>
                <w:tcPr>
                  <w:tcW w:w="3003" w:type="pct"/>
                  <w:shd w:val="clear" w:color="auto" w:fill="auto"/>
                  <w:vAlign w:val="center"/>
                </w:tcPr>
                <w:p w14:paraId="320D47D8">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工程沿线周边有G85高速、国道G213及乡村道路等，基本满足工程需要，塔基施工区可利用现有村道、机耕道等将铁塔组件及其基础施工材料运抵铁塔附近或铁塔附近的山脚处，再通过人抬的方式运至铁塔下部施工场地内，需人抬道路约</w:t>
                  </w:r>
                  <w:r>
                    <w:rPr>
                      <w:rFonts w:hint="eastAsia" w:ascii="Times New Roman" w:hAnsi="Times New Roman" w:cs="Times New Roman"/>
                      <w:color w:val="auto"/>
                      <w:spacing w:val="0"/>
                    </w:rPr>
                    <w:t>1450</w:t>
                  </w:r>
                  <w:r>
                    <w:rPr>
                      <w:rFonts w:ascii="Times New Roman" w:hAnsi="Times New Roman" w:cs="Times New Roman"/>
                      <w:color w:val="auto"/>
                      <w:spacing w:val="0"/>
                    </w:rPr>
                    <w:t>m，宽1.</w:t>
                  </w:r>
                  <w:r>
                    <w:rPr>
                      <w:rFonts w:hint="eastAsia" w:ascii="Times New Roman" w:hAnsi="Times New Roman" w:cs="Times New Roman"/>
                      <w:color w:val="auto"/>
                      <w:spacing w:val="0"/>
                    </w:rPr>
                    <w:t>5</w:t>
                  </w:r>
                  <w:r>
                    <w:rPr>
                      <w:rFonts w:ascii="Times New Roman" w:hAnsi="Times New Roman" w:cs="Times New Roman"/>
                      <w:color w:val="auto"/>
                      <w:spacing w:val="0"/>
                    </w:rPr>
                    <w:t>m，总占地面积为0.</w:t>
                  </w:r>
                  <w:r>
                    <w:rPr>
                      <w:rFonts w:hint="eastAsia" w:ascii="Times New Roman" w:hAnsi="Times New Roman" w:cs="Times New Roman"/>
                      <w:color w:val="auto"/>
                      <w:spacing w:val="0"/>
                    </w:rPr>
                    <w:t>22</w:t>
                  </w:r>
                  <w:r>
                    <w:rPr>
                      <w:rFonts w:ascii="Times New Roman" w:hAnsi="Times New Roman" w:cs="Times New Roman"/>
                      <w:color w:val="auto"/>
                      <w:spacing w:val="0"/>
                    </w:rPr>
                    <w:t>hm</w:t>
                  </w:r>
                  <w:r>
                    <w:rPr>
                      <w:rFonts w:ascii="Times New Roman" w:hAnsi="Times New Roman" w:cs="Times New Roman"/>
                      <w:color w:val="auto"/>
                      <w:spacing w:val="0"/>
                      <w:vertAlign w:val="superscript"/>
                    </w:rPr>
                    <w:t>2</w:t>
                  </w:r>
                  <w:r>
                    <w:rPr>
                      <w:rFonts w:ascii="Times New Roman" w:hAnsi="Times New Roman" w:cs="Times New Roman"/>
                      <w:color w:val="auto"/>
                      <w:spacing w:val="0"/>
                    </w:rPr>
                    <w:t>。人抬道路不进行表土剥离，施工结束后撒草恢复。</w:t>
                  </w:r>
                </w:p>
              </w:tc>
              <w:tc>
                <w:tcPr>
                  <w:tcW w:w="796" w:type="pct"/>
                  <w:vMerge w:val="continue"/>
                  <w:shd w:val="clear" w:color="auto" w:fill="auto"/>
                  <w:vAlign w:val="center"/>
                </w:tcPr>
                <w:p w14:paraId="4289FA9E">
                  <w:pPr>
                    <w:adjustRightInd w:val="0"/>
                    <w:snapToGrid w:val="0"/>
                    <w:jc w:val="center"/>
                    <w:rPr>
                      <w:rFonts w:ascii="Times New Roman" w:hAnsi="Times New Roman"/>
                      <w:color w:val="auto"/>
                    </w:rPr>
                  </w:pPr>
                </w:p>
              </w:tc>
            </w:tr>
            <w:tr w14:paraId="34A179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03AB7D97">
                  <w:pPr>
                    <w:adjustRightInd w:val="0"/>
                    <w:snapToGrid w:val="0"/>
                    <w:jc w:val="center"/>
                    <w:rPr>
                      <w:rFonts w:ascii="Times New Roman" w:hAnsi="Times New Roman"/>
                      <w:bCs/>
                      <w:color w:val="auto"/>
                      <w:szCs w:val="21"/>
                    </w:rPr>
                  </w:pPr>
                </w:p>
              </w:tc>
              <w:tc>
                <w:tcPr>
                  <w:tcW w:w="774" w:type="pct"/>
                  <w:shd w:val="clear" w:color="auto" w:fill="auto"/>
                  <w:vAlign w:val="center"/>
                </w:tcPr>
                <w:p w14:paraId="64FDAC9F">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牵张场</w:t>
                  </w:r>
                </w:p>
              </w:tc>
              <w:tc>
                <w:tcPr>
                  <w:tcW w:w="3003" w:type="pct"/>
                  <w:shd w:val="clear" w:color="auto" w:fill="auto"/>
                  <w:vAlign w:val="center"/>
                </w:tcPr>
                <w:p w14:paraId="72D43463">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本项目沿线设置牵张场</w:t>
                  </w:r>
                  <w:r>
                    <w:rPr>
                      <w:rFonts w:hint="eastAsia" w:ascii="Times New Roman" w:hAnsi="Times New Roman" w:cs="Times New Roman"/>
                      <w:color w:val="auto"/>
                      <w:spacing w:val="0"/>
                    </w:rPr>
                    <w:t>4</w:t>
                  </w:r>
                  <w:r>
                    <w:rPr>
                      <w:rFonts w:ascii="Times New Roman" w:hAnsi="Times New Roman" w:cs="Times New Roman"/>
                      <w:color w:val="auto"/>
                      <w:spacing w:val="0"/>
                    </w:rPr>
                    <w:t>处，分别设置于塔基N</w:t>
                  </w:r>
                  <w:r>
                    <w:rPr>
                      <w:rFonts w:hint="eastAsia" w:ascii="Times New Roman" w:hAnsi="Times New Roman" w:cs="Times New Roman"/>
                      <w:color w:val="auto"/>
                      <w:spacing w:val="0"/>
                    </w:rPr>
                    <w:t>1</w:t>
                  </w:r>
                  <w:r>
                    <w:rPr>
                      <w:rFonts w:ascii="Times New Roman" w:hAnsi="Times New Roman" w:cs="Times New Roman"/>
                      <w:color w:val="auto"/>
                      <w:spacing w:val="0"/>
                    </w:rPr>
                    <w:t>、N</w:t>
                  </w:r>
                  <w:r>
                    <w:rPr>
                      <w:rFonts w:hint="eastAsia" w:ascii="Times New Roman" w:hAnsi="Times New Roman" w:cs="Times New Roman"/>
                      <w:color w:val="auto"/>
                      <w:spacing w:val="0"/>
                    </w:rPr>
                    <w:t>12</w:t>
                  </w:r>
                  <w:r>
                    <w:rPr>
                      <w:rFonts w:ascii="Times New Roman" w:hAnsi="Times New Roman" w:cs="Times New Roman"/>
                      <w:color w:val="auto"/>
                      <w:spacing w:val="0"/>
                    </w:rPr>
                    <w:t>、N</w:t>
                  </w:r>
                  <w:r>
                    <w:rPr>
                      <w:rFonts w:hint="eastAsia" w:ascii="Times New Roman" w:hAnsi="Times New Roman" w:cs="Times New Roman"/>
                      <w:color w:val="auto"/>
                      <w:spacing w:val="0"/>
                    </w:rPr>
                    <w:t>30</w:t>
                  </w:r>
                  <w:r>
                    <w:rPr>
                      <w:rFonts w:ascii="Times New Roman" w:hAnsi="Times New Roman" w:cs="Times New Roman"/>
                      <w:color w:val="auto"/>
                      <w:spacing w:val="0"/>
                    </w:rPr>
                    <w:t>、N</w:t>
                  </w:r>
                  <w:r>
                    <w:rPr>
                      <w:rFonts w:hint="eastAsia" w:ascii="Times New Roman" w:hAnsi="Times New Roman" w:cs="Times New Roman"/>
                      <w:color w:val="auto"/>
                      <w:spacing w:val="0"/>
                    </w:rPr>
                    <w:t>50</w:t>
                  </w:r>
                  <w:r>
                    <w:rPr>
                      <w:rFonts w:ascii="Times New Roman" w:hAnsi="Times New Roman" w:cs="Times New Roman"/>
                      <w:color w:val="auto"/>
                      <w:spacing w:val="0"/>
                    </w:rPr>
                    <w:t>处，每处牵张场占地约</w:t>
                  </w:r>
                  <w:r>
                    <w:rPr>
                      <w:rFonts w:hint="eastAsia" w:ascii="Times New Roman" w:hAnsi="Times New Roman" w:cs="Times New Roman"/>
                      <w:color w:val="auto"/>
                      <w:spacing w:val="0"/>
                    </w:rPr>
                    <w:t>225</w:t>
                  </w:r>
                  <w:r>
                    <w:rPr>
                      <w:rFonts w:ascii="Times New Roman" w:hAnsi="Times New Roman" w:cs="Times New Roman"/>
                      <w:color w:val="auto"/>
                      <w:spacing w:val="0"/>
                    </w:rPr>
                    <w:t>m</w:t>
                  </w:r>
                  <w:r>
                    <w:rPr>
                      <w:rFonts w:ascii="Times New Roman" w:hAnsi="Times New Roman" w:cs="Times New Roman"/>
                      <w:color w:val="auto"/>
                      <w:spacing w:val="0"/>
                      <w:vertAlign w:val="superscript"/>
                    </w:rPr>
                    <w:t>2</w:t>
                  </w:r>
                  <w:r>
                    <w:rPr>
                      <w:rFonts w:ascii="Times New Roman" w:hAnsi="Times New Roman" w:cs="Times New Roman"/>
                      <w:color w:val="auto"/>
                      <w:spacing w:val="0"/>
                    </w:rPr>
                    <w:t>，总占地面积为0.0</w:t>
                  </w:r>
                  <w:r>
                    <w:rPr>
                      <w:rFonts w:hint="eastAsia" w:ascii="Times New Roman" w:hAnsi="Times New Roman" w:cs="Times New Roman"/>
                      <w:color w:val="auto"/>
                      <w:spacing w:val="0"/>
                    </w:rPr>
                    <w:t>9</w:t>
                  </w:r>
                  <w:r>
                    <w:rPr>
                      <w:rFonts w:ascii="Times New Roman" w:hAnsi="Times New Roman" w:cs="Times New Roman"/>
                      <w:color w:val="auto"/>
                      <w:spacing w:val="0"/>
                    </w:rPr>
                    <w:t>hm</w:t>
                  </w:r>
                  <w:r>
                    <w:rPr>
                      <w:rFonts w:ascii="Times New Roman" w:hAnsi="Times New Roman" w:cs="Times New Roman"/>
                      <w:color w:val="auto"/>
                      <w:spacing w:val="0"/>
                      <w:vertAlign w:val="superscript"/>
                    </w:rPr>
                    <w:t>2</w:t>
                  </w:r>
                  <w:r>
                    <w:rPr>
                      <w:rFonts w:ascii="Times New Roman" w:hAnsi="Times New Roman" w:cs="Times New Roman"/>
                      <w:color w:val="auto"/>
                      <w:spacing w:val="0"/>
                    </w:rPr>
                    <w:t>，全部为临时占地，选择地形平缓的场地，用于摆放牵引机械，不进行表土剥离，施工结束后及时整地、植被恢复等</w:t>
                  </w:r>
                </w:p>
              </w:tc>
              <w:tc>
                <w:tcPr>
                  <w:tcW w:w="796" w:type="pct"/>
                  <w:vMerge w:val="continue"/>
                  <w:shd w:val="clear" w:color="auto" w:fill="auto"/>
                  <w:vAlign w:val="center"/>
                </w:tcPr>
                <w:p w14:paraId="51EAB7FE">
                  <w:pPr>
                    <w:adjustRightInd w:val="0"/>
                    <w:snapToGrid w:val="0"/>
                    <w:jc w:val="center"/>
                    <w:rPr>
                      <w:rFonts w:ascii="Times New Roman" w:hAnsi="Times New Roman"/>
                      <w:color w:val="auto"/>
                      <w:szCs w:val="21"/>
                    </w:rPr>
                  </w:pPr>
                </w:p>
              </w:tc>
            </w:tr>
            <w:tr w14:paraId="7ECBE7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31B3388D">
                  <w:pPr>
                    <w:adjustRightInd w:val="0"/>
                    <w:snapToGrid w:val="0"/>
                    <w:jc w:val="center"/>
                    <w:rPr>
                      <w:rFonts w:ascii="Times New Roman" w:hAnsi="Times New Roman"/>
                      <w:bCs/>
                      <w:color w:val="auto"/>
                      <w:szCs w:val="21"/>
                    </w:rPr>
                  </w:pPr>
                </w:p>
              </w:tc>
              <w:tc>
                <w:tcPr>
                  <w:tcW w:w="774" w:type="pct"/>
                  <w:shd w:val="clear" w:color="auto" w:fill="auto"/>
                  <w:vAlign w:val="center"/>
                </w:tcPr>
                <w:p w14:paraId="438D3457">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跨越施工场地</w:t>
                  </w:r>
                </w:p>
              </w:tc>
              <w:tc>
                <w:tcPr>
                  <w:tcW w:w="3003" w:type="pct"/>
                  <w:shd w:val="clear" w:color="auto" w:fill="auto"/>
                  <w:vAlign w:val="center"/>
                </w:tcPr>
                <w:p w14:paraId="1B1DD383">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线路对跨越35kV及以上线路</w:t>
                  </w:r>
                  <w:r>
                    <w:rPr>
                      <w:rFonts w:hint="eastAsia" w:ascii="Times New Roman" w:hAnsi="Times New Roman" w:cs="Times New Roman"/>
                      <w:color w:val="auto"/>
                      <w:spacing w:val="0"/>
                    </w:rPr>
                    <w:t>及公路</w:t>
                  </w:r>
                  <w:r>
                    <w:rPr>
                      <w:rFonts w:ascii="Times New Roman" w:hAnsi="Times New Roman" w:cs="Times New Roman"/>
                      <w:color w:val="auto"/>
                      <w:spacing w:val="0"/>
                    </w:rPr>
                    <w:t>设置跨越施工场地</w:t>
                  </w:r>
                  <w:r>
                    <w:rPr>
                      <w:rFonts w:hint="eastAsia" w:ascii="Times New Roman" w:hAnsi="Times New Roman" w:cs="Times New Roman"/>
                      <w:color w:val="auto"/>
                      <w:spacing w:val="0"/>
                    </w:rPr>
                    <w:t>，</w:t>
                  </w:r>
                  <w:r>
                    <w:rPr>
                      <w:rFonts w:ascii="Times New Roman" w:hAnsi="Times New Roman" w:cs="Times New Roman"/>
                      <w:color w:val="auto"/>
                      <w:spacing w:val="0"/>
                    </w:rPr>
                    <w:t>按要求，设置跨越施工场地</w:t>
                  </w:r>
                  <w:r>
                    <w:rPr>
                      <w:rFonts w:hint="eastAsia" w:ascii="Times New Roman" w:hAnsi="Times New Roman" w:cs="Times New Roman"/>
                      <w:color w:val="auto"/>
                      <w:spacing w:val="0"/>
                    </w:rPr>
                    <w:t>10</w:t>
                  </w:r>
                  <w:r>
                    <w:rPr>
                      <w:rFonts w:ascii="Times New Roman" w:hAnsi="Times New Roman" w:cs="Times New Roman"/>
                      <w:color w:val="auto"/>
                      <w:spacing w:val="0"/>
                    </w:rPr>
                    <w:t>个，每处占地约</w:t>
                  </w:r>
                  <w:r>
                    <w:rPr>
                      <w:rFonts w:hint="eastAsia" w:ascii="Times New Roman" w:hAnsi="Times New Roman" w:cs="Times New Roman"/>
                      <w:color w:val="auto"/>
                      <w:spacing w:val="0"/>
                    </w:rPr>
                    <w:t>30</w:t>
                  </w:r>
                  <w:r>
                    <w:rPr>
                      <w:rFonts w:ascii="Times New Roman" w:hAnsi="Times New Roman" w:cs="Times New Roman"/>
                      <w:color w:val="auto"/>
                      <w:spacing w:val="0"/>
                    </w:rPr>
                    <w:t>m</w:t>
                  </w:r>
                  <w:r>
                    <w:rPr>
                      <w:rFonts w:ascii="Times New Roman" w:hAnsi="Times New Roman" w:cs="Times New Roman"/>
                      <w:color w:val="auto"/>
                      <w:spacing w:val="0"/>
                      <w:vertAlign w:val="superscript"/>
                    </w:rPr>
                    <w:t>2</w:t>
                  </w:r>
                  <w:r>
                    <w:rPr>
                      <w:rFonts w:ascii="Times New Roman" w:hAnsi="Times New Roman" w:cs="Times New Roman"/>
                      <w:color w:val="auto"/>
                      <w:spacing w:val="0"/>
                    </w:rPr>
                    <w:t>，总占地面积为0.0</w:t>
                  </w:r>
                  <w:r>
                    <w:rPr>
                      <w:rFonts w:hint="eastAsia" w:ascii="Times New Roman" w:hAnsi="Times New Roman" w:cs="Times New Roman"/>
                      <w:color w:val="auto"/>
                      <w:spacing w:val="0"/>
                    </w:rPr>
                    <w:t>3</w:t>
                  </w:r>
                  <w:r>
                    <w:rPr>
                      <w:rFonts w:ascii="Times New Roman" w:hAnsi="Times New Roman" w:cs="Times New Roman"/>
                      <w:color w:val="auto"/>
                      <w:spacing w:val="0"/>
                    </w:rPr>
                    <w:t>hm</w:t>
                  </w:r>
                  <w:r>
                    <w:rPr>
                      <w:rFonts w:ascii="Times New Roman" w:hAnsi="Times New Roman" w:cs="Times New Roman"/>
                      <w:color w:val="auto"/>
                      <w:spacing w:val="0"/>
                      <w:vertAlign w:val="superscript"/>
                    </w:rPr>
                    <w:t>2</w:t>
                  </w:r>
                  <w:r>
                    <w:rPr>
                      <w:rFonts w:ascii="Times New Roman" w:hAnsi="Times New Roman" w:cs="Times New Roman"/>
                      <w:color w:val="auto"/>
                      <w:spacing w:val="0"/>
                    </w:rPr>
                    <w:t>。为临时占地，选择地形平缓的场地，用于摆放机械，不进行表土剥离。</w:t>
                  </w:r>
                </w:p>
              </w:tc>
              <w:tc>
                <w:tcPr>
                  <w:tcW w:w="796" w:type="pct"/>
                  <w:vMerge w:val="continue"/>
                  <w:shd w:val="clear" w:color="auto" w:fill="auto"/>
                  <w:vAlign w:val="center"/>
                </w:tcPr>
                <w:p w14:paraId="6247FD43">
                  <w:pPr>
                    <w:adjustRightInd w:val="0"/>
                    <w:snapToGrid w:val="0"/>
                    <w:jc w:val="center"/>
                    <w:rPr>
                      <w:rFonts w:ascii="Times New Roman" w:hAnsi="Times New Roman"/>
                      <w:color w:val="auto"/>
                      <w:szCs w:val="21"/>
                    </w:rPr>
                  </w:pPr>
                </w:p>
              </w:tc>
            </w:tr>
            <w:tr w14:paraId="655C3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6F87A178">
                  <w:pPr>
                    <w:adjustRightInd w:val="0"/>
                    <w:snapToGrid w:val="0"/>
                    <w:jc w:val="center"/>
                    <w:rPr>
                      <w:rFonts w:ascii="Times New Roman" w:hAnsi="Times New Roman"/>
                      <w:bCs/>
                      <w:color w:val="auto"/>
                      <w:szCs w:val="21"/>
                    </w:rPr>
                  </w:pPr>
                </w:p>
              </w:tc>
              <w:tc>
                <w:tcPr>
                  <w:tcW w:w="774" w:type="pct"/>
                  <w:shd w:val="clear" w:color="auto" w:fill="auto"/>
                  <w:vAlign w:val="center"/>
                </w:tcPr>
                <w:p w14:paraId="414A7340">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临时表土堆场</w:t>
                  </w:r>
                </w:p>
              </w:tc>
              <w:tc>
                <w:tcPr>
                  <w:tcW w:w="3003" w:type="pct"/>
                  <w:shd w:val="clear" w:color="auto" w:fill="auto"/>
                  <w:vAlign w:val="center"/>
                </w:tcPr>
                <w:p w14:paraId="6034456D">
                  <w:pPr>
                    <w:pStyle w:val="69"/>
                    <w:autoSpaceDE/>
                    <w:autoSpaceDN/>
                    <w:jc w:val="center"/>
                    <w:rPr>
                      <w:rFonts w:ascii="Times New Roman" w:hAnsi="Times New Roman" w:cs="Times New Roman"/>
                      <w:color w:val="auto"/>
                      <w:spacing w:val="0"/>
                    </w:rPr>
                  </w:pPr>
                  <w:r>
                    <w:rPr>
                      <w:rFonts w:ascii="Times New Roman" w:hAnsi="Times New Roman" w:cs="Times New Roman"/>
                      <w:color w:val="auto"/>
                      <w:spacing w:val="0"/>
                    </w:rPr>
                    <w:t>不单独设置表土堆场，施工期塔基区剥离表土堆存于塔基占地红线范围内，采取临时覆盖，施工结束后回填、整地恢复，撒草绿化等。</w:t>
                  </w:r>
                </w:p>
              </w:tc>
              <w:tc>
                <w:tcPr>
                  <w:tcW w:w="796" w:type="pct"/>
                  <w:vMerge w:val="continue"/>
                  <w:shd w:val="clear" w:color="auto" w:fill="auto"/>
                  <w:vAlign w:val="center"/>
                </w:tcPr>
                <w:p w14:paraId="50584502">
                  <w:pPr>
                    <w:adjustRightInd w:val="0"/>
                    <w:snapToGrid w:val="0"/>
                    <w:jc w:val="center"/>
                    <w:rPr>
                      <w:rFonts w:ascii="Times New Roman" w:hAnsi="Times New Roman"/>
                      <w:color w:val="auto"/>
                      <w:szCs w:val="21"/>
                    </w:rPr>
                  </w:pPr>
                </w:p>
              </w:tc>
            </w:tr>
            <w:tr w14:paraId="46EE1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restart"/>
                  <w:shd w:val="clear" w:color="auto" w:fill="auto"/>
                  <w:vAlign w:val="center"/>
                </w:tcPr>
                <w:p w14:paraId="1D091025">
                  <w:pPr>
                    <w:adjustRightInd w:val="0"/>
                    <w:snapToGrid w:val="0"/>
                    <w:jc w:val="center"/>
                    <w:rPr>
                      <w:rFonts w:ascii="Times New Roman" w:hAnsi="Times New Roman"/>
                      <w:bCs/>
                      <w:color w:val="auto"/>
                      <w:szCs w:val="21"/>
                    </w:rPr>
                  </w:pPr>
                  <w:r>
                    <w:rPr>
                      <w:rFonts w:ascii="Times New Roman" w:hAnsi="Times New Roman"/>
                      <w:bCs/>
                      <w:color w:val="auto"/>
                      <w:szCs w:val="21"/>
                    </w:rPr>
                    <w:t>环保工程</w:t>
                  </w:r>
                </w:p>
              </w:tc>
              <w:tc>
                <w:tcPr>
                  <w:tcW w:w="774" w:type="pct"/>
                  <w:shd w:val="clear" w:color="auto" w:fill="auto"/>
                  <w:vAlign w:val="center"/>
                </w:tcPr>
                <w:p w14:paraId="7FBD1A27">
                  <w:pPr>
                    <w:pStyle w:val="69"/>
                    <w:jc w:val="center"/>
                    <w:rPr>
                      <w:rFonts w:ascii="Times New Roman" w:hAnsi="Times New Roman" w:cs="Times New Roman"/>
                      <w:color w:val="auto"/>
                      <w:spacing w:val="0"/>
                    </w:rPr>
                  </w:pPr>
                  <w:r>
                    <w:rPr>
                      <w:rFonts w:ascii="Times New Roman" w:hAnsi="Times New Roman" w:cs="Times New Roman"/>
                      <w:color w:val="auto"/>
                      <w:spacing w:val="0"/>
                    </w:rPr>
                    <w:t>废气</w:t>
                  </w:r>
                </w:p>
              </w:tc>
              <w:tc>
                <w:tcPr>
                  <w:tcW w:w="3003" w:type="pct"/>
                  <w:shd w:val="clear" w:color="auto" w:fill="auto"/>
                  <w:vAlign w:val="center"/>
                </w:tcPr>
                <w:p w14:paraId="14A14BA6">
                  <w:pPr>
                    <w:pStyle w:val="69"/>
                    <w:jc w:val="center"/>
                    <w:rPr>
                      <w:rFonts w:ascii="Times New Roman" w:hAnsi="Times New Roman" w:cs="Times New Roman"/>
                      <w:color w:val="auto"/>
                      <w:spacing w:val="0"/>
                    </w:rPr>
                  </w:pPr>
                  <w:r>
                    <w:rPr>
                      <w:rFonts w:ascii="Times New Roman" w:hAnsi="Times New Roman" w:cs="Times New Roman"/>
                      <w:color w:val="auto"/>
                      <w:spacing w:val="0"/>
                    </w:rPr>
                    <w:t>施工期粉尘采取洒水降尘、篷布覆盖等措施；运营期不产生废气</w:t>
                  </w:r>
                </w:p>
              </w:tc>
              <w:tc>
                <w:tcPr>
                  <w:tcW w:w="796" w:type="pct"/>
                  <w:shd w:val="clear" w:color="auto" w:fill="auto"/>
                  <w:vAlign w:val="center"/>
                </w:tcPr>
                <w:p w14:paraId="0ADFCDFD">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33A91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37CC3AE7">
                  <w:pPr>
                    <w:adjustRightInd w:val="0"/>
                    <w:snapToGrid w:val="0"/>
                    <w:jc w:val="center"/>
                    <w:rPr>
                      <w:rFonts w:ascii="Times New Roman" w:hAnsi="Times New Roman"/>
                      <w:bCs/>
                      <w:color w:val="auto"/>
                      <w:szCs w:val="21"/>
                    </w:rPr>
                  </w:pPr>
                </w:p>
              </w:tc>
              <w:tc>
                <w:tcPr>
                  <w:tcW w:w="774" w:type="pct"/>
                  <w:shd w:val="clear" w:color="auto" w:fill="auto"/>
                  <w:vAlign w:val="center"/>
                </w:tcPr>
                <w:p w14:paraId="30FC8C88">
                  <w:pPr>
                    <w:pStyle w:val="69"/>
                    <w:jc w:val="center"/>
                    <w:rPr>
                      <w:rFonts w:ascii="Times New Roman" w:hAnsi="Times New Roman" w:cs="Times New Roman"/>
                      <w:color w:val="auto"/>
                      <w:spacing w:val="0"/>
                    </w:rPr>
                  </w:pPr>
                  <w:r>
                    <w:rPr>
                      <w:rFonts w:ascii="Times New Roman" w:hAnsi="Times New Roman" w:cs="Times New Roman"/>
                      <w:color w:val="auto"/>
                      <w:spacing w:val="0"/>
                    </w:rPr>
                    <w:t>废水</w:t>
                  </w:r>
                </w:p>
              </w:tc>
              <w:tc>
                <w:tcPr>
                  <w:tcW w:w="3003" w:type="pct"/>
                  <w:shd w:val="clear" w:color="auto" w:fill="auto"/>
                  <w:vAlign w:val="center"/>
                </w:tcPr>
                <w:p w14:paraId="63A8045D">
                  <w:pPr>
                    <w:pStyle w:val="69"/>
                    <w:jc w:val="center"/>
                    <w:rPr>
                      <w:rFonts w:ascii="Times New Roman" w:hAnsi="Times New Roman" w:cs="Times New Roman"/>
                      <w:color w:val="auto"/>
                      <w:spacing w:val="0"/>
                    </w:rPr>
                  </w:pPr>
                  <w:r>
                    <w:rPr>
                      <w:rFonts w:ascii="Times New Roman" w:hAnsi="Times New Roman" w:cs="Times New Roman"/>
                      <w:color w:val="auto"/>
                      <w:spacing w:val="0"/>
                    </w:rPr>
                    <w:t>施工期废水经临时沉淀池沉淀后全部回用，不外排。运营期无废水产生。</w:t>
                  </w:r>
                </w:p>
              </w:tc>
              <w:tc>
                <w:tcPr>
                  <w:tcW w:w="796" w:type="pct"/>
                  <w:shd w:val="clear" w:color="auto" w:fill="auto"/>
                  <w:vAlign w:val="center"/>
                </w:tcPr>
                <w:p w14:paraId="3FBC3E26">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273EB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786CF4BB">
                  <w:pPr>
                    <w:adjustRightInd w:val="0"/>
                    <w:snapToGrid w:val="0"/>
                    <w:jc w:val="center"/>
                    <w:rPr>
                      <w:rFonts w:ascii="Times New Roman" w:hAnsi="Times New Roman"/>
                      <w:bCs/>
                      <w:color w:val="auto"/>
                      <w:szCs w:val="21"/>
                    </w:rPr>
                  </w:pPr>
                </w:p>
              </w:tc>
              <w:tc>
                <w:tcPr>
                  <w:tcW w:w="774" w:type="pct"/>
                  <w:shd w:val="clear" w:color="auto" w:fill="auto"/>
                  <w:vAlign w:val="center"/>
                </w:tcPr>
                <w:p w14:paraId="06F5A126">
                  <w:pPr>
                    <w:pStyle w:val="69"/>
                    <w:jc w:val="center"/>
                    <w:rPr>
                      <w:rFonts w:ascii="Times New Roman" w:hAnsi="Times New Roman" w:cs="Times New Roman"/>
                      <w:color w:val="auto"/>
                      <w:spacing w:val="0"/>
                    </w:rPr>
                  </w:pPr>
                  <w:r>
                    <w:rPr>
                      <w:rFonts w:ascii="Times New Roman" w:hAnsi="Times New Roman" w:cs="Times New Roman"/>
                      <w:color w:val="auto"/>
                      <w:spacing w:val="0"/>
                    </w:rPr>
                    <w:t>噪声</w:t>
                  </w:r>
                </w:p>
              </w:tc>
              <w:tc>
                <w:tcPr>
                  <w:tcW w:w="3003" w:type="pct"/>
                  <w:shd w:val="clear" w:color="auto" w:fill="auto"/>
                  <w:vAlign w:val="center"/>
                </w:tcPr>
                <w:p w14:paraId="1833E1FC">
                  <w:pPr>
                    <w:pStyle w:val="69"/>
                    <w:jc w:val="center"/>
                    <w:rPr>
                      <w:rFonts w:ascii="Times New Roman" w:hAnsi="Times New Roman" w:cs="Times New Roman"/>
                      <w:color w:val="auto"/>
                      <w:spacing w:val="0"/>
                    </w:rPr>
                  </w:pPr>
                  <w:r>
                    <w:rPr>
                      <w:rFonts w:ascii="Times New Roman" w:hAnsi="Times New Roman" w:cs="Times New Roman"/>
                      <w:color w:val="auto"/>
                      <w:spacing w:val="0"/>
                    </w:rPr>
                    <w:t>施工期采用低噪声设备；运营期加强对设备的维护</w:t>
                  </w:r>
                </w:p>
              </w:tc>
              <w:tc>
                <w:tcPr>
                  <w:tcW w:w="796" w:type="pct"/>
                  <w:shd w:val="clear" w:color="auto" w:fill="auto"/>
                  <w:vAlign w:val="center"/>
                </w:tcPr>
                <w:p w14:paraId="19713659">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58C74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2C1FA632">
                  <w:pPr>
                    <w:adjustRightInd w:val="0"/>
                    <w:snapToGrid w:val="0"/>
                    <w:jc w:val="center"/>
                    <w:rPr>
                      <w:rFonts w:ascii="Times New Roman" w:hAnsi="Times New Roman"/>
                      <w:bCs/>
                      <w:color w:val="auto"/>
                      <w:szCs w:val="21"/>
                    </w:rPr>
                  </w:pPr>
                </w:p>
              </w:tc>
              <w:tc>
                <w:tcPr>
                  <w:tcW w:w="774" w:type="pct"/>
                  <w:shd w:val="clear" w:color="auto" w:fill="auto"/>
                  <w:vAlign w:val="center"/>
                </w:tcPr>
                <w:p w14:paraId="5537A601">
                  <w:pPr>
                    <w:pStyle w:val="69"/>
                    <w:jc w:val="center"/>
                    <w:rPr>
                      <w:rFonts w:ascii="Times New Roman" w:hAnsi="Times New Roman" w:cs="Times New Roman"/>
                      <w:color w:val="auto"/>
                      <w:spacing w:val="0"/>
                    </w:rPr>
                  </w:pPr>
                  <w:r>
                    <w:rPr>
                      <w:rFonts w:ascii="Times New Roman" w:hAnsi="Times New Roman" w:cs="Times New Roman"/>
                      <w:color w:val="auto"/>
                      <w:spacing w:val="0"/>
                    </w:rPr>
                    <w:t>固体废物</w:t>
                  </w:r>
                </w:p>
              </w:tc>
              <w:tc>
                <w:tcPr>
                  <w:tcW w:w="3003" w:type="pct"/>
                  <w:shd w:val="clear" w:color="auto" w:fill="auto"/>
                  <w:vAlign w:val="center"/>
                </w:tcPr>
                <w:p w14:paraId="52E84609">
                  <w:pPr>
                    <w:pStyle w:val="69"/>
                    <w:jc w:val="center"/>
                    <w:rPr>
                      <w:rFonts w:ascii="Times New Roman" w:hAnsi="Times New Roman" w:cs="Times New Roman"/>
                      <w:color w:val="auto"/>
                      <w:spacing w:val="0"/>
                    </w:rPr>
                  </w:pPr>
                  <w:r>
                    <w:rPr>
                      <w:rFonts w:ascii="Times New Roman" w:hAnsi="Times New Roman" w:cs="Times New Roman"/>
                      <w:color w:val="auto"/>
                      <w:spacing w:val="0"/>
                    </w:rPr>
                    <w:t>在施工点设置生活垃圾收集桶，对施工人员产生的生活垃圾统一收集后由施工单位定期运至周边村镇环卫部门指定地点堆放，由环卫部门负责清运处置；土石方全部回填，建筑垃圾收集后交由有资质单位处置；运营期更换的废旧绝缘子串、电气设备由建设单位物资部门回收处理。</w:t>
                  </w:r>
                </w:p>
              </w:tc>
              <w:tc>
                <w:tcPr>
                  <w:tcW w:w="796" w:type="pct"/>
                  <w:shd w:val="clear" w:color="auto" w:fill="auto"/>
                  <w:vAlign w:val="center"/>
                </w:tcPr>
                <w:p w14:paraId="33D3A0A9">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2C00D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6F2D3C83">
                  <w:pPr>
                    <w:adjustRightInd w:val="0"/>
                    <w:snapToGrid w:val="0"/>
                    <w:jc w:val="center"/>
                    <w:rPr>
                      <w:rFonts w:ascii="Times New Roman" w:hAnsi="Times New Roman"/>
                      <w:bCs/>
                      <w:color w:val="auto"/>
                      <w:szCs w:val="21"/>
                    </w:rPr>
                  </w:pPr>
                </w:p>
              </w:tc>
              <w:tc>
                <w:tcPr>
                  <w:tcW w:w="774" w:type="pct"/>
                  <w:shd w:val="clear" w:color="auto" w:fill="auto"/>
                  <w:vAlign w:val="center"/>
                </w:tcPr>
                <w:p w14:paraId="35775FEE">
                  <w:pPr>
                    <w:pStyle w:val="69"/>
                    <w:jc w:val="center"/>
                    <w:rPr>
                      <w:rFonts w:ascii="Times New Roman" w:hAnsi="Times New Roman" w:cs="Times New Roman"/>
                      <w:color w:val="auto"/>
                      <w:spacing w:val="0"/>
                    </w:rPr>
                  </w:pPr>
                  <w:r>
                    <w:rPr>
                      <w:rFonts w:ascii="Times New Roman" w:hAnsi="Times New Roman" w:cs="Times New Roman"/>
                      <w:color w:val="auto"/>
                      <w:spacing w:val="0"/>
                    </w:rPr>
                    <w:t>电磁环境</w:t>
                  </w:r>
                </w:p>
              </w:tc>
              <w:tc>
                <w:tcPr>
                  <w:tcW w:w="3003" w:type="pct"/>
                  <w:shd w:val="clear" w:color="auto" w:fill="auto"/>
                  <w:vAlign w:val="center"/>
                </w:tcPr>
                <w:p w14:paraId="3FA80E7E">
                  <w:pPr>
                    <w:pStyle w:val="69"/>
                    <w:jc w:val="center"/>
                    <w:rPr>
                      <w:rFonts w:ascii="Times New Roman" w:hAnsi="Times New Roman" w:cs="Times New Roman"/>
                      <w:color w:val="auto"/>
                      <w:spacing w:val="0"/>
                    </w:rPr>
                  </w:pPr>
                  <w:r>
                    <w:rPr>
                      <w:rFonts w:ascii="Times New Roman" w:hAnsi="Times New Roman" w:cs="Times New Roman"/>
                      <w:color w:val="auto"/>
                      <w:spacing w:val="0"/>
                    </w:rPr>
                    <w:t>输电线路导线距地高度按照《110kV～750kV架空输电线路设计规范》（GB50545-2010）规定的220kV线路经过非居民区导线对地面最小距离6.5m，居民区导线对地面最小距离7.5m，交通困难区对地面最小距离5m的要求进行架设。则项目线路运行期产生的电磁环境影响均满足相应评价标准限值要求。塔基安全警示牌、电力设施保护标识牌。</w:t>
                  </w:r>
                </w:p>
              </w:tc>
              <w:tc>
                <w:tcPr>
                  <w:tcW w:w="796" w:type="pct"/>
                  <w:shd w:val="clear" w:color="auto" w:fill="auto"/>
                  <w:vAlign w:val="center"/>
                </w:tcPr>
                <w:p w14:paraId="2D40DA3B">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0E602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373E9B92">
                  <w:pPr>
                    <w:adjustRightInd w:val="0"/>
                    <w:snapToGrid w:val="0"/>
                    <w:jc w:val="center"/>
                    <w:rPr>
                      <w:rFonts w:ascii="Times New Roman" w:hAnsi="Times New Roman"/>
                      <w:bCs/>
                      <w:color w:val="auto"/>
                      <w:szCs w:val="21"/>
                    </w:rPr>
                  </w:pPr>
                </w:p>
              </w:tc>
              <w:tc>
                <w:tcPr>
                  <w:tcW w:w="774" w:type="pct"/>
                  <w:shd w:val="clear" w:color="auto" w:fill="auto"/>
                  <w:vAlign w:val="center"/>
                </w:tcPr>
                <w:p w14:paraId="77E302FB">
                  <w:pPr>
                    <w:pStyle w:val="69"/>
                    <w:jc w:val="center"/>
                    <w:rPr>
                      <w:rFonts w:ascii="Times New Roman" w:hAnsi="Times New Roman" w:cs="Times New Roman"/>
                      <w:color w:val="auto"/>
                      <w:spacing w:val="0"/>
                    </w:rPr>
                  </w:pPr>
                  <w:r>
                    <w:rPr>
                      <w:rFonts w:ascii="Times New Roman" w:hAnsi="Times New Roman" w:cs="Times New Roman"/>
                      <w:color w:val="auto"/>
                      <w:spacing w:val="0"/>
                    </w:rPr>
                    <w:t>水土保持</w:t>
                  </w:r>
                </w:p>
              </w:tc>
              <w:tc>
                <w:tcPr>
                  <w:tcW w:w="3003" w:type="pct"/>
                  <w:shd w:val="clear" w:color="auto" w:fill="auto"/>
                  <w:vAlign w:val="center"/>
                </w:tcPr>
                <w:p w14:paraId="5AF65A4F">
                  <w:pPr>
                    <w:pStyle w:val="69"/>
                    <w:jc w:val="center"/>
                    <w:rPr>
                      <w:rFonts w:ascii="Times New Roman" w:hAnsi="Times New Roman" w:cs="Times New Roman"/>
                      <w:color w:val="auto"/>
                      <w:spacing w:val="0"/>
                    </w:rPr>
                  </w:pPr>
                  <w:r>
                    <w:rPr>
                      <w:rFonts w:ascii="Times New Roman" w:hAnsi="Times New Roman" w:cs="Times New Roman"/>
                      <w:color w:val="auto"/>
                      <w:spacing w:val="0"/>
                    </w:rPr>
                    <w:t>施工物料采用篷布覆盖、遮挡；陡坡塔基设置的浆砌石挡土墙、护坡、排水沟等</w:t>
                  </w:r>
                </w:p>
              </w:tc>
              <w:tc>
                <w:tcPr>
                  <w:tcW w:w="796" w:type="pct"/>
                  <w:shd w:val="clear" w:color="auto" w:fill="auto"/>
                  <w:vAlign w:val="center"/>
                </w:tcPr>
                <w:p w14:paraId="37F35DBE">
                  <w:pPr>
                    <w:adjustRightInd w:val="0"/>
                    <w:snapToGrid w:val="0"/>
                    <w:jc w:val="center"/>
                    <w:rPr>
                      <w:rFonts w:ascii="Times New Roman" w:hAnsi="Times New Roman"/>
                      <w:color w:val="auto"/>
                      <w:szCs w:val="21"/>
                    </w:rPr>
                  </w:pPr>
                  <w:r>
                    <w:rPr>
                      <w:rFonts w:ascii="Times New Roman" w:hAnsi="Times New Roman"/>
                      <w:color w:val="auto"/>
                      <w:szCs w:val="21"/>
                    </w:rPr>
                    <w:t>新建</w:t>
                  </w:r>
                </w:p>
              </w:tc>
            </w:tr>
            <w:tr w14:paraId="472C9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6" w:type="pct"/>
                  <w:vMerge w:val="continue"/>
                  <w:shd w:val="clear" w:color="auto" w:fill="auto"/>
                  <w:vAlign w:val="center"/>
                </w:tcPr>
                <w:p w14:paraId="1908543A">
                  <w:pPr>
                    <w:adjustRightInd w:val="0"/>
                    <w:snapToGrid w:val="0"/>
                    <w:jc w:val="center"/>
                    <w:rPr>
                      <w:rFonts w:ascii="Times New Roman" w:hAnsi="Times New Roman"/>
                      <w:bCs/>
                      <w:color w:val="auto"/>
                      <w:szCs w:val="21"/>
                    </w:rPr>
                  </w:pPr>
                </w:p>
              </w:tc>
              <w:tc>
                <w:tcPr>
                  <w:tcW w:w="774" w:type="pct"/>
                  <w:shd w:val="clear" w:color="auto" w:fill="auto"/>
                  <w:vAlign w:val="center"/>
                </w:tcPr>
                <w:p w14:paraId="6F93EB51">
                  <w:pPr>
                    <w:pStyle w:val="69"/>
                    <w:jc w:val="center"/>
                    <w:rPr>
                      <w:rFonts w:ascii="Times New Roman" w:hAnsi="Times New Roman" w:cs="Times New Roman"/>
                      <w:color w:val="auto"/>
                      <w:spacing w:val="0"/>
                    </w:rPr>
                  </w:pPr>
                  <w:r>
                    <w:rPr>
                      <w:rFonts w:ascii="Times New Roman" w:hAnsi="Times New Roman" w:cs="Times New Roman"/>
                      <w:color w:val="auto"/>
                      <w:spacing w:val="0"/>
                    </w:rPr>
                    <w:t>生态措施</w:t>
                  </w:r>
                </w:p>
              </w:tc>
              <w:tc>
                <w:tcPr>
                  <w:tcW w:w="3003" w:type="pct"/>
                  <w:shd w:val="clear" w:color="auto" w:fill="auto"/>
                  <w:vAlign w:val="center"/>
                </w:tcPr>
                <w:p w14:paraId="18B76FC0">
                  <w:pPr>
                    <w:pStyle w:val="69"/>
                    <w:jc w:val="center"/>
                    <w:rPr>
                      <w:rFonts w:ascii="Times New Roman" w:hAnsi="Times New Roman" w:cs="Times New Roman"/>
                      <w:color w:val="auto"/>
                      <w:spacing w:val="0"/>
                    </w:rPr>
                  </w:pPr>
                  <w:r>
                    <w:rPr>
                      <w:rFonts w:ascii="Times New Roman" w:hAnsi="Times New Roman" w:cs="Times New Roman"/>
                      <w:color w:val="auto"/>
                      <w:spacing w:val="0"/>
                    </w:rPr>
                    <w:t>严格控制施工范围，塔基施工区、牵张场、跨越施工场地等施工结束后进行植被恢复。</w:t>
                  </w:r>
                </w:p>
              </w:tc>
              <w:tc>
                <w:tcPr>
                  <w:tcW w:w="796" w:type="pct"/>
                  <w:shd w:val="clear" w:color="auto" w:fill="auto"/>
                  <w:vAlign w:val="center"/>
                </w:tcPr>
                <w:p w14:paraId="5046CCD3">
                  <w:pPr>
                    <w:adjustRightInd w:val="0"/>
                    <w:snapToGrid w:val="0"/>
                    <w:jc w:val="center"/>
                    <w:rPr>
                      <w:rFonts w:ascii="Times New Roman" w:hAnsi="Times New Roman"/>
                      <w:color w:val="auto"/>
                      <w:szCs w:val="21"/>
                    </w:rPr>
                  </w:pPr>
                  <w:r>
                    <w:rPr>
                      <w:rFonts w:ascii="Times New Roman" w:hAnsi="Times New Roman"/>
                      <w:color w:val="auto"/>
                      <w:szCs w:val="21"/>
                    </w:rPr>
                    <w:t>新建</w:t>
                  </w:r>
                </w:p>
              </w:tc>
            </w:tr>
          </w:tbl>
          <w:p w14:paraId="15AB078B">
            <w:pPr>
              <w:adjustRightInd w:val="0"/>
              <w:snapToGrid w:val="0"/>
              <w:jc w:val="center"/>
              <w:rPr>
                <w:rFonts w:ascii="Times New Roman" w:hAnsi="Times New Roman"/>
                <w:b/>
                <w:color w:val="auto"/>
                <w:sz w:val="24"/>
                <w:szCs w:val="24"/>
              </w:rPr>
            </w:pPr>
          </w:p>
          <w:p w14:paraId="5D4D0A5B">
            <w:pPr>
              <w:jc w:val="center"/>
              <w:rPr>
                <w:rFonts w:ascii="Times New Roman" w:hAnsi="Times New Roman"/>
                <w:b/>
                <w:color w:val="auto"/>
                <w:sz w:val="24"/>
              </w:rPr>
            </w:pPr>
            <w:r>
              <w:rPr>
                <w:rFonts w:ascii="Times New Roman" w:hAnsi="Times New Roman"/>
                <w:b/>
                <w:color w:val="auto"/>
                <w:sz w:val="24"/>
                <w:szCs w:val="24"/>
              </w:rPr>
              <w:t xml:space="preserve">表2-2  </w:t>
            </w:r>
            <w:r>
              <w:rPr>
                <w:rFonts w:ascii="Times New Roman" w:hAnsi="Times New Roman"/>
                <w:b/>
                <w:color w:val="auto"/>
                <w:sz w:val="24"/>
              </w:rPr>
              <w:t>项目输电线路主要技术参数</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6681"/>
            </w:tblGrid>
            <w:tr w14:paraId="0847F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20" w:type="pct"/>
                  <w:vMerge w:val="restart"/>
                  <w:tcBorders>
                    <w:tl2br w:val="nil"/>
                    <w:tr2bl w:val="nil"/>
                  </w:tcBorders>
                  <w:vAlign w:val="center"/>
                </w:tcPr>
                <w:p w14:paraId="6F931B00">
                  <w:pPr>
                    <w:adjustRightInd w:val="0"/>
                    <w:snapToGrid w:val="0"/>
                    <w:jc w:val="center"/>
                    <w:rPr>
                      <w:rFonts w:ascii="Times New Roman" w:hAnsi="Times New Roman"/>
                      <w:b/>
                      <w:bCs/>
                      <w:color w:val="auto"/>
                      <w:szCs w:val="21"/>
                    </w:rPr>
                  </w:pPr>
                  <w:r>
                    <w:rPr>
                      <w:rFonts w:ascii="Times New Roman" w:hAnsi="Times New Roman"/>
                      <w:b/>
                      <w:bCs/>
                      <w:color w:val="auto"/>
                    </w:rPr>
                    <mc:AlternateContent>
                      <mc:Choice Requires="wps">
                        <w:drawing>
                          <wp:anchor distT="0" distB="0" distL="114300" distR="114300" simplePos="0" relativeHeight="251659264" behindDoc="0" locked="0" layoutInCell="1" allowOverlap="1">
                            <wp:simplePos x="0" y="0"/>
                            <wp:positionH relativeFrom="column">
                              <wp:posOffset>-57785</wp:posOffset>
                            </wp:positionH>
                            <wp:positionV relativeFrom="paragraph">
                              <wp:posOffset>9525</wp:posOffset>
                            </wp:positionV>
                            <wp:extent cx="1058545" cy="182245"/>
                            <wp:effectExtent l="635" t="4445" r="7620" b="22860"/>
                            <wp:wrapNone/>
                            <wp:docPr id="49" name="直接连接符 33"/>
                            <wp:cNvGraphicFramePr/>
                            <a:graphic xmlns:a="http://schemas.openxmlformats.org/drawingml/2006/main">
                              <a:graphicData uri="http://schemas.microsoft.com/office/word/2010/wordprocessingShape">
                                <wps:wsp>
                                  <wps:cNvCnPr/>
                                  <wps:spPr>
                                    <a:xfrm>
                                      <a:off x="0" y="0"/>
                                      <a:ext cx="1058545" cy="18224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直接连接符 33" o:spid="_x0000_s1026" o:spt="20" style="position:absolute;left:0pt;margin-left:-4.55pt;margin-top:0.75pt;height:14.35pt;width:83.35pt;z-index:251659264;mso-width-relative:page;mso-height-relative:page;" filled="f" stroked="t" coordsize="21600,21600" o:gfxdata="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Nn6Q0wAAAAcBAAAPAAAAAAAAAAEAIAAAACIAAABkcnMvZG93bnJldi54&#10;bWxQSwECFAAUAAAACACHTuJAsbN0H/8BAAD5AwAADgAAAAAAAAABACAAAAAiAQAAZHJzL2Uyb0Rv&#10;Yy54bWxQSwUGAAAAAAYABgBZAQAAkwUAAAAA&#10;">
                            <v:fill on="f" focussize="0,0"/>
                            <v:stroke weight="0.5pt" color="#000000" joinstyle="round"/>
                            <v:imagedata o:title=""/>
                            <o:lock v:ext="edit" aspectratio="f"/>
                          </v:line>
                        </w:pict>
                      </mc:Fallback>
                    </mc:AlternateContent>
                  </w:r>
                  <w:r>
                    <w:rPr>
                      <w:rFonts w:ascii="Times New Roman" w:hAnsi="Times New Roman"/>
                      <w:b/>
                      <w:bCs/>
                      <w:color w:val="auto"/>
                      <w:szCs w:val="21"/>
                    </w:rPr>
                    <w:t xml:space="preserve">      线路名称</w:t>
                  </w:r>
                </w:p>
                <w:p w14:paraId="797FB5F3">
                  <w:pPr>
                    <w:adjustRightInd w:val="0"/>
                    <w:snapToGrid w:val="0"/>
                    <w:rPr>
                      <w:rFonts w:ascii="Times New Roman" w:hAnsi="Times New Roman"/>
                      <w:b/>
                      <w:bCs/>
                      <w:color w:val="auto"/>
                      <w:szCs w:val="21"/>
                    </w:rPr>
                  </w:pPr>
                  <w:r>
                    <w:rPr>
                      <w:rFonts w:ascii="Times New Roman" w:hAnsi="Times New Roman"/>
                      <w:b/>
                      <w:bCs/>
                      <w:color w:val="auto"/>
                      <w:szCs w:val="21"/>
                    </w:rPr>
                    <w:t>项目</w:t>
                  </w:r>
                </w:p>
              </w:tc>
              <w:tc>
                <w:tcPr>
                  <w:tcW w:w="3979" w:type="pct"/>
                  <w:vMerge w:val="restart"/>
                  <w:tcBorders>
                    <w:tl2br w:val="nil"/>
                    <w:tr2bl w:val="nil"/>
                  </w:tcBorders>
                  <w:vAlign w:val="center"/>
                </w:tcPr>
                <w:p w14:paraId="33741B4C">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六合一至乐业变220kV送出线路工程</w:t>
                  </w:r>
                </w:p>
              </w:tc>
            </w:tr>
            <w:tr w14:paraId="0020E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20" w:type="pct"/>
                  <w:vMerge w:val="continue"/>
                  <w:tcBorders>
                    <w:tl2br w:val="nil"/>
                    <w:tr2bl w:val="nil"/>
                  </w:tcBorders>
                  <w:vAlign w:val="center"/>
                </w:tcPr>
                <w:p w14:paraId="4C8306EF">
                  <w:pPr>
                    <w:adjustRightInd w:val="0"/>
                    <w:snapToGrid w:val="0"/>
                    <w:jc w:val="center"/>
                    <w:rPr>
                      <w:rFonts w:ascii="Times New Roman" w:hAnsi="Times New Roman"/>
                      <w:color w:val="auto"/>
                      <w:szCs w:val="21"/>
                    </w:rPr>
                  </w:pPr>
                </w:p>
              </w:tc>
              <w:tc>
                <w:tcPr>
                  <w:tcW w:w="3979" w:type="pct"/>
                  <w:vMerge w:val="continue"/>
                  <w:tcBorders>
                    <w:tl2br w:val="nil"/>
                    <w:tr2bl w:val="nil"/>
                  </w:tcBorders>
                  <w:vAlign w:val="center"/>
                </w:tcPr>
                <w:p w14:paraId="59ADEB18">
                  <w:pPr>
                    <w:adjustRightInd w:val="0"/>
                    <w:snapToGrid w:val="0"/>
                    <w:jc w:val="center"/>
                    <w:rPr>
                      <w:rFonts w:ascii="Times New Roman" w:hAnsi="Times New Roman"/>
                      <w:color w:val="auto"/>
                      <w:szCs w:val="21"/>
                    </w:rPr>
                  </w:pPr>
                </w:p>
              </w:tc>
            </w:tr>
            <w:tr w14:paraId="023D9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08C8ED75">
                  <w:pPr>
                    <w:adjustRightInd w:val="0"/>
                    <w:snapToGrid w:val="0"/>
                    <w:jc w:val="center"/>
                    <w:rPr>
                      <w:rFonts w:ascii="Times New Roman" w:hAnsi="Times New Roman"/>
                      <w:color w:val="auto"/>
                      <w:szCs w:val="21"/>
                    </w:rPr>
                  </w:pPr>
                  <w:r>
                    <w:rPr>
                      <w:rFonts w:ascii="Times New Roman" w:hAnsi="Times New Roman"/>
                      <w:color w:val="auto"/>
                      <w:szCs w:val="21"/>
                    </w:rPr>
                    <w:t>导线选型</w:t>
                  </w:r>
                </w:p>
              </w:tc>
              <w:tc>
                <w:tcPr>
                  <w:tcW w:w="3979" w:type="pct"/>
                  <w:tcBorders>
                    <w:tl2br w:val="nil"/>
                    <w:tr2bl w:val="nil"/>
                  </w:tcBorders>
                  <w:vAlign w:val="center"/>
                </w:tcPr>
                <w:p w14:paraId="1F4A58CE">
                  <w:pPr>
                    <w:adjustRightInd w:val="0"/>
                    <w:snapToGrid w:val="0"/>
                    <w:jc w:val="center"/>
                    <w:rPr>
                      <w:rFonts w:ascii="Times New Roman" w:hAnsi="Times New Roman"/>
                      <w:color w:val="auto"/>
                      <w:szCs w:val="21"/>
                    </w:rPr>
                  </w:pPr>
                  <w:r>
                    <w:rPr>
                      <w:rFonts w:hint="eastAsia" w:ascii="Times New Roman" w:hAnsi="Times New Roman"/>
                      <w:color w:val="auto"/>
                      <w:lang w:val="zh-CN"/>
                    </w:rPr>
                    <w:t>导线（10mm冰区）采用2×JNRLH1/LB20A-400/50型铝包钢芯耐热铝合金绞线，导线（20mm冰区）采用2×JNRLH1/LB20A-400/65型铝包钢芯耐热铝合金绞线</w:t>
                  </w:r>
                  <w:r>
                    <w:rPr>
                      <w:rFonts w:ascii="Times New Roman" w:hAnsi="Times New Roman"/>
                      <w:color w:val="auto"/>
                    </w:rPr>
                    <w:t>。</w:t>
                  </w:r>
                </w:p>
              </w:tc>
            </w:tr>
            <w:tr w14:paraId="41BB15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10623892">
                  <w:pPr>
                    <w:adjustRightInd w:val="0"/>
                    <w:snapToGrid w:val="0"/>
                    <w:jc w:val="center"/>
                    <w:rPr>
                      <w:rFonts w:ascii="Times New Roman" w:hAnsi="Times New Roman"/>
                      <w:color w:val="auto"/>
                      <w:szCs w:val="21"/>
                    </w:rPr>
                  </w:pPr>
                  <w:r>
                    <w:rPr>
                      <w:rFonts w:ascii="Times New Roman" w:hAnsi="Times New Roman"/>
                      <w:color w:val="auto"/>
                      <w:szCs w:val="21"/>
                    </w:rPr>
                    <w:t>地线选型</w:t>
                  </w:r>
                </w:p>
              </w:tc>
              <w:tc>
                <w:tcPr>
                  <w:tcW w:w="3979" w:type="pct"/>
                  <w:tcBorders>
                    <w:tl2br w:val="nil"/>
                    <w:tr2bl w:val="nil"/>
                  </w:tcBorders>
                  <w:vAlign w:val="center"/>
                </w:tcPr>
                <w:p w14:paraId="2320F09A">
                  <w:pPr>
                    <w:adjustRightInd w:val="0"/>
                    <w:snapToGrid w:val="0"/>
                    <w:jc w:val="center"/>
                    <w:rPr>
                      <w:rFonts w:ascii="Times New Roman" w:hAnsi="Times New Roman"/>
                      <w:color w:val="auto"/>
                      <w:szCs w:val="21"/>
                    </w:rPr>
                  </w:pPr>
                  <w:r>
                    <w:rPr>
                      <w:rFonts w:ascii="Times New Roman" w:hAnsi="Times New Roman"/>
                      <w:color w:val="auto"/>
                      <w:szCs w:val="21"/>
                    </w:rPr>
                    <w:t>沿新建线路同步架设单回段架设2根24芯OPGW光缆，新建线路双回段架设2根48芯OPGW光缆（各预留24芯光缆作为备用通信通道），最终形成220kV六合村光伏升压站至500kV乐业变的2根24芯光缆，新建光缆路径长度约为2×22km。</w:t>
                  </w:r>
                </w:p>
              </w:tc>
            </w:tr>
            <w:tr w14:paraId="1DA1FA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4137B7DA">
                  <w:pPr>
                    <w:adjustRightInd w:val="0"/>
                    <w:snapToGrid w:val="0"/>
                    <w:jc w:val="center"/>
                    <w:rPr>
                      <w:rFonts w:ascii="Times New Roman" w:hAnsi="Times New Roman"/>
                      <w:color w:val="auto"/>
                      <w:szCs w:val="21"/>
                    </w:rPr>
                  </w:pPr>
                  <w:r>
                    <w:rPr>
                      <w:rFonts w:ascii="Times New Roman" w:hAnsi="Times New Roman"/>
                      <w:color w:val="auto"/>
                      <w:szCs w:val="21"/>
                    </w:rPr>
                    <w:t>导线截面（mm</w:t>
                  </w:r>
                  <w:r>
                    <w:rPr>
                      <w:rFonts w:ascii="Times New Roman" w:hAnsi="Times New Roman"/>
                      <w:color w:val="auto"/>
                      <w:szCs w:val="21"/>
                      <w:vertAlign w:val="superscript"/>
                    </w:rPr>
                    <w:t>2</w:t>
                  </w:r>
                  <w:r>
                    <w:rPr>
                      <w:rFonts w:ascii="Times New Roman" w:hAnsi="Times New Roman"/>
                      <w:color w:val="auto"/>
                      <w:szCs w:val="21"/>
                    </w:rPr>
                    <w:t>）</w:t>
                  </w:r>
                </w:p>
              </w:tc>
              <w:tc>
                <w:tcPr>
                  <w:tcW w:w="3979" w:type="pct"/>
                  <w:tcBorders>
                    <w:tl2br w:val="nil"/>
                    <w:tr2bl w:val="nil"/>
                  </w:tcBorders>
                  <w:vAlign w:val="center"/>
                </w:tcPr>
                <w:p w14:paraId="119509B4">
                  <w:pPr>
                    <w:adjustRightInd w:val="0"/>
                    <w:snapToGrid w:val="0"/>
                    <w:jc w:val="center"/>
                    <w:rPr>
                      <w:rFonts w:ascii="Times New Roman" w:hAnsi="Times New Roman"/>
                      <w:color w:val="auto"/>
                      <w:szCs w:val="21"/>
                    </w:rPr>
                  </w:pPr>
                  <w:r>
                    <w:rPr>
                      <w:rFonts w:hint="eastAsia" w:ascii="Times New Roman" w:hAnsi="Times New Roman"/>
                      <w:color w:val="auto"/>
                      <w:szCs w:val="21"/>
                    </w:rPr>
                    <w:t>4</w:t>
                  </w:r>
                  <w:r>
                    <w:rPr>
                      <w:rFonts w:ascii="Times New Roman" w:hAnsi="Times New Roman"/>
                      <w:color w:val="auto"/>
                      <w:szCs w:val="21"/>
                    </w:rPr>
                    <w:t>00</w:t>
                  </w:r>
                </w:p>
              </w:tc>
            </w:tr>
            <w:tr w14:paraId="22A97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6A0A94D5">
                  <w:pPr>
                    <w:adjustRightInd w:val="0"/>
                    <w:snapToGrid w:val="0"/>
                    <w:jc w:val="center"/>
                    <w:rPr>
                      <w:rFonts w:ascii="Times New Roman" w:hAnsi="Times New Roman"/>
                      <w:color w:val="auto"/>
                      <w:szCs w:val="21"/>
                    </w:rPr>
                  </w:pPr>
                  <w:r>
                    <w:rPr>
                      <w:rFonts w:ascii="Times New Roman" w:hAnsi="Times New Roman"/>
                      <w:color w:val="auto"/>
                      <w:szCs w:val="21"/>
                    </w:rPr>
                    <w:t>线路长度（km）</w:t>
                  </w:r>
                </w:p>
              </w:tc>
              <w:tc>
                <w:tcPr>
                  <w:tcW w:w="3979" w:type="pct"/>
                  <w:tcBorders>
                    <w:tl2br w:val="nil"/>
                    <w:tr2bl w:val="nil"/>
                  </w:tcBorders>
                  <w:vAlign w:val="center"/>
                </w:tcPr>
                <w:p w14:paraId="32FCADEF">
                  <w:pPr>
                    <w:adjustRightInd w:val="0"/>
                    <w:snapToGrid w:val="0"/>
                    <w:jc w:val="center"/>
                    <w:rPr>
                      <w:rFonts w:ascii="Times New Roman" w:hAnsi="Times New Roman"/>
                      <w:color w:val="auto"/>
                      <w:szCs w:val="21"/>
                    </w:rPr>
                  </w:pPr>
                  <w:r>
                    <w:rPr>
                      <w:rFonts w:ascii="Times New Roman" w:hAnsi="Times New Roman"/>
                      <w:color w:val="auto"/>
                      <w:szCs w:val="21"/>
                    </w:rPr>
                    <w:t>220kV架空输电线路，长</w:t>
                  </w:r>
                  <w:r>
                    <w:rPr>
                      <w:rFonts w:hint="eastAsia" w:ascii="Times New Roman" w:hAnsi="Times New Roman"/>
                      <w:color w:val="auto"/>
                      <w:szCs w:val="21"/>
                    </w:rPr>
                    <w:t>22</w:t>
                  </w:r>
                  <w:r>
                    <w:rPr>
                      <w:rFonts w:ascii="Times New Roman" w:hAnsi="Times New Roman"/>
                      <w:color w:val="auto"/>
                      <w:szCs w:val="21"/>
                    </w:rPr>
                    <w:t>km，采用单回路架设</w:t>
                  </w:r>
                  <w:r>
                    <w:rPr>
                      <w:rFonts w:hint="eastAsia" w:ascii="Times New Roman" w:hAnsi="Times New Roman"/>
                      <w:color w:val="auto"/>
                      <w:szCs w:val="21"/>
                    </w:rPr>
                    <w:t>，其中，路径长约2×1.2km（同塔双回单边挂线）+20.8km（单回路架设）</w:t>
                  </w:r>
                </w:p>
              </w:tc>
            </w:tr>
            <w:tr w14:paraId="0E9218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5AF95044">
                  <w:pPr>
                    <w:adjustRightInd w:val="0"/>
                    <w:snapToGrid w:val="0"/>
                    <w:jc w:val="center"/>
                    <w:rPr>
                      <w:rFonts w:ascii="Times New Roman" w:hAnsi="Times New Roman"/>
                      <w:color w:val="auto"/>
                      <w:szCs w:val="21"/>
                    </w:rPr>
                  </w:pPr>
                  <w:r>
                    <w:rPr>
                      <w:rFonts w:ascii="Times New Roman" w:hAnsi="Times New Roman"/>
                      <w:color w:val="auto"/>
                      <w:szCs w:val="21"/>
                    </w:rPr>
                    <w:t>共用杆塔（基）</w:t>
                  </w:r>
                </w:p>
              </w:tc>
              <w:tc>
                <w:tcPr>
                  <w:tcW w:w="3979" w:type="pct"/>
                  <w:tcBorders>
                    <w:tl2br w:val="nil"/>
                    <w:tr2bl w:val="nil"/>
                  </w:tcBorders>
                  <w:vAlign w:val="center"/>
                </w:tcPr>
                <w:p w14:paraId="29892D0D">
                  <w:pPr>
                    <w:adjustRightInd w:val="0"/>
                    <w:snapToGrid w:val="0"/>
                    <w:jc w:val="center"/>
                    <w:rPr>
                      <w:rFonts w:ascii="Times New Roman" w:hAnsi="Times New Roman"/>
                      <w:color w:val="auto"/>
                      <w:szCs w:val="21"/>
                    </w:rPr>
                  </w:pPr>
                  <w:r>
                    <w:rPr>
                      <w:rFonts w:ascii="Times New Roman" w:hAnsi="Times New Roman"/>
                      <w:color w:val="auto"/>
                      <w:szCs w:val="21"/>
                    </w:rPr>
                    <w:t>新建</w:t>
                  </w:r>
                  <w:r>
                    <w:rPr>
                      <w:rFonts w:hint="eastAsia" w:ascii="Times New Roman" w:hAnsi="Times New Roman"/>
                      <w:color w:val="auto"/>
                      <w:szCs w:val="21"/>
                    </w:rPr>
                    <w:t>61</w:t>
                  </w:r>
                  <w:r>
                    <w:rPr>
                      <w:rFonts w:ascii="Times New Roman" w:hAnsi="Times New Roman"/>
                      <w:color w:val="auto"/>
                      <w:szCs w:val="21"/>
                    </w:rPr>
                    <w:t>基塔（直线塔</w:t>
                  </w:r>
                  <w:r>
                    <w:rPr>
                      <w:rFonts w:hint="eastAsia" w:ascii="Times New Roman" w:hAnsi="Times New Roman"/>
                      <w:color w:val="auto"/>
                      <w:szCs w:val="21"/>
                    </w:rPr>
                    <w:t>38</w:t>
                  </w:r>
                  <w:r>
                    <w:rPr>
                      <w:rFonts w:ascii="Times New Roman" w:hAnsi="Times New Roman"/>
                      <w:color w:val="auto"/>
                      <w:szCs w:val="21"/>
                    </w:rPr>
                    <w:t>基，耐张塔</w:t>
                  </w:r>
                  <w:r>
                    <w:rPr>
                      <w:rFonts w:hint="eastAsia" w:ascii="Times New Roman" w:hAnsi="Times New Roman"/>
                      <w:color w:val="auto"/>
                      <w:szCs w:val="21"/>
                    </w:rPr>
                    <w:t>23</w:t>
                  </w:r>
                  <w:r>
                    <w:rPr>
                      <w:rFonts w:ascii="Times New Roman" w:hAnsi="Times New Roman"/>
                      <w:color w:val="auto"/>
                      <w:szCs w:val="21"/>
                    </w:rPr>
                    <w:t>基）</w:t>
                  </w:r>
                </w:p>
              </w:tc>
            </w:tr>
            <w:tr w14:paraId="3700B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15B82E02">
                  <w:pPr>
                    <w:adjustRightInd w:val="0"/>
                    <w:snapToGrid w:val="0"/>
                    <w:jc w:val="center"/>
                    <w:rPr>
                      <w:rFonts w:ascii="Times New Roman" w:hAnsi="Times New Roman"/>
                      <w:color w:val="auto"/>
                      <w:szCs w:val="21"/>
                    </w:rPr>
                  </w:pPr>
                  <w:r>
                    <w:rPr>
                      <w:rFonts w:ascii="Times New Roman" w:hAnsi="Times New Roman"/>
                      <w:color w:val="auto"/>
                      <w:szCs w:val="21"/>
                    </w:rPr>
                    <w:t>平均档距（m）</w:t>
                  </w:r>
                </w:p>
              </w:tc>
              <w:tc>
                <w:tcPr>
                  <w:tcW w:w="3979" w:type="pct"/>
                  <w:tcBorders>
                    <w:tl2br w:val="nil"/>
                    <w:tr2bl w:val="nil"/>
                  </w:tcBorders>
                  <w:vAlign w:val="center"/>
                </w:tcPr>
                <w:p w14:paraId="55C9BA66">
                  <w:pPr>
                    <w:adjustRightInd w:val="0"/>
                    <w:snapToGrid w:val="0"/>
                    <w:jc w:val="center"/>
                    <w:rPr>
                      <w:rFonts w:ascii="Times New Roman" w:hAnsi="Times New Roman"/>
                      <w:color w:val="auto"/>
                      <w:szCs w:val="21"/>
                    </w:rPr>
                  </w:pPr>
                  <w:r>
                    <w:rPr>
                      <w:rFonts w:ascii="Times New Roman" w:hAnsi="Times New Roman"/>
                      <w:color w:val="auto"/>
                      <w:szCs w:val="21"/>
                    </w:rPr>
                    <w:t>300</w:t>
                  </w:r>
                </w:p>
              </w:tc>
            </w:tr>
            <w:tr w14:paraId="06001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30EC2995">
                  <w:pPr>
                    <w:adjustRightInd w:val="0"/>
                    <w:snapToGrid w:val="0"/>
                    <w:jc w:val="center"/>
                    <w:rPr>
                      <w:rFonts w:ascii="Times New Roman" w:hAnsi="Times New Roman"/>
                      <w:color w:val="auto"/>
                      <w:szCs w:val="21"/>
                    </w:rPr>
                  </w:pPr>
                  <w:r>
                    <w:rPr>
                      <w:rFonts w:ascii="Times New Roman" w:hAnsi="Times New Roman"/>
                      <w:color w:val="auto"/>
                      <w:szCs w:val="21"/>
                    </w:rPr>
                    <w:t>耐张比例（%）</w:t>
                  </w:r>
                </w:p>
              </w:tc>
              <w:tc>
                <w:tcPr>
                  <w:tcW w:w="3979" w:type="pct"/>
                  <w:tcBorders>
                    <w:tl2br w:val="nil"/>
                    <w:tr2bl w:val="nil"/>
                  </w:tcBorders>
                  <w:vAlign w:val="center"/>
                </w:tcPr>
                <w:p w14:paraId="6F03F5F8">
                  <w:pPr>
                    <w:adjustRightInd w:val="0"/>
                    <w:snapToGrid w:val="0"/>
                    <w:jc w:val="center"/>
                    <w:rPr>
                      <w:rFonts w:ascii="Times New Roman" w:hAnsi="Times New Roman"/>
                      <w:color w:val="auto"/>
                      <w:szCs w:val="21"/>
                    </w:rPr>
                  </w:pPr>
                  <w:r>
                    <w:rPr>
                      <w:rFonts w:ascii="Times New Roman" w:hAnsi="Times New Roman"/>
                      <w:color w:val="auto"/>
                      <w:szCs w:val="21"/>
                    </w:rPr>
                    <w:t>3</w:t>
                  </w:r>
                  <w:r>
                    <w:rPr>
                      <w:rFonts w:hint="eastAsia" w:ascii="Times New Roman" w:hAnsi="Times New Roman"/>
                      <w:color w:val="auto"/>
                      <w:szCs w:val="21"/>
                    </w:rPr>
                    <w:t>7.70</w:t>
                  </w:r>
                  <w:r>
                    <w:rPr>
                      <w:rFonts w:ascii="Times New Roman" w:hAnsi="Times New Roman"/>
                      <w:color w:val="auto"/>
                      <w:szCs w:val="21"/>
                    </w:rPr>
                    <w:t>%</w:t>
                  </w:r>
                </w:p>
              </w:tc>
            </w:tr>
            <w:tr w14:paraId="6A6A69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4C9E75FB">
                  <w:pPr>
                    <w:adjustRightInd w:val="0"/>
                    <w:snapToGrid w:val="0"/>
                    <w:jc w:val="center"/>
                    <w:rPr>
                      <w:rFonts w:ascii="Times New Roman" w:hAnsi="Times New Roman"/>
                      <w:color w:val="auto"/>
                      <w:szCs w:val="21"/>
                    </w:rPr>
                  </w:pPr>
                  <w:r>
                    <w:rPr>
                      <w:rFonts w:ascii="Times New Roman" w:hAnsi="Times New Roman"/>
                      <w:color w:val="auto"/>
                      <w:szCs w:val="21"/>
                    </w:rPr>
                    <w:t>冰区（mm）</w:t>
                  </w:r>
                </w:p>
              </w:tc>
              <w:tc>
                <w:tcPr>
                  <w:tcW w:w="3979" w:type="pct"/>
                  <w:tcBorders>
                    <w:tl2br w:val="nil"/>
                    <w:tr2bl w:val="nil"/>
                  </w:tcBorders>
                  <w:vAlign w:val="center"/>
                </w:tcPr>
                <w:p w14:paraId="7620FBD7">
                  <w:pPr>
                    <w:adjustRightInd w:val="0"/>
                    <w:snapToGrid w:val="0"/>
                    <w:jc w:val="center"/>
                    <w:rPr>
                      <w:rFonts w:ascii="Times New Roman" w:hAnsi="Times New Roman"/>
                      <w:color w:val="auto"/>
                      <w:szCs w:val="21"/>
                    </w:rPr>
                  </w:pPr>
                  <w:r>
                    <w:rPr>
                      <w:rFonts w:ascii="Times New Roman" w:hAnsi="Times New Roman"/>
                      <w:color w:val="auto"/>
                      <w:szCs w:val="21"/>
                    </w:rPr>
                    <w:t>10mm、20mm</w:t>
                  </w:r>
                </w:p>
              </w:tc>
            </w:tr>
            <w:tr w14:paraId="291A87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0F54D016">
                  <w:pPr>
                    <w:adjustRightInd w:val="0"/>
                    <w:snapToGrid w:val="0"/>
                    <w:jc w:val="center"/>
                    <w:rPr>
                      <w:rFonts w:ascii="Times New Roman" w:hAnsi="Times New Roman"/>
                      <w:color w:val="auto"/>
                      <w:szCs w:val="21"/>
                    </w:rPr>
                  </w:pPr>
                  <w:r>
                    <w:rPr>
                      <w:rFonts w:ascii="Times New Roman" w:hAnsi="Times New Roman"/>
                      <w:color w:val="auto"/>
                      <w:szCs w:val="21"/>
                    </w:rPr>
                    <w:t>曲折系数</w:t>
                  </w:r>
                </w:p>
              </w:tc>
              <w:tc>
                <w:tcPr>
                  <w:tcW w:w="3979" w:type="pct"/>
                  <w:tcBorders>
                    <w:tl2br w:val="nil"/>
                    <w:tr2bl w:val="nil"/>
                  </w:tcBorders>
                  <w:vAlign w:val="center"/>
                </w:tcPr>
                <w:p w14:paraId="43BF9DEE">
                  <w:pPr>
                    <w:adjustRightInd w:val="0"/>
                    <w:snapToGrid w:val="0"/>
                    <w:jc w:val="center"/>
                    <w:rPr>
                      <w:rFonts w:ascii="Times New Roman" w:hAnsi="Times New Roman"/>
                      <w:color w:val="auto"/>
                      <w:szCs w:val="21"/>
                    </w:rPr>
                  </w:pPr>
                  <w:r>
                    <w:rPr>
                      <w:rFonts w:ascii="Times New Roman" w:hAnsi="Times New Roman"/>
                      <w:color w:val="auto"/>
                      <w:szCs w:val="21"/>
                    </w:rPr>
                    <w:t>1.</w:t>
                  </w:r>
                  <w:r>
                    <w:rPr>
                      <w:rFonts w:hint="eastAsia" w:ascii="Times New Roman" w:hAnsi="Times New Roman"/>
                      <w:color w:val="auto"/>
                      <w:szCs w:val="21"/>
                    </w:rPr>
                    <w:t>14</w:t>
                  </w:r>
                </w:p>
              </w:tc>
            </w:tr>
            <w:tr w14:paraId="6CB41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79C59EFD">
                  <w:pPr>
                    <w:adjustRightInd w:val="0"/>
                    <w:snapToGrid w:val="0"/>
                    <w:jc w:val="center"/>
                    <w:rPr>
                      <w:rFonts w:ascii="Times New Roman" w:hAnsi="Times New Roman"/>
                      <w:color w:val="auto"/>
                      <w:szCs w:val="21"/>
                    </w:rPr>
                  </w:pPr>
                  <w:r>
                    <w:rPr>
                      <w:rFonts w:ascii="Times New Roman" w:hAnsi="Times New Roman"/>
                      <w:color w:val="auto"/>
                      <w:szCs w:val="21"/>
                    </w:rPr>
                    <w:t>导线排列方式</w:t>
                  </w:r>
                </w:p>
              </w:tc>
              <w:tc>
                <w:tcPr>
                  <w:tcW w:w="3979" w:type="pct"/>
                  <w:tcBorders>
                    <w:tl2br w:val="nil"/>
                    <w:tr2bl w:val="nil"/>
                  </w:tcBorders>
                  <w:vAlign w:val="center"/>
                </w:tcPr>
                <w:p w14:paraId="2D714014">
                  <w:pPr>
                    <w:adjustRightInd w:val="0"/>
                    <w:snapToGrid w:val="0"/>
                    <w:jc w:val="center"/>
                    <w:rPr>
                      <w:rFonts w:ascii="Times New Roman" w:hAnsi="Times New Roman"/>
                      <w:color w:val="auto"/>
                      <w:szCs w:val="21"/>
                    </w:rPr>
                  </w:pPr>
                  <w:r>
                    <w:rPr>
                      <w:rFonts w:ascii="Times New Roman" w:hAnsi="Times New Roman"/>
                      <w:color w:val="auto"/>
                      <w:szCs w:val="21"/>
                    </w:rPr>
                    <w:t>三角</w:t>
                  </w:r>
                  <w:r>
                    <w:rPr>
                      <w:rFonts w:hint="eastAsia" w:ascii="Times New Roman" w:hAnsi="Times New Roman"/>
                      <w:color w:val="auto"/>
                      <w:szCs w:val="21"/>
                    </w:rPr>
                    <w:t>、水平、垂直</w:t>
                  </w:r>
                  <w:r>
                    <w:rPr>
                      <w:rFonts w:ascii="Times New Roman" w:hAnsi="Times New Roman"/>
                      <w:color w:val="auto"/>
                      <w:szCs w:val="21"/>
                    </w:rPr>
                    <w:t>排列布置</w:t>
                  </w:r>
                </w:p>
              </w:tc>
            </w:tr>
            <w:tr w14:paraId="140AA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53BB37E9">
                  <w:pPr>
                    <w:adjustRightInd w:val="0"/>
                    <w:snapToGrid w:val="0"/>
                    <w:jc w:val="center"/>
                    <w:rPr>
                      <w:rFonts w:ascii="Times New Roman" w:hAnsi="Times New Roman"/>
                      <w:color w:val="auto"/>
                      <w:szCs w:val="21"/>
                    </w:rPr>
                  </w:pPr>
                  <w:r>
                    <w:rPr>
                      <w:rFonts w:ascii="Times New Roman" w:hAnsi="Times New Roman"/>
                      <w:color w:val="auto"/>
                      <w:szCs w:val="21"/>
                    </w:rPr>
                    <w:t>铁塔</w:t>
                  </w:r>
                </w:p>
              </w:tc>
              <w:tc>
                <w:tcPr>
                  <w:tcW w:w="3979" w:type="pct"/>
                  <w:tcBorders>
                    <w:tl2br w:val="nil"/>
                    <w:tr2bl w:val="nil"/>
                  </w:tcBorders>
                  <w:vAlign w:val="center"/>
                </w:tcPr>
                <w:p w14:paraId="505CD2AA">
                  <w:pPr>
                    <w:adjustRightInd w:val="0"/>
                    <w:snapToGrid w:val="0"/>
                    <w:jc w:val="center"/>
                    <w:rPr>
                      <w:rFonts w:ascii="Times New Roman" w:hAnsi="Times New Roman"/>
                      <w:color w:val="auto"/>
                      <w:szCs w:val="21"/>
                    </w:rPr>
                  </w:pPr>
                  <w:r>
                    <w:rPr>
                      <w:rFonts w:ascii="Times New Roman" w:hAnsi="Times New Roman"/>
                      <w:color w:val="auto"/>
                      <w:szCs w:val="21"/>
                    </w:rPr>
                    <w:t>铁塔采用2D1Y5模块、2D2Y5模块、2E1X3模块、2E1Y4</w:t>
                  </w:r>
                  <w:r>
                    <w:rPr>
                      <w:rFonts w:hint="eastAsia" w:ascii="Times New Roman" w:hAnsi="Times New Roman"/>
                      <w:color w:val="auto"/>
                      <w:szCs w:val="21"/>
                      <w:lang w:eastAsia="zh-CN"/>
                    </w:rPr>
                    <w:t>、2E1Y3</w:t>
                  </w:r>
                  <w:r>
                    <w:rPr>
                      <w:rFonts w:ascii="Times New Roman" w:hAnsi="Times New Roman"/>
                      <w:color w:val="auto"/>
                      <w:szCs w:val="21"/>
                    </w:rPr>
                    <w:t>模块，全部为自立式铁塔，采用全方位长短腿。</w:t>
                  </w:r>
                </w:p>
              </w:tc>
            </w:tr>
            <w:tr w14:paraId="7B6EE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0" w:type="pct"/>
                  <w:tcBorders>
                    <w:tl2br w:val="nil"/>
                    <w:tr2bl w:val="nil"/>
                  </w:tcBorders>
                  <w:vAlign w:val="center"/>
                </w:tcPr>
                <w:p w14:paraId="77F3553D">
                  <w:pPr>
                    <w:adjustRightInd w:val="0"/>
                    <w:snapToGrid w:val="0"/>
                    <w:jc w:val="center"/>
                    <w:rPr>
                      <w:rFonts w:ascii="Times New Roman" w:hAnsi="Times New Roman"/>
                      <w:color w:val="auto"/>
                      <w:szCs w:val="21"/>
                    </w:rPr>
                  </w:pPr>
                  <w:r>
                    <w:rPr>
                      <w:rFonts w:ascii="Times New Roman" w:hAnsi="Times New Roman"/>
                      <w:color w:val="auto"/>
                      <w:szCs w:val="21"/>
                    </w:rPr>
                    <w:t>基础</w:t>
                  </w:r>
                </w:p>
              </w:tc>
              <w:tc>
                <w:tcPr>
                  <w:tcW w:w="3979" w:type="pct"/>
                  <w:tcBorders>
                    <w:tl2br w:val="nil"/>
                    <w:tr2bl w:val="nil"/>
                  </w:tcBorders>
                  <w:vAlign w:val="center"/>
                </w:tcPr>
                <w:p w14:paraId="4D1A0CEE">
                  <w:pPr>
                    <w:adjustRightInd w:val="0"/>
                    <w:snapToGrid w:val="0"/>
                    <w:jc w:val="center"/>
                    <w:rPr>
                      <w:rFonts w:ascii="Times New Roman" w:hAnsi="Times New Roman"/>
                      <w:color w:val="auto"/>
                      <w:szCs w:val="21"/>
                    </w:rPr>
                  </w:pPr>
                  <w:r>
                    <w:rPr>
                      <w:rFonts w:ascii="Times New Roman" w:hAnsi="Times New Roman"/>
                      <w:color w:val="auto"/>
                      <w:szCs w:val="21"/>
                    </w:rPr>
                    <w:t>全线采用掏挖基础及人工挖孔基础，采用地脚螺栓与塔脚板连接</w:t>
                  </w:r>
                </w:p>
              </w:tc>
            </w:tr>
          </w:tbl>
          <w:p w14:paraId="686332D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共用铁塔</w:t>
            </w:r>
            <w:r>
              <w:rPr>
                <w:rFonts w:hint="eastAsia" w:ascii="Times New Roman" w:hAnsi="Times New Roman"/>
                <w:color w:val="auto"/>
                <w:sz w:val="24"/>
                <w:szCs w:val="24"/>
              </w:rPr>
              <w:t>61</w:t>
            </w:r>
            <w:r>
              <w:rPr>
                <w:rFonts w:ascii="Times New Roman" w:hAnsi="Times New Roman"/>
                <w:color w:val="auto"/>
                <w:sz w:val="24"/>
                <w:szCs w:val="24"/>
              </w:rPr>
              <w:t>基。根据主体设计的塔杆基础面积，塔基占地面积为0.</w:t>
            </w:r>
            <w:r>
              <w:rPr>
                <w:rFonts w:hint="eastAsia" w:ascii="Times New Roman" w:hAnsi="Times New Roman"/>
                <w:color w:val="auto"/>
                <w:sz w:val="24"/>
                <w:szCs w:val="24"/>
              </w:rPr>
              <w:t>38</w:t>
            </w:r>
            <w:r>
              <w:rPr>
                <w:rFonts w:ascii="Times New Roman" w:hAnsi="Times New Roman"/>
                <w:color w:val="auto"/>
                <w:sz w:val="24"/>
                <w:szCs w:val="24"/>
              </w:rPr>
              <w:t>hm</w:t>
            </w:r>
            <w:r>
              <w:rPr>
                <w:rFonts w:ascii="Times New Roman" w:hAnsi="Times New Roman"/>
                <w:color w:val="auto"/>
                <w:sz w:val="24"/>
                <w:szCs w:val="24"/>
                <w:vertAlign w:val="superscript"/>
              </w:rPr>
              <w:t>2</w:t>
            </w:r>
            <w:r>
              <w:rPr>
                <w:rFonts w:ascii="Times New Roman" w:hAnsi="Times New Roman"/>
                <w:color w:val="auto"/>
                <w:sz w:val="24"/>
                <w:szCs w:val="24"/>
              </w:rPr>
              <w:t>。其中单回塔基直线</w:t>
            </w:r>
            <w:r>
              <w:rPr>
                <w:rFonts w:hint="eastAsia" w:ascii="Times New Roman" w:hAnsi="Times New Roman"/>
                <w:color w:val="auto"/>
                <w:sz w:val="24"/>
                <w:szCs w:val="24"/>
              </w:rPr>
              <w:t>38</w:t>
            </w:r>
            <w:r>
              <w:rPr>
                <w:rFonts w:ascii="Times New Roman" w:hAnsi="Times New Roman"/>
                <w:color w:val="auto"/>
                <w:sz w:val="24"/>
                <w:szCs w:val="24"/>
              </w:rPr>
              <w:t>基、单回耐张</w:t>
            </w:r>
            <w:r>
              <w:rPr>
                <w:rFonts w:hint="eastAsia" w:ascii="Times New Roman" w:hAnsi="Times New Roman"/>
                <w:color w:val="auto"/>
                <w:sz w:val="24"/>
                <w:szCs w:val="24"/>
              </w:rPr>
              <w:t>23</w:t>
            </w:r>
            <w:r>
              <w:rPr>
                <w:rFonts w:ascii="Times New Roman" w:hAnsi="Times New Roman"/>
                <w:color w:val="auto"/>
                <w:sz w:val="24"/>
                <w:szCs w:val="24"/>
              </w:rPr>
              <w:t>基，比例为直线</w:t>
            </w:r>
            <w:r>
              <w:rPr>
                <w:rFonts w:hint="eastAsia" w:ascii="Times New Roman" w:hAnsi="Times New Roman"/>
                <w:color w:val="auto"/>
                <w:sz w:val="24"/>
                <w:szCs w:val="24"/>
              </w:rPr>
              <w:t>62.30</w:t>
            </w:r>
            <w:r>
              <w:rPr>
                <w:rFonts w:ascii="Times New Roman" w:hAnsi="Times New Roman"/>
                <w:color w:val="auto"/>
                <w:sz w:val="24"/>
                <w:szCs w:val="24"/>
              </w:rPr>
              <w:t>%，单回耐张3</w:t>
            </w:r>
            <w:r>
              <w:rPr>
                <w:rFonts w:hint="eastAsia" w:ascii="Times New Roman" w:hAnsi="Times New Roman"/>
                <w:color w:val="auto"/>
                <w:sz w:val="24"/>
                <w:szCs w:val="24"/>
              </w:rPr>
              <w:t>7.70</w:t>
            </w:r>
            <w:r>
              <w:rPr>
                <w:rFonts w:ascii="Times New Roman" w:hAnsi="Times New Roman"/>
                <w:color w:val="auto"/>
                <w:sz w:val="24"/>
                <w:szCs w:val="24"/>
              </w:rPr>
              <w:t>%。</w:t>
            </w:r>
          </w:p>
          <w:p w14:paraId="40A2A30C">
            <w:pPr>
              <w:adjustRightInd w:val="0"/>
              <w:snapToGrid w:val="0"/>
              <w:ind w:firstLine="482" w:firstLineChars="200"/>
              <w:jc w:val="center"/>
              <w:rPr>
                <w:rFonts w:ascii="Times New Roman" w:hAnsi="Times New Roman"/>
                <w:b/>
                <w:color w:val="auto"/>
                <w:sz w:val="24"/>
                <w:szCs w:val="24"/>
              </w:rPr>
            </w:pPr>
            <w:r>
              <w:rPr>
                <w:rFonts w:ascii="Times New Roman" w:hAnsi="Times New Roman"/>
                <w:b/>
                <w:color w:val="auto"/>
                <w:sz w:val="24"/>
                <w:szCs w:val="24"/>
              </w:rPr>
              <w:t>表2-3  线路工程杆塔使用情况</w:t>
            </w:r>
          </w:p>
          <w:tbl>
            <w:tblPr>
              <w:tblStyle w:val="2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744"/>
              <w:gridCol w:w="598"/>
              <w:gridCol w:w="963"/>
              <w:gridCol w:w="1427"/>
              <w:gridCol w:w="979"/>
              <w:gridCol w:w="1009"/>
              <w:gridCol w:w="1044"/>
            </w:tblGrid>
            <w:tr w14:paraId="3FD6F8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vAlign w:val="center"/>
                </w:tcPr>
                <w:p w14:paraId="3A55D2A2">
                  <w:pPr>
                    <w:widowControl/>
                    <w:adjustRightInd w:val="0"/>
                    <w:snapToGrid w:val="0"/>
                    <w:jc w:val="center"/>
                    <w:rPr>
                      <w:rFonts w:ascii="Times New Roman" w:hAnsi="Times New Roman"/>
                      <w:b/>
                      <w:bCs/>
                      <w:color w:val="auto"/>
                      <w:sz w:val="18"/>
                      <w:szCs w:val="18"/>
                    </w:rPr>
                  </w:pPr>
                  <w:r>
                    <w:rPr>
                      <w:rFonts w:ascii="Times New Roman" w:hAnsi="Times New Roman"/>
                      <w:b/>
                      <w:bCs/>
                      <w:color w:val="auto"/>
                      <w:kern w:val="0"/>
                      <w:sz w:val="18"/>
                      <w:szCs w:val="18"/>
                    </w:rPr>
                    <w:t>杆塔编号</w:t>
                  </w:r>
                </w:p>
              </w:tc>
              <w:tc>
                <w:tcPr>
                  <w:tcW w:w="1744" w:type="dxa"/>
                  <w:tcBorders>
                    <w:tl2br w:val="nil"/>
                    <w:tr2bl w:val="nil"/>
                  </w:tcBorders>
                  <w:vAlign w:val="center"/>
                </w:tcPr>
                <w:p w14:paraId="097E7170">
                  <w:pPr>
                    <w:widowControl/>
                    <w:adjustRightInd w:val="0"/>
                    <w:snapToGrid w:val="0"/>
                    <w:jc w:val="center"/>
                    <w:rPr>
                      <w:rFonts w:ascii="Times New Roman" w:hAnsi="Times New Roman"/>
                      <w:b/>
                      <w:bCs/>
                      <w:color w:val="auto"/>
                      <w:sz w:val="18"/>
                      <w:szCs w:val="18"/>
                    </w:rPr>
                  </w:pPr>
                  <w:r>
                    <w:rPr>
                      <w:rFonts w:ascii="Times New Roman" w:hAnsi="Times New Roman"/>
                      <w:b/>
                      <w:bCs/>
                      <w:color w:val="auto"/>
                      <w:kern w:val="0"/>
                      <w:sz w:val="18"/>
                      <w:szCs w:val="18"/>
                    </w:rPr>
                    <w:t>杆塔型号</w:t>
                  </w:r>
                </w:p>
              </w:tc>
              <w:tc>
                <w:tcPr>
                  <w:tcW w:w="598" w:type="dxa"/>
                  <w:tcBorders>
                    <w:tl2br w:val="nil"/>
                    <w:tr2bl w:val="nil"/>
                  </w:tcBorders>
                  <w:vAlign w:val="center"/>
                </w:tcPr>
                <w:p w14:paraId="52D28E55">
                  <w:pPr>
                    <w:adjustRightInd w:val="0"/>
                    <w:snapToGrid w:val="0"/>
                    <w:jc w:val="center"/>
                    <w:rPr>
                      <w:rFonts w:ascii="Times New Roman" w:hAnsi="Times New Roman"/>
                      <w:b/>
                      <w:bCs/>
                      <w:color w:val="auto"/>
                      <w:sz w:val="18"/>
                      <w:szCs w:val="18"/>
                    </w:rPr>
                  </w:pPr>
                  <w:r>
                    <w:rPr>
                      <w:rFonts w:ascii="Times New Roman" w:hAnsi="Times New Roman"/>
                      <w:b/>
                      <w:bCs/>
                      <w:color w:val="auto"/>
                      <w:sz w:val="18"/>
                      <w:szCs w:val="18"/>
                    </w:rPr>
                    <w:t>呼称高</w:t>
                  </w:r>
                </w:p>
              </w:tc>
              <w:tc>
                <w:tcPr>
                  <w:tcW w:w="963" w:type="dxa"/>
                  <w:tcBorders>
                    <w:tl2br w:val="nil"/>
                    <w:tr2bl w:val="nil"/>
                  </w:tcBorders>
                  <w:vAlign w:val="center"/>
                </w:tcPr>
                <w:p w14:paraId="72AB3901">
                  <w:pPr>
                    <w:adjustRightInd w:val="0"/>
                    <w:snapToGrid w:val="0"/>
                    <w:jc w:val="center"/>
                    <w:rPr>
                      <w:rFonts w:ascii="Times New Roman" w:hAnsi="Times New Roman"/>
                      <w:b/>
                      <w:bCs/>
                      <w:color w:val="auto"/>
                      <w:sz w:val="18"/>
                      <w:szCs w:val="18"/>
                    </w:rPr>
                  </w:pPr>
                  <w:r>
                    <w:rPr>
                      <w:rFonts w:ascii="Times New Roman" w:hAnsi="Times New Roman"/>
                      <w:b/>
                      <w:bCs/>
                      <w:color w:val="auto"/>
                      <w:sz w:val="18"/>
                      <w:szCs w:val="18"/>
                    </w:rPr>
                    <w:t>导线最大间距（m）</w:t>
                  </w:r>
                </w:p>
              </w:tc>
              <w:tc>
                <w:tcPr>
                  <w:tcW w:w="1427" w:type="dxa"/>
                  <w:tcBorders>
                    <w:tl2br w:val="nil"/>
                    <w:tr2bl w:val="nil"/>
                  </w:tcBorders>
                  <w:vAlign w:val="center"/>
                </w:tcPr>
                <w:p w14:paraId="2DB6CB4F">
                  <w:pPr>
                    <w:adjustRightInd w:val="0"/>
                    <w:snapToGrid w:val="0"/>
                    <w:jc w:val="center"/>
                    <w:rPr>
                      <w:rFonts w:ascii="Times New Roman" w:hAnsi="Times New Roman"/>
                      <w:b/>
                      <w:bCs/>
                      <w:color w:val="auto"/>
                      <w:sz w:val="18"/>
                      <w:szCs w:val="18"/>
                    </w:rPr>
                  </w:pPr>
                  <w:r>
                    <w:rPr>
                      <w:rFonts w:ascii="Times New Roman" w:hAnsi="Times New Roman"/>
                      <w:b/>
                      <w:bCs/>
                      <w:color w:val="auto"/>
                      <w:sz w:val="18"/>
                      <w:szCs w:val="18"/>
                    </w:rPr>
                    <w:t>塔形</w:t>
                  </w:r>
                </w:p>
              </w:tc>
              <w:tc>
                <w:tcPr>
                  <w:tcW w:w="979" w:type="dxa"/>
                  <w:tcBorders>
                    <w:tl2br w:val="nil"/>
                    <w:tr2bl w:val="nil"/>
                  </w:tcBorders>
                  <w:vAlign w:val="center"/>
                </w:tcPr>
                <w:p w14:paraId="58A2578F">
                  <w:pPr>
                    <w:widowControl/>
                    <w:adjustRightInd w:val="0"/>
                    <w:snapToGrid w:val="0"/>
                    <w:jc w:val="center"/>
                    <w:textAlignment w:val="center"/>
                    <w:rPr>
                      <w:rFonts w:ascii="Times New Roman" w:hAnsi="Times New Roman"/>
                      <w:b/>
                      <w:bCs/>
                      <w:color w:val="auto"/>
                      <w:sz w:val="18"/>
                      <w:szCs w:val="18"/>
                    </w:rPr>
                  </w:pPr>
                  <w:r>
                    <w:rPr>
                      <w:rFonts w:ascii="Times New Roman" w:hAnsi="Times New Roman"/>
                      <w:b/>
                      <w:bCs/>
                      <w:color w:val="auto"/>
                      <w:sz w:val="18"/>
                      <w:szCs w:val="18"/>
                    </w:rPr>
                    <w:t>铁塔基础</w:t>
                  </w:r>
                </w:p>
              </w:tc>
              <w:tc>
                <w:tcPr>
                  <w:tcW w:w="1009" w:type="dxa"/>
                  <w:tcBorders>
                    <w:tl2br w:val="nil"/>
                    <w:tr2bl w:val="nil"/>
                  </w:tcBorders>
                  <w:vAlign w:val="center"/>
                </w:tcPr>
                <w:p w14:paraId="6705FC30">
                  <w:pPr>
                    <w:adjustRightInd w:val="0"/>
                    <w:snapToGrid w:val="0"/>
                    <w:jc w:val="center"/>
                    <w:rPr>
                      <w:rFonts w:ascii="Times New Roman" w:hAnsi="Times New Roman"/>
                      <w:b/>
                      <w:bCs/>
                      <w:color w:val="auto"/>
                      <w:sz w:val="18"/>
                      <w:szCs w:val="18"/>
                    </w:rPr>
                  </w:pPr>
                  <w:r>
                    <w:rPr>
                      <w:rFonts w:ascii="Times New Roman" w:hAnsi="Times New Roman"/>
                      <w:b/>
                      <w:bCs/>
                      <w:color w:val="auto"/>
                      <w:sz w:val="18"/>
                      <w:szCs w:val="18"/>
                    </w:rPr>
                    <w:t>占地类型</w:t>
                  </w:r>
                </w:p>
              </w:tc>
              <w:tc>
                <w:tcPr>
                  <w:tcW w:w="1044" w:type="dxa"/>
                  <w:tcBorders>
                    <w:tl2br w:val="nil"/>
                    <w:tr2bl w:val="nil"/>
                  </w:tcBorders>
                  <w:vAlign w:val="center"/>
                </w:tcPr>
                <w:p w14:paraId="6BA8A536">
                  <w:pPr>
                    <w:adjustRightInd w:val="0"/>
                    <w:snapToGrid w:val="0"/>
                    <w:jc w:val="center"/>
                    <w:rPr>
                      <w:rFonts w:ascii="Times New Roman" w:hAnsi="Times New Roman"/>
                      <w:b/>
                      <w:bCs/>
                      <w:color w:val="auto"/>
                      <w:sz w:val="18"/>
                      <w:szCs w:val="18"/>
                    </w:rPr>
                  </w:pPr>
                  <w:r>
                    <w:rPr>
                      <w:rFonts w:ascii="Times New Roman" w:hAnsi="Times New Roman"/>
                      <w:b/>
                      <w:bCs/>
                      <w:color w:val="auto"/>
                      <w:sz w:val="18"/>
                      <w:szCs w:val="18"/>
                    </w:rPr>
                    <w:t>占地面积（hm</w:t>
                  </w:r>
                  <w:r>
                    <w:rPr>
                      <w:rFonts w:ascii="Times New Roman" w:hAnsi="Times New Roman"/>
                      <w:b/>
                      <w:bCs/>
                      <w:color w:val="auto"/>
                      <w:sz w:val="18"/>
                      <w:szCs w:val="18"/>
                      <w:vertAlign w:val="superscript"/>
                    </w:rPr>
                    <w:t>2</w:t>
                  </w:r>
                  <w:r>
                    <w:rPr>
                      <w:rFonts w:ascii="Times New Roman" w:hAnsi="Times New Roman"/>
                      <w:b/>
                      <w:bCs/>
                      <w:color w:val="auto"/>
                      <w:sz w:val="18"/>
                      <w:szCs w:val="18"/>
                    </w:rPr>
                    <w:t>）</w:t>
                  </w:r>
                </w:p>
              </w:tc>
            </w:tr>
            <w:tr w14:paraId="1AD86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3504AE4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1</w:t>
                  </w:r>
                </w:p>
              </w:tc>
              <w:tc>
                <w:tcPr>
                  <w:tcW w:w="1744" w:type="dxa"/>
                  <w:tcBorders>
                    <w:tl2br w:val="nil"/>
                    <w:tr2bl w:val="nil"/>
                  </w:tcBorders>
                  <w:shd w:val="clear" w:color="auto" w:fill="auto"/>
                  <w:vAlign w:val="center"/>
                </w:tcPr>
                <w:p w14:paraId="0F9EEDB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tcBorders>
                    <w:tl2br w:val="nil"/>
                    <w:tr2bl w:val="nil"/>
                  </w:tcBorders>
                  <w:shd w:val="clear" w:color="auto" w:fill="auto"/>
                  <w:vAlign w:val="center"/>
                </w:tcPr>
                <w:p w14:paraId="5F11DB4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tcBorders>
                    <w:tl2br w:val="nil"/>
                    <w:tr2bl w:val="nil"/>
                  </w:tcBorders>
                  <w:vAlign w:val="center"/>
                </w:tcPr>
                <w:p w14:paraId="4B16C25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11.7</w:t>
                  </w:r>
                </w:p>
              </w:tc>
              <w:tc>
                <w:tcPr>
                  <w:tcW w:w="1427" w:type="dxa"/>
                  <w:tcBorders>
                    <w:tl2br w:val="nil"/>
                    <w:tr2bl w:val="nil"/>
                  </w:tcBorders>
                  <w:vAlign w:val="center"/>
                </w:tcPr>
                <w:p w14:paraId="432A1AE9">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shd w:val="clear" w:color="auto" w:fill="auto"/>
                  <w:vAlign w:val="center"/>
                </w:tcPr>
                <w:p w14:paraId="415722ED">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tcBorders>
                    <w:tl2br w:val="nil"/>
                    <w:tr2bl w:val="nil"/>
                  </w:tcBorders>
                  <w:shd w:val="clear" w:color="auto" w:fill="auto"/>
                  <w:vAlign w:val="center"/>
                </w:tcPr>
                <w:p w14:paraId="46E3C67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tcBorders>
                    <w:tl2br w:val="nil"/>
                    <w:tr2bl w:val="nil"/>
                  </w:tcBorders>
                  <w:shd w:val="clear" w:color="auto" w:fill="auto"/>
                  <w:vAlign w:val="center"/>
                </w:tcPr>
                <w:p w14:paraId="2B41EAC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0.00713</w:t>
                  </w:r>
                </w:p>
              </w:tc>
            </w:tr>
            <w:tr w14:paraId="49691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7AF81A9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2</w:t>
                  </w:r>
                </w:p>
              </w:tc>
              <w:tc>
                <w:tcPr>
                  <w:tcW w:w="1744" w:type="dxa"/>
                  <w:tcBorders>
                    <w:tl2br w:val="nil"/>
                    <w:tr2bl w:val="nil"/>
                  </w:tcBorders>
                  <w:shd w:val="clear" w:color="auto" w:fill="auto"/>
                  <w:vAlign w:val="center"/>
                </w:tcPr>
                <w:p w14:paraId="1B223F3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tcBorders>
                    <w:tl2br w:val="nil"/>
                    <w:tr2bl w:val="nil"/>
                  </w:tcBorders>
                  <w:shd w:val="clear" w:color="auto" w:fill="auto"/>
                  <w:vAlign w:val="center"/>
                </w:tcPr>
                <w:p w14:paraId="0BE0321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tcBorders>
                    <w:tl2br w:val="nil"/>
                    <w:tr2bl w:val="nil"/>
                  </w:tcBorders>
                  <w:vAlign w:val="center"/>
                </w:tcPr>
                <w:p w14:paraId="32EF7C8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tcBorders>
                    <w:tl2br w:val="nil"/>
                    <w:tr2bl w:val="nil"/>
                  </w:tcBorders>
                  <w:vAlign w:val="center"/>
                </w:tcPr>
                <w:p w14:paraId="2888C911">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shd w:val="clear" w:color="auto" w:fill="auto"/>
                  <w:vAlign w:val="center"/>
                </w:tcPr>
                <w:p w14:paraId="22966758">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tcBorders>
                    <w:tl2br w:val="nil"/>
                    <w:tr2bl w:val="nil"/>
                  </w:tcBorders>
                  <w:shd w:val="clear" w:color="auto" w:fill="auto"/>
                  <w:vAlign w:val="center"/>
                </w:tcPr>
                <w:p w14:paraId="7F07707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tcBorders>
                    <w:tl2br w:val="nil"/>
                    <w:tr2bl w:val="nil"/>
                  </w:tcBorders>
                  <w:shd w:val="clear" w:color="auto" w:fill="auto"/>
                  <w:vAlign w:val="center"/>
                </w:tcPr>
                <w:p w14:paraId="5B72425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0.0048</w:t>
                  </w:r>
                </w:p>
              </w:tc>
            </w:tr>
            <w:tr w14:paraId="20490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5FE70FE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3</w:t>
                  </w:r>
                </w:p>
              </w:tc>
              <w:tc>
                <w:tcPr>
                  <w:tcW w:w="1744" w:type="dxa"/>
                  <w:tcBorders>
                    <w:tl2br w:val="nil"/>
                    <w:tr2bl w:val="nil"/>
                  </w:tcBorders>
                  <w:shd w:val="clear" w:color="auto" w:fill="auto"/>
                  <w:vAlign w:val="center"/>
                </w:tcPr>
                <w:p w14:paraId="3E59294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tcBorders>
                    <w:tl2br w:val="nil"/>
                    <w:tr2bl w:val="nil"/>
                  </w:tcBorders>
                  <w:shd w:val="clear" w:color="auto" w:fill="auto"/>
                  <w:vAlign w:val="center"/>
                </w:tcPr>
                <w:p w14:paraId="7D91F41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tcBorders>
                    <w:tl2br w:val="nil"/>
                    <w:tr2bl w:val="nil"/>
                  </w:tcBorders>
                  <w:vAlign w:val="center"/>
                </w:tcPr>
                <w:p w14:paraId="634D1780">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tcBorders>
                    <w:tl2br w:val="nil"/>
                    <w:tr2bl w:val="nil"/>
                  </w:tcBorders>
                  <w:vAlign w:val="center"/>
                </w:tcPr>
                <w:p w14:paraId="1F8B75E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shd w:val="clear" w:color="auto" w:fill="auto"/>
                  <w:vAlign w:val="center"/>
                </w:tcPr>
                <w:p w14:paraId="4437B23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tcBorders>
                    <w:tl2br w:val="nil"/>
                    <w:tr2bl w:val="nil"/>
                  </w:tcBorders>
                  <w:shd w:val="clear" w:color="auto" w:fill="auto"/>
                  <w:vAlign w:val="center"/>
                </w:tcPr>
                <w:p w14:paraId="27BC5C1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0024D69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0.00236</w:t>
                  </w:r>
                </w:p>
              </w:tc>
            </w:tr>
            <w:tr w14:paraId="10752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2D8DA15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4</w:t>
                  </w:r>
                </w:p>
              </w:tc>
              <w:tc>
                <w:tcPr>
                  <w:tcW w:w="1744" w:type="dxa"/>
                  <w:tcBorders>
                    <w:tl2br w:val="nil"/>
                    <w:tr2bl w:val="nil"/>
                  </w:tcBorders>
                  <w:shd w:val="clear" w:color="auto" w:fill="auto"/>
                  <w:vAlign w:val="center"/>
                </w:tcPr>
                <w:p w14:paraId="2D73A06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w:t>
                  </w:r>
                  <w:r>
                    <w:rPr>
                      <w:rFonts w:hint="eastAsia" w:ascii="Times New Roman" w:hAnsi="Times New Roman" w:cs="Times New Roman"/>
                      <w:color w:val="auto"/>
                      <w:spacing w:val="14"/>
                      <w:sz w:val="18"/>
                      <w:szCs w:val="18"/>
                    </w:rPr>
                    <w:t>33</w:t>
                  </w:r>
                </w:p>
              </w:tc>
              <w:tc>
                <w:tcPr>
                  <w:tcW w:w="598" w:type="dxa"/>
                  <w:tcBorders>
                    <w:tl2br w:val="nil"/>
                    <w:tr2bl w:val="nil"/>
                  </w:tcBorders>
                  <w:shd w:val="clear" w:color="auto" w:fill="auto"/>
                  <w:vAlign w:val="center"/>
                </w:tcPr>
                <w:p w14:paraId="47DE98A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tcBorders>
                    <w:tl2br w:val="nil"/>
                    <w:tr2bl w:val="nil"/>
                  </w:tcBorders>
                  <w:vAlign w:val="center"/>
                </w:tcPr>
                <w:p w14:paraId="4192AF0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tcBorders>
                    <w:tl2br w:val="nil"/>
                    <w:tr2bl w:val="nil"/>
                  </w:tcBorders>
                  <w:vAlign w:val="center"/>
                </w:tcPr>
                <w:p w14:paraId="3350BAF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shd w:val="clear" w:color="auto" w:fill="auto"/>
                  <w:vAlign w:val="center"/>
                </w:tcPr>
                <w:p w14:paraId="3B225EE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tcBorders>
                    <w:tl2br w:val="nil"/>
                    <w:tr2bl w:val="nil"/>
                  </w:tcBorders>
                  <w:shd w:val="clear" w:color="auto" w:fill="auto"/>
                  <w:vAlign w:val="center"/>
                </w:tcPr>
                <w:p w14:paraId="309F28A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64E7174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0.00684</w:t>
                  </w:r>
                </w:p>
              </w:tc>
            </w:tr>
            <w:tr w14:paraId="6583A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7883337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5</w:t>
                  </w:r>
                </w:p>
              </w:tc>
              <w:tc>
                <w:tcPr>
                  <w:tcW w:w="1744" w:type="dxa"/>
                  <w:tcBorders>
                    <w:tl2br w:val="nil"/>
                    <w:tr2bl w:val="nil"/>
                  </w:tcBorders>
                  <w:shd w:val="clear" w:color="auto" w:fill="auto"/>
                  <w:vAlign w:val="center"/>
                </w:tcPr>
                <w:p w14:paraId="5C5A3A5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0C7CFAD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vAlign w:val="center"/>
                </w:tcPr>
                <w:p w14:paraId="31AFDEC7">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tcBorders>
                    <w:tl2br w:val="nil"/>
                    <w:tr2bl w:val="nil"/>
                  </w:tcBorders>
                  <w:vAlign w:val="center"/>
                </w:tcPr>
                <w:p w14:paraId="4302358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shd w:val="clear" w:color="auto" w:fill="auto"/>
                  <w:vAlign w:val="center"/>
                </w:tcPr>
                <w:p w14:paraId="46CBA56D">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tcBorders>
                    <w:tl2br w:val="nil"/>
                    <w:tr2bl w:val="nil"/>
                  </w:tcBorders>
                  <w:shd w:val="clear" w:color="auto" w:fill="auto"/>
                  <w:vAlign w:val="center"/>
                </w:tcPr>
                <w:p w14:paraId="0D96215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5389B8C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0.00875</w:t>
                  </w:r>
                </w:p>
              </w:tc>
            </w:tr>
            <w:tr w14:paraId="2F180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0757203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6</w:t>
                  </w:r>
                </w:p>
              </w:tc>
              <w:tc>
                <w:tcPr>
                  <w:tcW w:w="1744" w:type="dxa"/>
                  <w:tcBorders>
                    <w:tl2br w:val="nil"/>
                    <w:tr2bl w:val="nil"/>
                  </w:tcBorders>
                  <w:shd w:val="clear" w:color="auto" w:fill="auto"/>
                  <w:vAlign w:val="center"/>
                </w:tcPr>
                <w:p w14:paraId="347BF29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12155F9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vAlign w:val="center"/>
                </w:tcPr>
                <w:p w14:paraId="59003509">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17</w:t>
                  </w:r>
                </w:p>
              </w:tc>
              <w:tc>
                <w:tcPr>
                  <w:tcW w:w="1427" w:type="dxa"/>
                  <w:tcBorders>
                    <w:tl2br w:val="nil"/>
                    <w:tr2bl w:val="nil"/>
                  </w:tcBorders>
                  <w:vAlign w:val="center"/>
                </w:tcPr>
                <w:p w14:paraId="77FF81A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shd w:val="clear" w:color="auto" w:fill="auto"/>
                  <w:vAlign w:val="center"/>
                </w:tcPr>
                <w:p w14:paraId="201E707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tcBorders>
                    <w:tl2br w:val="nil"/>
                    <w:tr2bl w:val="nil"/>
                  </w:tcBorders>
                  <w:shd w:val="clear" w:color="auto" w:fill="auto"/>
                  <w:vAlign w:val="center"/>
                </w:tcPr>
                <w:p w14:paraId="4ACC412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18EBF4B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0.00968</w:t>
                  </w:r>
                </w:p>
              </w:tc>
            </w:tr>
            <w:tr w14:paraId="3DAD7B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48C0A13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7</w:t>
                  </w:r>
                </w:p>
              </w:tc>
              <w:tc>
                <w:tcPr>
                  <w:tcW w:w="1744" w:type="dxa"/>
                  <w:tcBorders>
                    <w:tl2br w:val="nil"/>
                    <w:tr2bl w:val="nil"/>
                  </w:tcBorders>
                  <w:shd w:val="clear" w:color="auto" w:fill="auto"/>
                  <w:vAlign w:val="center"/>
                </w:tcPr>
                <w:p w14:paraId="20F4D24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tcBorders>
                    <w:tl2br w:val="nil"/>
                    <w:tr2bl w:val="nil"/>
                  </w:tcBorders>
                  <w:shd w:val="clear" w:color="auto" w:fill="auto"/>
                  <w:vAlign w:val="center"/>
                </w:tcPr>
                <w:p w14:paraId="6B34DDB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tcBorders>
                    <w:tl2br w:val="nil"/>
                    <w:tr2bl w:val="nil"/>
                  </w:tcBorders>
                  <w:vAlign w:val="center"/>
                </w:tcPr>
                <w:p w14:paraId="6629A39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tcBorders>
                    <w:tl2br w:val="nil"/>
                    <w:tr2bl w:val="nil"/>
                  </w:tcBorders>
                  <w:vAlign w:val="center"/>
                </w:tcPr>
                <w:p w14:paraId="6675E565">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shd w:val="clear" w:color="auto" w:fill="auto"/>
                  <w:vAlign w:val="center"/>
                </w:tcPr>
                <w:p w14:paraId="53EE321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tcBorders>
                    <w:tl2br w:val="nil"/>
                    <w:tr2bl w:val="nil"/>
                  </w:tcBorders>
                  <w:shd w:val="clear" w:color="auto" w:fill="auto"/>
                  <w:vAlign w:val="center"/>
                </w:tcPr>
                <w:p w14:paraId="7404E43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7AB2EFF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0.01334</w:t>
                  </w:r>
                </w:p>
              </w:tc>
            </w:tr>
            <w:tr w14:paraId="52E84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4372440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8</w:t>
                  </w:r>
                </w:p>
              </w:tc>
              <w:tc>
                <w:tcPr>
                  <w:tcW w:w="1744" w:type="dxa"/>
                  <w:tcBorders>
                    <w:tl2br w:val="nil"/>
                    <w:tr2bl w:val="nil"/>
                  </w:tcBorders>
                  <w:shd w:val="clear" w:color="auto" w:fill="auto"/>
                  <w:vAlign w:val="center"/>
                </w:tcPr>
                <w:p w14:paraId="11A9A0D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338CCE3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shd w:val="clear" w:color="auto" w:fill="auto"/>
                  <w:vAlign w:val="center"/>
                </w:tcPr>
                <w:p w14:paraId="3BD114D0">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18.4</w:t>
                  </w:r>
                </w:p>
              </w:tc>
              <w:tc>
                <w:tcPr>
                  <w:tcW w:w="1427" w:type="dxa"/>
                  <w:tcBorders>
                    <w:tl2br w:val="nil"/>
                    <w:tr2bl w:val="nil"/>
                  </w:tcBorders>
                  <w:shd w:val="clear" w:color="auto" w:fill="auto"/>
                  <w:vAlign w:val="center"/>
                </w:tcPr>
                <w:p w14:paraId="5F1845C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shd w:val="clear" w:color="auto" w:fill="auto"/>
                  <w:vAlign w:val="center"/>
                </w:tcPr>
                <w:p w14:paraId="413ACC4C">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tcBorders>
                    <w:tl2br w:val="nil"/>
                    <w:tr2bl w:val="nil"/>
                  </w:tcBorders>
                  <w:shd w:val="clear" w:color="auto" w:fill="auto"/>
                  <w:vAlign w:val="center"/>
                </w:tcPr>
                <w:p w14:paraId="07BC5EF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609518E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0.00968</w:t>
                  </w:r>
                </w:p>
              </w:tc>
            </w:tr>
            <w:tr w14:paraId="1D0885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349501D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z w:val="18"/>
                      <w:szCs w:val="18"/>
                    </w:rPr>
                    <w:t>9</w:t>
                  </w:r>
                </w:p>
              </w:tc>
              <w:tc>
                <w:tcPr>
                  <w:tcW w:w="1744" w:type="dxa"/>
                  <w:tcBorders>
                    <w:tl2br w:val="nil"/>
                    <w:tr2bl w:val="nil"/>
                  </w:tcBorders>
                  <w:shd w:val="clear" w:color="auto" w:fill="auto"/>
                  <w:vAlign w:val="center"/>
                </w:tcPr>
                <w:p w14:paraId="5374DBE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tcBorders>
                    <w:tl2br w:val="nil"/>
                    <w:tr2bl w:val="nil"/>
                  </w:tcBorders>
                  <w:shd w:val="clear" w:color="auto" w:fill="auto"/>
                  <w:vAlign w:val="center"/>
                </w:tcPr>
                <w:p w14:paraId="45248F8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tcBorders>
                    <w:tl2br w:val="nil"/>
                    <w:tr2bl w:val="nil"/>
                  </w:tcBorders>
                  <w:shd w:val="clear" w:color="auto" w:fill="auto"/>
                  <w:vAlign w:val="center"/>
                </w:tcPr>
                <w:p w14:paraId="26A3BFE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16</w:t>
                  </w:r>
                </w:p>
              </w:tc>
              <w:tc>
                <w:tcPr>
                  <w:tcW w:w="1427" w:type="dxa"/>
                  <w:tcBorders>
                    <w:tl2br w:val="nil"/>
                    <w:tr2bl w:val="nil"/>
                  </w:tcBorders>
                  <w:shd w:val="clear" w:color="auto" w:fill="auto"/>
                  <w:vAlign w:val="center"/>
                </w:tcPr>
                <w:p w14:paraId="7305FD2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47CD7AC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tcBorders>
                    <w:tl2br w:val="nil"/>
                    <w:tr2bl w:val="nil"/>
                  </w:tcBorders>
                  <w:shd w:val="clear" w:color="auto" w:fill="auto"/>
                  <w:vAlign w:val="center"/>
                </w:tcPr>
                <w:p w14:paraId="30EC651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77EEBE5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0.00538</w:t>
                  </w:r>
                </w:p>
              </w:tc>
            </w:tr>
            <w:tr w14:paraId="02800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6AF038F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0</w:t>
                  </w:r>
                </w:p>
              </w:tc>
              <w:tc>
                <w:tcPr>
                  <w:tcW w:w="1744" w:type="dxa"/>
                  <w:tcBorders>
                    <w:tl2br w:val="nil"/>
                    <w:tr2bl w:val="nil"/>
                  </w:tcBorders>
                  <w:shd w:val="clear" w:color="auto" w:fill="auto"/>
                  <w:vAlign w:val="center"/>
                </w:tcPr>
                <w:p w14:paraId="1CC5435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tcBorders>
                    <w:tl2br w:val="nil"/>
                    <w:tr2bl w:val="nil"/>
                  </w:tcBorders>
                  <w:shd w:val="clear" w:color="auto" w:fill="auto"/>
                  <w:vAlign w:val="center"/>
                </w:tcPr>
                <w:p w14:paraId="56B4B5F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tcBorders>
                    <w:tl2br w:val="nil"/>
                    <w:tr2bl w:val="nil"/>
                  </w:tcBorders>
                  <w:shd w:val="clear" w:color="auto" w:fill="auto"/>
                  <w:vAlign w:val="center"/>
                </w:tcPr>
                <w:p w14:paraId="6DB5DDB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17</w:t>
                  </w:r>
                </w:p>
              </w:tc>
              <w:tc>
                <w:tcPr>
                  <w:tcW w:w="1427" w:type="dxa"/>
                  <w:tcBorders>
                    <w:tl2br w:val="nil"/>
                    <w:tr2bl w:val="nil"/>
                  </w:tcBorders>
                  <w:shd w:val="clear" w:color="auto" w:fill="auto"/>
                  <w:vAlign w:val="center"/>
                </w:tcPr>
                <w:p w14:paraId="75084BB0">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5A4C8969">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tcBorders>
                    <w:tl2br w:val="nil"/>
                    <w:tr2bl w:val="nil"/>
                  </w:tcBorders>
                  <w:shd w:val="clear" w:color="auto" w:fill="auto"/>
                  <w:vAlign w:val="center"/>
                </w:tcPr>
                <w:p w14:paraId="45405F5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5195FFB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0.00767</w:t>
                  </w:r>
                </w:p>
              </w:tc>
            </w:tr>
            <w:tr w14:paraId="2A38A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04820E4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1</w:t>
                  </w:r>
                </w:p>
              </w:tc>
              <w:tc>
                <w:tcPr>
                  <w:tcW w:w="1744" w:type="dxa"/>
                  <w:tcBorders>
                    <w:tl2br w:val="nil"/>
                    <w:tr2bl w:val="nil"/>
                  </w:tcBorders>
                  <w:shd w:val="clear" w:color="auto" w:fill="auto"/>
                  <w:vAlign w:val="center"/>
                </w:tcPr>
                <w:p w14:paraId="0C6AC5D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tcBorders>
                    <w:tl2br w:val="nil"/>
                    <w:tr2bl w:val="nil"/>
                  </w:tcBorders>
                  <w:shd w:val="clear" w:color="auto" w:fill="auto"/>
                  <w:vAlign w:val="center"/>
                </w:tcPr>
                <w:p w14:paraId="77347FD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tcBorders>
                    <w:tl2br w:val="nil"/>
                    <w:tr2bl w:val="nil"/>
                  </w:tcBorders>
                  <w:shd w:val="clear" w:color="auto" w:fill="auto"/>
                  <w:vAlign w:val="center"/>
                </w:tcPr>
                <w:p w14:paraId="341A502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tcBorders>
                    <w:tl2br w:val="nil"/>
                    <w:tr2bl w:val="nil"/>
                  </w:tcBorders>
                  <w:shd w:val="clear" w:color="auto" w:fill="auto"/>
                  <w:vAlign w:val="center"/>
                </w:tcPr>
                <w:p w14:paraId="7080C4E6">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vAlign w:val="center"/>
                </w:tcPr>
                <w:p w14:paraId="170E8D4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tcBorders>
                    <w:tl2br w:val="nil"/>
                    <w:tr2bl w:val="nil"/>
                  </w:tcBorders>
                  <w:shd w:val="clear" w:color="auto" w:fill="auto"/>
                  <w:vAlign w:val="center"/>
                </w:tcPr>
                <w:p w14:paraId="244E17C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62F348B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0.00841</w:t>
                  </w:r>
                </w:p>
              </w:tc>
            </w:tr>
            <w:tr w14:paraId="2F688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59F32EE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2</w:t>
                  </w:r>
                </w:p>
              </w:tc>
              <w:tc>
                <w:tcPr>
                  <w:tcW w:w="1744" w:type="dxa"/>
                  <w:tcBorders>
                    <w:tl2br w:val="nil"/>
                    <w:tr2bl w:val="nil"/>
                  </w:tcBorders>
                  <w:shd w:val="clear" w:color="auto" w:fill="auto"/>
                  <w:vAlign w:val="center"/>
                </w:tcPr>
                <w:p w14:paraId="615B10A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tcBorders>
                    <w:tl2br w:val="nil"/>
                    <w:tr2bl w:val="nil"/>
                  </w:tcBorders>
                  <w:shd w:val="clear" w:color="auto" w:fill="auto"/>
                  <w:vAlign w:val="center"/>
                </w:tcPr>
                <w:p w14:paraId="7D9BEF5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tcBorders>
                    <w:tl2br w:val="nil"/>
                    <w:tr2bl w:val="nil"/>
                  </w:tcBorders>
                  <w:shd w:val="clear" w:color="auto" w:fill="auto"/>
                  <w:vAlign w:val="center"/>
                </w:tcPr>
                <w:p w14:paraId="6239369D">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tcBorders>
                    <w:tl2br w:val="nil"/>
                    <w:tr2bl w:val="nil"/>
                  </w:tcBorders>
                  <w:shd w:val="clear" w:color="auto" w:fill="auto"/>
                  <w:vAlign w:val="center"/>
                </w:tcPr>
                <w:p w14:paraId="47F121C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vAlign w:val="center"/>
                </w:tcPr>
                <w:p w14:paraId="08AA2CC9">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tcBorders>
                    <w:tl2br w:val="nil"/>
                    <w:tr2bl w:val="nil"/>
                  </w:tcBorders>
                  <w:shd w:val="clear" w:color="auto" w:fill="auto"/>
                  <w:vAlign w:val="center"/>
                </w:tcPr>
                <w:p w14:paraId="0384CBC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188B347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0.00841</w:t>
                  </w:r>
                </w:p>
              </w:tc>
            </w:tr>
            <w:tr w14:paraId="400A3F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590A34C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3</w:t>
                  </w:r>
                </w:p>
              </w:tc>
              <w:tc>
                <w:tcPr>
                  <w:tcW w:w="1744" w:type="dxa"/>
                  <w:tcBorders>
                    <w:tl2br w:val="nil"/>
                    <w:tr2bl w:val="nil"/>
                  </w:tcBorders>
                  <w:shd w:val="clear" w:color="auto" w:fill="auto"/>
                  <w:vAlign w:val="center"/>
                </w:tcPr>
                <w:p w14:paraId="7797B41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598" w:type="dxa"/>
                  <w:tcBorders>
                    <w:tl2br w:val="nil"/>
                    <w:tr2bl w:val="nil"/>
                  </w:tcBorders>
                  <w:shd w:val="clear" w:color="auto" w:fill="auto"/>
                  <w:vAlign w:val="center"/>
                </w:tcPr>
                <w:p w14:paraId="11E4FBF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9</w:t>
                  </w:r>
                </w:p>
              </w:tc>
              <w:tc>
                <w:tcPr>
                  <w:tcW w:w="963" w:type="dxa"/>
                  <w:tcBorders>
                    <w:tl2br w:val="nil"/>
                    <w:tr2bl w:val="nil"/>
                  </w:tcBorders>
                  <w:vAlign w:val="center"/>
                </w:tcPr>
                <w:p w14:paraId="18A25D3D">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18.2</w:t>
                  </w:r>
                </w:p>
              </w:tc>
              <w:tc>
                <w:tcPr>
                  <w:tcW w:w="1427" w:type="dxa"/>
                  <w:tcBorders>
                    <w:tl2br w:val="nil"/>
                    <w:tr2bl w:val="nil"/>
                  </w:tcBorders>
                  <w:vAlign w:val="center"/>
                </w:tcPr>
                <w:p w14:paraId="27DFBD5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4D6F4D5B">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tcBorders>
                    <w:tl2br w:val="nil"/>
                    <w:tr2bl w:val="nil"/>
                  </w:tcBorders>
                  <w:shd w:val="clear" w:color="auto" w:fill="auto"/>
                  <w:vAlign w:val="center"/>
                </w:tcPr>
                <w:p w14:paraId="41F76FF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4C8FB47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0.00887</w:t>
                  </w:r>
                </w:p>
              </w:tc>
            </w:tr>
            <w:tr w14:paraId="642CB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6423791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4</w:t>
                  </w:r>
                </w:p>
              </w:tc>
              <w:tc>
                <w:tcPr>
                  <w:tcW w:w="1744" w:type="dxa"/>
                  <w:tcBorders>
                    <w:tl2br w:val="nil"/>
                    <w:tr2bl w:val="nil"/>
                  </w:tcBorders>
                  <w:shd w:val="clear" w:color="auto" w:fill="auto"/>
                  <w:vAlign w:val="center"/>
                </w:tcPr>
                <w:p w14:paraId="3FE8A35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5ACE5D5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vAlign w:val="center"/>
                </w:tcPr>
                <w:p w14:paraId="39DF1F8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18.4</w:t>
                  </w:r>
                </w:p>
              </w:tc>
              <w:tc>
                <w:tcPr>
                  <w:tcW w:w="1427" w:type="dxa"/>
                  <w:tcBorders>
                    <w:tl2br w:val="nil"/>
                    <w:tr2bl w:val="nil"/>
                  </w:tcBorders>
                  <w:vAlign w:val="center"/>
                </w:tcPr>
                <w:p w14:paraId="3FC87659">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0871100C">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tcBorders>
                    <w:tl2br w:val="nil"/>
                    <w:tr2bl w:val="nil"/>
                  </w:tcBorders>
                  <w:shd w:val="clear" w:color="auto" w:fill="auto"/>
                  <w:vAlign w:val="center"/>
                </w:tcPr>
                <w:p w14:paraId="74815C6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21C380B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0.00968</w:t>
                  </w:r>
                </w:p>
              </w:tc>
            </w:tr>
            <w:tr w14:paraId="60A435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228F5C9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5</w:t>
                  </w:r>
                </w:p>
              </w:tc>
              <w:tc>
                <w:tcPr>
                  <w:tcW w:w="1744" w:type="dxa"/>
                  <w:tcBorders>
                    <w:tl2br w:val="nil"/>
                    <w:tr2bl w:val="nil"/>
                  </w:tcBorders>
                  <w:shd w:val="clear" w:color="auto" w:fill="auto"/>
                  <w:vAlign w:val="center"/>
                </w:tcPr>
                <w:p w14:paraId="70DFC02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52DC8EC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vAlign w:val="center"/>
                </w:tcPr>
                <w:p w14:paraId="725F7CD4">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17.6</w:t>
                  </w:r>
                </w:p>
              </w:tc>
              <w:tc>
                <w:tcPr>
                  <w:tcW w:w="1427" w:type="dxa"/>
                  <w:tcBorders>
                    <w:tl2br w:val="nil"/>
                    <w:tr2bl w:val="nil"/>
                  </w:tcBorders>
                  <w:vAlign w:val="center"/>
                </w:tcPr>
                <w:p w14:paraId="5444C4D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6D40D88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tcBorders>
                    <w:tl2br w:val="nil"/>
                    <w:tr2bl w:val="nil"/>
                  </w:tcBorders>
                  <w:shd w:val="clear" w:color="auto" w:fill="auto"/>
                  <w:vAlign w:val="center"/>
                </w:tcPr>
                <w:p w14:paraId="6BBEA99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0C7E342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0.00968</w:t>
                  </w:r>
                </w:p>
              </w:tc>
            </w:tr>
            <w:tr w14:paraId="0DC149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16AF08A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6</w:t>
                  </w:r>
                </w:p>
              </w:tc>
              <w:tc>
                <w:tcPr>
                  <w:tcW w:w="1744" w:type="dxa"/>
                  <w:tcBorders>
                    <w:tl2br w:val="nil"/>
                    <w:tr2bl w:val="nil"/>
                  </w:tcBorders>
                  <w:shd w:val="clear" w:color="auto" w:fill="auto"/>
                  <w:vAlign w:val="center"/>
                </w:tcPr>
                <w:p w14:paraId="53ECAD5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Y4</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tcBorders>
                    <w:tl2br w:val="nil"/>
                    <w:tr2bl w:val="nil"/>
                  </w:tcBorders>
                  <w:shd w:val="clear" w:color="auto" w:fill="auto"/>
                  <w:vAlign w:val="center"/>
                </w:tcPr>
                <w:p w14:paraId="39C2A9F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tcBorders>
                    <w:tl2br w:val="nil"/>
                    <w:tr2bl w:val="nil"/>
                  </w:tcBorders>
                  <w:vAlign w:val="center"/>
                </w:tcPr>
                <w:p w14:paraId="7BFE3307">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18.2</w:t>
                  </w:r>
                </w:p>
              </w:tc>
              <w:tc>
                <w:tcPr>
                  <w:tcW w:w="1427" w:type="dxa"/>
                  <w:tcBorders>
                    <w:tl2br w:val="nil"/>
                    <w:tr2bl w:val="nil"/>
                  </w:tcBorders>
                  <w:vAlign w:val="center"/>
                </w:tcPr>
                <w:p w14:paraId="61F88163">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158897E5">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tcBorders>
                    <w:tl2br w:val="nil"/>
                    <w:tr2bl w:val="nil"/>
                  </w:tcBorders>
                  <w:shd w:val="clear" w:color="auto" w:fill="auto"/>
                  <w:vAlign w:val="center"/>
                </w:tcPr>
                <w:p w14:paraId="3437F95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6266686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0.00968</w:t>
                  </w:r>
                </w:p>
              </w:tc>
            </w:tr>
            <w:tr w14:paraId="0F5CD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4B32A77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7</w:t>
                  </w:r>
                </w:p>
              </w:tc>
              <w:tc>
                <w:tcPr>
                  <w:tcW w:w="1744" w:type="dxa"/>
                  <w:tcBorders>
                    <w:tl2br w:val="nil"/>
                    <w:tr2bl w:val="nil"/>
                  </w:tcBorders>
                  <w:shd w:val="clear" w:color="auto" w:fill="auto"/>
                  <w:vAlign w:val="center"/>
                </w:tcPr>
                <w:p w14:paraId="715045D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598" w:type="dxa"/>
                  <w:tcBorders>
                    <w:tl2br w:val="nil"/>
                    <w:tr2bl w:val="nil"/>
                  </w:tcBorders>
                  <w:shd w:val="clear" w:color="auto" w:fill="auto"/>
                  <w:vAlign w:val="center"/>
                </w:tcPr>
                <w:p w14:paraId="2F953F3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3</w:t>
                  </w:r>
                </w:p>
              </w:tc>
              <w:tc>
                <w:tcPr>
                  <w:tcW w:w="963" w:type="dxa"/>
                  <w:tcBorders>
                    <w:tl2br w:val="nil"/>
                    <w:tr2bl w:val="nil"/>
                  </w:tcBorders>
                  <w:vAlign w:val="center"/>
                </w:tcPr>
                <w:p w14:paraId="0BA7450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18.2</w:t>
                  </w:r>
                </w:p>
              </w:tc>
              <w:tc>
                <w:tcPr>
                  <w:tcW w:w="1427" w:type="dxa"/>
                  <w:tcBorders>
                    <w:tl2br w:val="nil"/>
                    <w:tr2bl w:val="nil"/>
                  </w:tcBorders>
                  <w:vAlign w:val="center"/>
                </w:tcPr>
                <w:p w14:paraId="2B0EDBE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74180583">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WK1280</w:t>
                  </w:r>
                </w:p>
              </w:tc>
              <w:tc>
                <w:tcPr>
                  <w:tcW w:w="1009" w:type="dxa"/>
                  <w:tcBorders>
                    <w:tl2br w:val="nil"/>
                    <w:tr2bl w:val="nil"/>
                  </w:tcBorders>
                  <w:shd w:val="clear" w:color="auto" w:fill="auto"/>
                  <w:vAlign w:val="center"/>
                </w:tcPr>
                <w:p w14:paraId="58985A7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67D2719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0.00656</w:t>
                  </w:r>
                </w:p>
              </w:tc>
            </w:tr>
            <w:tr w14:paraId="3321E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78D2137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8</w:t>
                  </w:r>
                </w:p>
              </w:tc>
              <w:tc>
                <w:tcPr>
                  <w:tcW w:w="1744" w:type="dxa"/>
                  <w:tcBorders>
                    <w:tl2br w:val="nil"/>
                    <w:tr2bl w:val="nil"/>
                  </w:tcBorders>
                  <w:shd w:val="clear" w:color="auto" w:fill="auto"/>
                  <w:vAlign w:val="center"/>
                </w:tcPr>
                <w:p w14:paraId="2E40E8E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tcBorders>
                    <w:tl2br w:val="nil"/>
                    <w:tr2bl w:val="nil"/>
                  </w:tcBorders>
                  <w:shd w:val="clear" w:color="auto" w:fill="auto"/>
                  <w:vAlign w:val="center"/>
                </w:tcPr>
                <w:p w14:paraId="0B340D1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tcBorders>
                    <w:tl2br w:val="nil"/>
                    <w:tr2bl w:val="nil"/>
                  </w:tcBorders>
                  <w:vAlign w:val="center"/>
                </w:tcPr>
                <w:p w14:paraId="66E6C1AF">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18.2</w:t>
                  </w:r>
                </w:p>
              </w:tc>
              <w:tc>
                <w:tcPr>
                  <w:tcW w:w="1427" w:type="dxa"/>
                  <w:tcBorders>
                    <w:tl2br w:val="nil"/>
                    <w:tr2bl w:val="nil"/>
                  </w:tcBorders>
                  <w:vAlign w:val="center"/>
                </w:tcPr>
                <w:p w14:paraId="3DA1355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6C88DBA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WK1290</w:t>
                  </w:r>
                </w:p>
              </w:tc>
              <w:tc>
                <w:tcPr>
                  <w:tcW w:w="1009" w:type="dxa"/>
                  <w:tcBorders>
                    <w:tl2br w:val="nil"/>
                    <w:tr2bl w:val="nil"/>
                  </w:tcBorders>
                  <w:shd w:val="clear" w:color="auto" w:fill="auto"/>
                  <w:vAlign w:val="center"/>
                </w:tcPr>
                <w:p w14:paraId="595F1EE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3130AB2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0.00767</w:t>
                  </w:r>
                </w:p>
              </w:tc>
            </w:tr>
            <w:tr w14:paraId="343156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35D348D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1</w:t>
                  </w:r>
                  <w:r>
                    <w:rPr>
                      <w:rFonts w:ascii="Times New Roman" w:hAnsi="Times New Roman" w:cs="Times New Roman"/>
                      <w:color w:val="auto"/>
                      <w:sz w:val="18"/>
                      <w:szCs w:val="18"/>
                    </w:rPr>
                    <w:t>9</w:t>
                  </w:r>
                </w:p>
              </w:tc>
              <w:tc>
                <w:tcPr>
                  <w:tcW w:w="1744" w:type="dxa"/>
                  <w:tcBorders>
                    <w:tl2br w:val="nil"/>
                    <w:tr2bl w:val="nil"/>
                  </w:tcBorders>
                  <w:shd w:val="clear" w:color="auto" w:fill="auto"/>
                  <w:vAlign w:val="center"/>
                </w:tcPr>
                <w:p w14:paraId="059EBCF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tcBorders>
                    <w:tl2br w:val="nil"/>
                    <w:tr2bl w:val="nil"/>
                  </w:tcBorders>
                  <w:shd w:val="clear" w:color="auto" w:fill="auto"/>
                  <w:vAlign w:val="center"/>
                </w:tcPr>
                <w:p w14:paraId="35C5486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tcBorders>
                    <w:tl2br w:val="nil"/>
                    <w:tr2bl w:val="nil"/>
                  </w:tcBorders>
                  <w:vAlign w:val="center"/>
                </w:tcPr>
                <w:p w14:paraId="6C7728A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18.2</w:t>
                  </w:r>
                </w:p>
              </w:tc>
              <w:tc>
                <w:tcPr>
                  <w:tcW w:w="1427" w:type="dxa"/>
                  <w:tcBorders>
                    <w:tl2br w:val="nil"/>
                    <w:tr2bl w:val="nil"/>
                  </w:tcBorders>
                  <w:vAlign w:val="center"/>
                </w:tcPr>
                <w:p w14:paraId="325F5FF7">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0FF163B8">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tcBorders>
                    <w:tl2br w:val="nil"/>
                    <w:tr2bl w:val="nil"/>
                  </w:tcBorders>
                  <w:shd w:val="clear" w:color="auto" w:fill="auto"/>
                  <w:vAlign w:val="center"/>
                </w:tcPr>
                <w:p w14:paraId="3A8B4D48">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z w:val="18"/>
                      <w:szCs w:val="18"/>
                    </w:rPr>
                    <w:t>公益林</w:t>
                  </w:r>
                </w:p>
              </w:tc>
              <w:tc>
                <w:tcPr>
                  <w:tcW w:w="1044" w:type="dxa"/>
                  <w:tcBorders>
                    <w:tl2br w:val="nil"/>
                    <w:tr2bl w:val="nil"/>
                  </w:tcBorders>
                  <w:shd w:val="clear" w:color="auto" w:fill="auto"/>
                  <w:vAlign w:val="center"/>
                </w:tcPr>
                <w:p w14:paraId="0D2088E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0.00767</w:t>
                  </w:r>
                </w:p>
              </w:tc>
            </w:tr>
            <w:tr w14:paraId="7316D1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63E2396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0</w:t>
                  </w:r>
                </w:p>
              </w:tc>
              <w:tc>
                <w:tcPr>
                  <w:tcW w:w="1744" w:type="dxa"/>
                  <w:tcBorders>
                    <w:tl2br w:val="nil"/>
                    <w:tr2bl w:val="nil"/>
                  </w:tcBorders>
                  <w:shd w:val="clear" w:color="auto" w:fill="auto"/>
                  <w:vAlign w:val="center"/>
                </w:tcPr>
                <w:p w14:paraId="78C08E3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598" w:type="dxa"/>
                  <w:tcBorders>
                    <w:tl2br w:val="nil"/>
                    <w:tr2bl w:val="nil"/>
                  </w:tcBorders>
                  <w:shd w:val="clear" w:color="auto" w:fill="auto"/>
                  <w:vAlign w:val="center"/>
                </w:tcPr>
                <w:p w14:paraId="0E1D9CF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9</w:t>
                  </w:r>
                </w:p>
              </w:tc>
              <w:tc>
                <w:tcPr>
                  <w:tcW w:w="963" w:type="dxa"/>
                  <w:tcBorders>
                    <w:tl2br w:val="nil"/>
                    <w:tr2bl w:val="nil"/>
                  </w:tcBorders>
                  <w:vAlign w:val="center"/>
                </w:tcPr>
                <w:p w14:paraId="211C863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18.6</w:t>
                  </w:r>
                </w:p>
              </w:tc>
              <w:tc>
                <w:tcPr>
                  <w:tcW w:w="1427" w:type="dxa"/>
                  <w:tcBorders>
                    <w:tl2br w:val="nil"/>
                    <w:tr2bl w:val="nil"/>
                  </w:tcBorders>
                  <w:vAlign w:val="center"/>
                </w:tcPr>
                <w:p w14:paraId="5E56439F">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2E6D21D3">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tcBorders>
                    <w:tl2br w:val="nil"/>
                    <w:tr2bl w:val="nil"/>
                  </w:tcBorders>
                  <w:shd w:val="clear" w:color="auto" w:fill="auto"/>
                  <w:vAlign w:val="center"/>
                </w:tcPr>
                <w:p w14:paraId="2BB7672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35FE2D2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0.00887</w:t>
                  </w:r>
                </w:p>
              </w:tc>
            </w:tr>
            <w:tr w14:paraId="4D01F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4D77205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1</w:t>
                  </w:r>
                </w:p>
              </w:tc>
              <w:tc>
                <w:tcPr>
                  <w:tcW w:w="1744" w:type="dxa"/>
                  <w:tcBorders>
                    <w:tl2br w:val="nil"/>
                    <w:tr2bl w:val="nil"/>
                  </w:tcBorders>
                  <w:shd w:val="clear" w:color="auto" w:fill="auto"/>
                  <w:vAlign w:val="center"/>
                </w:tcPr>
                <w:p w14:paraId="6E203D2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598" w:type="dxa"/>
                  <w:tcBorders>
                    <w:tl2br w:val="nil"/>
                    <w:tr2bl w:val="nil"/>
                  </w:tcBorders>
                  <w:shd w:val="clear" w:color="auto" w:fill="auto"/>
                  <w:vAlign w:val="center"/>
                </w:tcPr>
                <w:p w14:paraId="65D7376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9</w:t>
                  </w:r>
                </w:p>
              </w:tc>
              <w:tc>
                <w:tcPr>
                  <w:tcW w:w="963" w:type="dxa"/>
                  <w:tcBorders>
                    <w:tl2br w:val="nil"/>
                    <w:tr2bl w:val="nil"/>
                  </w:tcBorders>
                  <w:vAlign w:val="center"/>
                </w:tcPr>
                <w:p w14:paraId="0C74EDF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17.2</w:t>
                  </w:r>
                </w:p>
              </w:tc>
              <w:tc>
                <w:tcPr>
                  <w:tcW w:w="1427" w:type="dxa"/>
                  <w:tcBorders>
                    <w:tl2br w:val="nil"/>
                    <w:tr2bl w:val="nil"/>
                  </w:tcBorders>
                  <w:vAlign w:val="center"/>
                </w:tcPr>
                <w:p w14:paraId="7CD8FEA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2BAD5CA7">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tcBorders>
                    <w:tl2br w:val="nil"/>
                    <w:tr2bl w:val="nil"/>
                  </w:tcBorders>
                  <w:shd w:val="clear" w:color="auto" w:fill="auto"/>
                  <w:vAlign w:val="center"/>
                </w:tcPr>
                <w:p w14:paraId="34C8376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00014D5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0.00887</w:t>
                  </w:r>
                </w:p>
              </w:tc>
            </w:tr>
            <w:tr w14:paraId="5CDB91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5EF1F0F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2</w:t>
                  </w:r>
                </w:p>
              </w:tc>
              <w:tc>
                <w:tcPr>
                  <w:tcW w:w="1744" w:type="dxa"/>
                  <w:tcBorders>
                    <w:tl2br w:val="nil"/>
                    <w:tr2bl w:val="nil"/>
                  </w:tcBorders>
                  <w:shd w:val="clear" w:color="auto" w:fill="auto"/>
                  <w:vAlign w:val="center"/>
                </w:tcPr>
                <w:p w14:paraId="02B5E2A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598" w:type="dxa"/>
                  <w:tcBorders>
                    <w:tl2br w:val="nil"/>
                    <w:tr2bl w:val="nil"/>
                  </w:tcBorders>
                  <w:shd w:val="clear" w:color="auto" w:fill="auto"/>
                  <w:vAlign w:val="center"/>
                </w:tcPr>
                <w:p w14:paraId="16C455D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9</w:t>
                  </w:r>
                </w:p>
              </w:tc>
              <w:tc>
                <w:tcPr>
                  <w:tcW w:w="963" w:type="dxa"/>
                  <w:tcBorders>
                    <w:tl2br w:val="nil"/>
                    <w:tr2bl w:val="nil"/>
                  </w:tcBorders>
                  <w:vAlign w:val="center"/>
                </w:tcPr>
                <w:p w14:paraId="051CFB2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14.6</w:t>
                  </w:r>
                </w:p>
              </w:tc>
              <w:tc>
                <w:tcPr>
                  <w:tcW w:w="1427" w:type="dxa"/>
                  <w:tcBorders>
                    <w:tl2br w:val="nil"/>
                    <w:tr2bl w:val="nil"/>
                  </w:tcBorders>
                  <w:vAlign w:val="center"/>
                </w:tcPr>
                <w:p w14:paraId="43DC224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tcBorders>
                    <w:tl2br w:val="nil"/>
                    <w:tr2bl w:val="nil"/>
                  </w:tcBorders>
                  <w:vAlign w:val="center"/>
                </w:tcPr>
                <w:p w14:paraId="6F1B8AC1">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tcBorders>
                    <w:tl2br w:val="nil"/>
                    <w:tr2bl w:val="nil"/>
                  </w:tcBorders>
                  <w:shd w:val="clear" w:color="auto" w:fill="auto"/>
                  <w:vAlign w:val="center"/>
                </w:tcPr>
                <w:p w14:paraId="0EA6F83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368D114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0.00887</w:t>
                  </w:r>
                </w:p>
              </w:tc>
            </w:tr>
            <w:tr w14:paraId="5A586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tcBorders>
                    <w:tl2br w:val="nil"/>
                    <w:tr2bl w:val="nil"/>
                  </w:tcBorders>
                  <w:shd w:val="clear" w:color="auto" w:fill="auto"/>
                  <w:vAlign w:val="center"/>
                </w:tcPr>
                <w:p w14:paraId="6E725F5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3</w:t>
                  </w:r>
                </w:p>
              </w:tc>
              <w:tc>
                <w:tcPr>
                  <w:tcW w:w="1744" w:type="dxa"/>
                  <w:tcBorders>
                    <w:tl2br w:val="nil"/>
                    <w:tr2bl w:val="nil"/>
                  </w:tcBorders>
                  <w:shd w:val="clear" w:color="auto" w:fill="auto"/>
                  <w:vAlign w:val="center"/>
                </w:tcPr>
                <w:p w14:paraId="34C167F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tcBorders>
                    <w:tl2br w:val="nil"/>
                    <w:tr2bl w:val="nil"/>
                  </w:tcBorders>
                  <w:shd w:val="clear" w:color="auto" w:fill="auto"/>
                  <w:vAlign w:val="center"/>
                </w:tcPr>
                <w:p w14:paraId="7ABE989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tcBorders>
                    <w:tl2br w:val="nil"/>
                    <w:tr2bl w:val="nil"/>
                  </w:tcBorders>
                  <w:vAlign w:val="center"/>
                </w:tcPr>
                <w:p w14:paraId="7CF0D09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tcBorders>
                    <w:tl2br w:val="nil"/>
                    <w:tr2bl w:val="nil"/>
                  </w:tcBorders>
                  <w:vAlign w:val="center"/>
                </w:tcPr>
                <w:p w14:paraId="3D7F14E3">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tcBorders>
                    <w:tl2br w:val="nil"/>
                    <w:tr2bl w:val="nil"/>
                  </w:tcBorders>
                  <w:vAlign w:val="center"/>
                </w:tcPr>
                <w:p w14:paraId="4F510ED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tcBorders>
                    <w:tl2br w:val="nil"/>
                    <w:tr2bl w:val="nil"/>
                  </w:tcBorders>
                  <w:shd w:val="clear" w:color="auto" w:fill="auto"/>
                  <w:vAlign w:val="center"/>
                </w:tcPr>
                <w:p w14:paraId="73B27DA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tcBorders>
                    <w:tl2br w:val="nil"/>
                    <w:tr2bl w:val="nil"/>
                  </w:tcBorders>
                  <w:shd w:val="clear" w:color="auto" w:fill="auto"/>
                  <w:vAlign w:val="center"/>
                </w:tcPr>
                <w:p w14:paraId="218A868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0.0079</w:t>
                  </w:r>
                </w:p>
              </w:tc>
            </w:tr>
            <w:tr w14:paraId="1CAFF9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0BC6D65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4</w:t>
                  </w:r>
                </w:p>
              </w:tc>
              <w:tc>
                <w:tcPr>
                  <w:tcW w:w="1744" w:type="dxa"/>
                  <w:shd w:val="clear" w:color="auto" w:fill="auto"/>
                  <w:vAlign w:val="center"/>
                </w:tcPr>
                <w:p w14:paraId="6618756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hint="eastAsia" w:ascii="Times New Roman" w:hAnsi="Times New Roman" w:cs="Times New Roman"/>
                      <w:color w:val="auto"/>
                      <w:spacing w:val="14"/>
                      <w:sz w:val="18"/>
                      <w:szCs w:val="18"/>
                    </w:rPr>
                    <w:t>Y</w:t>
                  </w:r>
                  <w:r>
                    <w:rPr>
                      <w:rFonts w:ascii="Times New Roman" w:hAnsi="Times New Roman" w:cs="Times New Roman"/>
                      <w:color w:val="auto"/>
                      <w:spacing w:val="14"/>
                      <w:sz w:val="18"/>
                      <w:szCs w:val="18"/>
                    </w:rPr>
                    <w:t>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535DE9E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54E3472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15.1</w:t>
                  </w:r>
                </w:p>
              </w:tc>
              <w:tc>
                <w:tcPr>
                  <w:tcW w:w="1427" w:type="dxa"/>
                  <w:vAlign w:val="center"/>
                </w:tcPr>
                <w:p w14:paraId="2E2E06F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36CD794F">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shd w:val="clear" w:color="auto" w:fill="auto"/>
                  <w:vAlign w:val="center"/>
                </w:tcPr>
                <w:p w14:paraId="03B3AE2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1F2D01E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0.00841</w:t>
                  </w:r>
                </w:p>
              </w:tc>
            </w:tr>
            <w:tr w14:paraId="70DEA5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6094E9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5</w:t>
                  </w:r>
                </w:p>
              </w:tc>
              <w:tc>
                <w:tcPr>
                  <w:tcW w:w="1744" w:type="dxa"/>
                  <w:shd w:val="clear" w:color="auto" w:fill="auto"/>
                  <w:vAlign w:val="center"/>
                </w:tcPr>
                <w:p w14:paraId="4E19B9C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598" w:type="dxa"/>
                  <w:shd w:val="clear" w:color="auto" w:fill="auto"/>
                  <w:vAlign w:val="center"/>
                </w:tcPr>
                <w:p w14:paraId="4BF99C0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3</w:t>
                  </w:r>
                </w:p>
              </w:tc>
              <w:tc>
                <w:tcPr>
                  <w:tcW w:w="963" w:type="dxa"/>
                  <w:vAlign w:val="center"/>
                </w:tcPr>
                <w:p w14:paraId="41E2A47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13.6</w:t>
                  </w:r>
                </w:p>
              </w:tc>
              <w:tc>
                <w:tcPr>
                  <w:tcW w:w="1427" w:type="dxa"/>
                  <w:vAlign w:val="center"/>
                </w:tcPr>
                <w:p w14:paraId="2ECD05E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0A678AF8">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shd w:val="clear" w:color="auto" w:fill="auto"/>
                  <w:vAlign w:val="center"/>
                </w:tcPr>
                <w:p w14:paraId="414AF3B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73752A2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0.00656</w:t>
                  </w:r>
                </w:p>
              </w:tc>
            </w:tr>
            <w:tr w14:paraId="534DE1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88AC97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6</w:t>
                  </w:r>
                </w:p>
              </w:tc>
              <w:tc>
                <w:tcPr>
                  <w:tcW w:w="1744" w:type="dxa"/>
                  <w:shd w:val="clear" w:color="auto" w:fill="auto"/>
                  <w:vAlign w:val="center"/>
                </w:tcPr>
                <w:p w14:paraId="6F60A68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X3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4</w:t>
                  </w:r>
                </w:p>
              </w:tc>
              <w:tc>
                <w:tcPr>
                  <w:tcW w:w="598" w:type="dxa"/>
                  <w:shd w:val="clear" w:color="auto" w:fill="auto"/>
                  <w:vAlign w:val="center"/>
                </w:tcPr>
                <w:p w14:paraId="69E1C5B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4</w:t>
                  </w:r>
                </w:p>
              </w:tc>
              <w:tc>
                <w:tcPr>
                  <w:tcW w:w="963" w:type="dxa"/>
                  <w:vAlign w:val="center"/>
                </w:tcPr>
                <w:p w14:paraId="156ABF5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vAlign w:val="center"/>
                </w:tcPr>
                <w:p w14:paraId="3B3B5FD9">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6FD8C93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shd w:val="clear" w:color="auto" w:fill="auto"/>
                  <w:vAlign w:val="center"/>
                </w:tcPr>
                <w:p w14:paraId="6AAD3F5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1362E09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0.00362</w:t>
                  </w:r>
                </w:p>
              </w:tc>
            </w:tr>
            <w:tr w14:paraId="0C3F3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6DDE7DD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1744" w:type="dxa"/>
                  <w:shd w:val="clear" w:color="auto" w:fill="auto"/>
                  <w:vAlign w:val="center"/>
                </w:tcPr>
                <w:p w14:paraId="0B8DFDB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E</w:t>
                  </w:r>
                  <w:r>
                    <w:rPr>
                      <w:rFonts w:ascii="Times New Roman" w:hAnsi="Times New Roman" w:cs="Times New Roman"/>
                      <w:color w:val="auto"/>
                      <w:spacing w:val="12"/>
                      <w:sz w:val="18"/>
                      <w:szCs w:val="18"/>
                    </w:rPr>
                    <w:t>1</w:t>
                  </w:r>
                  <w:r>
                    <w:rPr>
                      <w:rFonts w:hint="eastAsia" w:ascii="Times New Roman" w:hAnsi="Times New Roman" w:cs="Times New Roman"/>
                      <w:color w:val="auto"/>
                      <w:spacing w:val="12"/>
                      <w:sz w:val="18"/>
                      <w:szCs w:val="18"/>
                    </w:rPr>
                    <w:t>Y</w:t>
                  </w:r>
                  <w:r>
                    <w:rPr>
                      <w:rFonts w:ascii="Times New Roman" w:hAnsi="Times New Roman" w:cs="Times New Roman"/>
                      <w:color w:val="auto"/>
                      <w:spacing w:val="14"/>
                      <w:sz w:val="18"/>
                      <w:szCs w:val="18"/>
                    </w:rPr>
                    <w:t>3</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w:t>
                  </w:r>
                  <w:r>
                    <w:rPr>
                      <w:rFonts w:hint="eastAsia" w:ascii="Times New Roman" w:hAnsi="Times New Roman" w:cs="Times New Roman"/>
                      <w:color w:val="auto"/>
                      <w:spacing w:val="14"/>
                      <w:sz w:val="18"/>
                      <w:szCs w:val="18"/>
                    </w:rPr>
                    <w:t>33</w:t>
                  </w:r>
                </w:p>
              </w:tc>
              <w:tc>
                <w:tcPr>
                  <w:tcW w:w="598" w:type="dxa"/>
                  <w:shd w:val="clear" w:color="auto" w:fill="auto"/>
                  <w:vAlign w:val="center"/>
                </w:tcPr>
                <w:p w14:paraId="614C1FB0">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z w:val="18"/>
                      <w:szCs w:val="18"/>
                    </w:rPr>
                    <w:t>33</w:t>
                  </w:r>
                </w:p>
              </w:tc>
              <w:tc>
                <w:tcPr>
                  <w:tcW w:w="963" w:type="dxa"/>
                  <w:vAlign w:val="center"/>
                </w:tcPr>
                <w:p w14:paraId="40688F9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20.43</w:t>
                  </w:r>
                </w:p>
              </w:tc>
              <w:tc>
                <w:tcPr>
                  <w:tcW w:w="1427" w:type="dxa"/>
                  <w:vAlign w:val="center"/>
                </w:tcPr>
                <w:p w14:paraId="06592F8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268042A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WK1280</w:t>
                  </w:r>
                </w:p>
              </w:tc>
              <w:tc>
                <w:tcPr>
                  <w:tcW w:w="1009" w:type="dxa"/>
                  <w:shd w:val="clear" w:color="auto" w:fill="auto"/>
                  <w:vAlign w:val="center"/>
                </w:tcPr>
                <w:p w14:paraId="218AC66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63E967C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0.00714</w:t>
                  </w:r>
                </w:p>
              </w:tc>
            </w:tr>
            <w:tr w14:paraId="2D484F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70244E7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8</w:t>
                  </w:r>
                </w:p>
              </w:tc>
              <w:tc>
                <w:tcPr>
                  <w:tcW w:w="1744" w:type="dxa"/>
                  <w:shd w:val="clear" w:color="auto" w:fill="auto"/>
                  <w:vAlign w:val="center"/>
                </w:tcPr>
                <w:p w14:paraId="3BE25E6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hint="eastAsia" w:ascii="Times New Roman" w:hAnsi="Times New Roman" w:cs="Times New Roman"/>
                      <w:color w:val="auto"/>
                      <w:spacing w:val="12"/>
                      <w:sz w:val="18"/>
                      <w:szCs w:val="18"/>
                    </w:rPr>
                    <w:t>1</w:t>
                  </w:r>
                  <w:r>
                    <w:rPr>
                      <w:rFonts w:ascii="Times New Roman" w:hAnsi="Times New Roman" w:cs="Times New Roman"/>
                      <w:color w:val="auto"/>
                      <w:spacing w:val="14"/>
                      <w:sz w:val="18"/>
                      <w:szCs w:val="18"/>
                    </w:rPr>
                    <w:t>-</w:t>
                  </w:r>
                  <w:r>
                    <w:rPr>
                      <w:rFonts w:hint="eastAsia" w:ascii="Times New Roman" w:hAnsi="Times New Roman" w:cs="Times New Roman"/>
                      <w:color w:val="auto"/>
                      <w:spacing w:val="14"/>
                      <w:sz w:val="18"/>
                      <w:szCs w:val="18"/>
                    </w:rPr>
                    <w:t>48</w:t>
                  </w:r>
                </w:p>
              </w:tc>
              <w:tc>
                <w:tcPr>
                  <w:tcW w:w="598" w:type="dxa"/>
                  <w:shd w:val="clear" w:color="auto" w:fill="auto"/>
                  <w:vAlign w:val="center"/>
                </w:tcPr>
                <w:p w14:paraId="764D74E7">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pacing w:val="9"/>
                      <w:sz w:val="18"/>
                      <w:szCs w:val="18"/>
                    </w:rPr>
                    <w:t>48</w:t>
                  </w:r>
                </w:p>
              </w:tc>
              <w:tc>
                <w:tcPr>
                  <w:tcW w:w="963" w:type="dxa"/>
                  <w:vAlign w:val="center"/>
                </w:tcPr>
                <w:p w14:paraId="148AC50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9.3</w:t>
                  </w:r>
                </w:p>
              </w:tc>
              <w:tc>
                <w:tcPr>
                  <w:tcW w:w="1427" w:type="dxa"/>
                  <w:vAlign w:val="center"/>
                </w:tcPr>
                <w:p w14:paraId="2AB60C0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24F8BBB1">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WK1290</w:t>
                  </w:r>
                </w:p>
              </w:tc>
              <w:tc>
                <w:tcPr>
                  <w:tcW w:w="1009" w:type="dxa"/>
                  <w:shd w:val="clear" w:color="auto" w:fill="auto"/>
                  <w:vAlign w:val="center"/>
                </w:tcPr>
                <w:p w14:paraId="754549E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7E30B2C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0.00443</w:t>
                  </w:r>
                </w:p>
              </w:tc>
            </w:tr>
            <w:tr w14:paraId="553BD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4A29F92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9</w:t>
                  </w:r>
                </w:p>
              </w:tc>
              <w:tc>
                <w:tcPr>
                  <w:tcW w:w="1744" w:type="dxa"/>
                  <w:shd w:val="clear" w:color="auto" w:fill="auto"/>
                  <w:vAlign w:val="center"/>
                </w:tcPr>
                <w:p w14:paraId="4749632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2D1Y5-ZMH3-42</w:t>
                  </w:r>
                </w:p>
              </w:tc>
              <w:tc>
                <w:tcPr>
                  <w:tcW w:w="598" w:type="dxa"/>
                  <w:shd w:val="clear" w:color="auto" w:fill="auto"/>
                  <w:vAlign w:val="center"/>
                </w:tcPr>
                <w:p w14:paraId="656CC7C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42</w:t>
                  </w:r>
                </w:p>
              </w:tc>
              <w:tc>
                <w:tcPr>
                  <w:tcW w:w="963" w:type="dxa"/>
                  <w:vAlign w:val="center"/>
                </w:tcPr>
                <w:p w14:paraId="1938C82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3263561D">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27EB572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shd w:val="clear" w:color="auto" w:fill="auto"/>
                  <w:vAlign w:val="center"/>
                </w:tcPr>
                <w:p w14:paraId="0A7A302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0C95431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0.00443</w:t>
                  </w:r>
                </w:p>
              </w:tc>
            </w:tr>
            <w:tr w14:paraId="150C8A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740629B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1744" w:type="dxa"/>
                  <w:shd w:val="clear" w:color="auto" w:fill="auto"/>
                  <w:vAlign w:val="center"/>
                </w:tcPr>
                <w:p w14:paraId="2B7B6A6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38AE0DA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084E421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vAlign w:val="center"/>
                </w:tcPr>
                <w:p w14:paraId="3D4958D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41E1578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shd w:val="clear" w:color="auto" w:fill="auto"/>
                  <w:vAlign w:val="center"/>
                </w:tcPr>
                <w:p w14:paraId="7CE82E8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24D283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0.00516</w:t>
                  </w:r>
                </w:p>
              </w:tc>
            </w:tr>
            <w:tr w14:paraId="42391C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1D2BB1C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1</w:t>
                  </w:r>
                </w:p>
              </w:tc>
              <w:tc>
                <w:tcPr>
                  <w:tcW w:w="1744" w:type="dxa"/>
                  <w:shd w:val="clear" w:color="auto" w:fill="auto"/>
                  <w:vAlign w:val="center"/>
                </w:tcPr>
                <w:p w14:paraId="304F79A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shd w:val="clear" w:color="auto" w:fill="auto"/>
                  <w:vAlign w:val="center"/>
                </w:tcPr>
                <w:p w14:paraId="73FBDB0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vAlign w:val="center"/>
                </w:tcPr>
                <w:p w14:paraId="200DAA8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4754C05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19645ACC">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shd w:val="clear" w:color="auto" w:fill="auto"/>
                  <w:vAlign w:val="center"/>
                </w:tcPr>
                <w:p w14:paraId="39FC01A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13D735D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0.00465</w:t>
                  </w:r>
                </w:p>
              </w:tc>
            </w:tr>
            <w:tr w14:paraId="495BB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41A3CB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2</w:t>
                  </w:r>
                </w:p>
              </w:tc>
              <w:tc>
                <w:tcPr>
                  <w:tcW w:w="1744" w:type="dxa"/>
                  <w:shd w:val="clear" w:color="auto" w:fill="auto"/>
                  <w:vAlign w:val="center"/>
                </w:tcPr>
                <w:p w14:paraId="1D97859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58ED585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2462AA9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vAlign w:val="center"/>
                </w:tcPr>
                <w:p w14:paraId="78374A67">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7C2E52A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shd w:val="clear" w:color="auto" w:fill="auto"/>
                  <w:vAlign w:val="center"/>
                </w:tcPr>
                <w:p w14:paraId="182650B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10F2B02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0.0048</w:t>
                  </w:r>
                </w:p>
              </w:tc>
            </w:tr>
            <w:tr w14:paraId="0A7CB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EBA6BC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1744" w:type="dxa"/>
                  <w:shd w:val="clear" w:color="auto" w:fill="auto"/>
                  <w:vAlign w:val="center"/>
                </w:tcPr>
                <w:p w14:paraId="30C5197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598" w:type="dxa"/>
                  <w:shd w:val="clear" w:color="auto" w:fill="auto"/>
                  <w:vAlign w:val="center"/>
                </w:tcPr>
                <w:p w14:paraId="146ECD3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9</w:t>
                  </w:r>
                </w:p>
              </w:tc>
              <w:tc>
                <w:tcPr>
                  <w:tcW w:w="963" w:type="dxa"/>
                  <w:vAlign w:val="center"/>
                </w:tcPr>
                <w:p w14:paraId="79C3686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588A3FA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4AB958C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shd w:val="clear" w:color="auto" w:fill="auto"/>
                  <w:vAlign w:val="center"/>
                </w:tcPr>
                <w:p w14:paraId="438F224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6522FE2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0.00417</w:t>
                  </w:r>
                </w:p>
              </w:tc>
            </w:tr>
            <w:tr w14:paraId="17A2A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6CA110D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4</w:t>
                  </w:r>
                </w:p>
              </w:tc>
              <w:tc>
                <w:tcPr>
                  <w:tcW w:w="1744" w:type="dxa"/>
                  <w:shd w:val="clear" w:color="auto" w:fill="auto"/>
                  <w:vAlign w:val="center"/>
                </w:tcPr>
                <w:p w14:paraId="7A1109F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shd w:val="clear" w:color="auto" w:fill="auto"/>
                  <w:vAlign w:val="center"/>
                </w:tcPr>
                <w:p w14:paraId="7AB8F3C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vAlign w:val="center"/>
                </w:tcPr>
                <w:p w14:paraId="246CA3B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76D13A2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53B1F856">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shd w:val="clear" w:color="auto" w:fill="auto"/>
                  <w:vAlign w:val="center"/>
                </w:tcPr>
                <w:p w14:paraId="6D90DE5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69AFC84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0.00465</w:t>
                  </w:r>
                </w:p>
              </w:tc>
            </w:tr>
            <w:tr w14:paraId="518CDA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5C565E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5</w:t>
                  </w:r>
                </w:p>
              </w:tc>
              <w:tc>
                <w:tcPr>
                  <w:tcW w:w="1744" w:type="dxa"/>
                  <w:shd w:val="clear" w:color="auto" w:fill="auto"/>
                  <w:vAlign w:val="center"/>
                </w:tcPr>
                <w:p w14:paraId="10E2DD6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shd w:val="clear" w:color="auto" w:fill="auto"/>
                  <w:vAlign w:val="center"/>
                </w:tcPr>
                <w:p w14:paraId="6A53AE3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vAlign w:val="center"/>
                </w:tcPr>
                <w:p w14:paraId="2750A930">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5C776B6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6C604DD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shd w:val="clear" w:color="auto" w:fill="auto"/>
                  <w:vAlign w:val="center"/>
                </w:tcPr>
                <w:p w14:paraId="45983CB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C5E87C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0.00352</w:t>
                  </w:r>
                </w:p>
              </w:tc>
            </w:tr>
            <w:tr w14:paraId="748799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3AE0DF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1744" w:type="dxa"/>
                  <w:shd w:val="clear" w:color="auto" w:fill="auto"/>
                  <w:vAlign w:val="center"/>
                </w:tcPr>
                <w:p w14:paraId="675AA4E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598" w:type="dxa"/>
                  <w:shd w:val="clear" w:color="auto" w:fill="auto"/>
                  <w:vAlign w:val="center"/>
                </w:tcPr>
                <w:p w14:paraId="1B74380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3</w:t>
                  </w:r>
                </w:p>
              </w:tc>
              <w:tc>
                <w:tcPr>
                  <w:tcW w:w="963" w:type="dxa"/>
                  <w:vAlign w:val="center"/>
                </w:tcPr>
                <w:p w14:paraId="5495909F">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08DA132F">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311EA95F">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shd w:val="clear" w:color="auto" w:fill="auto"/>
                  <w:vAlign w:val="center"/>
                </w:tcPr>
                <w:p w14:paraId="00547D4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基本农田</w:t>
                  </w:r>
                </w:p>
              </w:tc>
              <w:tc>
                <w:tcPr>
                  <w:tcW w:w="1044" w:type="dxa"/>
                  <w:shd w:val="clear" w:color="auto" w:fill="auto"/>
                  <w:vAlign w:val="center"/>
                </w:tcPr>
                <w:p w14:paraId="4457BA0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0.00311</w:t>
                  </w:r>
                </w:p>
              </w:tc>
            </w:tr>
            <w:tr w14:paraId="7DF05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1120280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7</w:t>
                  </w:r>
                </w:p>
              </w:tc>
              <w:tc>
                <w:tcPr>
                  <w:tcW w:w="1744" w:type="dxa"/>
                  <w:shd w:val="clear" w:color="auto" w:fill="auto"/>
                  <w:vAlign w:val="center"/>
                </w:tcPr>
                <w:p w14:paraId="19AC001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598" w:type="dxa"/>
                  <w:shd w:val="clear" w:color="auto" w:fill="auto"/>
                  <w:vAlign w:val="center"/>
                </w:tcPr>
                <w:p w14:paraId="768C35A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3</w:t>
                  </w:r>
                </w:p>
              </w:tc>
              <w:tc>
                <w:tcPr>
                  <w:tcW w:w="963" w:type="dxa"/>
                  <w:vAlign w:val="center"/>
                </w:tcPr>
                <w:p w14:paraId="7BF2B2C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28C0C91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06F05B7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shd w:val="clear" w:color="auto" w:fill="auto"/>
                  <w:vAlign w:val="center"/>
                </w:tcPr>
                <w:p w14:paraId="4DF2B13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285468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0.00311</w:t>
                  </w:r>
                </w:p>
              </w:tc>
            </w:tr>
            <w:tr w14:paraId="0D7DF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078EA41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8</w:t>
                  </w:r>
                </w:p>
              </w:tc>
              <w:tc>
                <w:tcPr>
                  <w:tcW w:w="1744" w:type="dxa"/>
                  <w:shd w:val="clear" w:color="auto" w:fill="auto"/>
                  <w:vAlign w:val="center"/>
                </w:tcPr>
                <w:p w14:paraId="0639719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64C7EEB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651DF783">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49AD414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16AEB8E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shd w:val="clear" w:color="auto" w:fill="auto"/>
                  <w:vAlign w:val="center"/>
                </w:tcPr>
                <w:p w14:paraId="47F7796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7BF8A92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0.00236</w:t>
                  </w:r>
                </w:p>
              </w:tc>
            </w:tr>
            <w:tr w14:paraId="29935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3560064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9</w:t>
                  </w:r>
                </w:p>
              </w:tc>
              <w:tc>
                <w:tcPr>
                  <w:tcW w:w="1744" w:type="dxa"/>
                  <w:shd w:val="clear" w:color="auto" w:fill="auto"/>
                  <w:vAlign w:val="center"/>
                </w:tcPr>
                <w:p w14:paraId="3FDD8F6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598" w:type="dxa"/>
                  <w:shd w:val="clear" w:color="auto" w:fill="auto"/>
                  <w:vAlign w:val="center"/>
                </w:tcPr>
                <w:p w14:paraId="31D2884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4</w:t>
                  </w:r>
                  <w:r>
                    <w:rPr>
                      <w:rFonts w:ascii="Times New Roman" w:hAnsi="Times New Roman" w:cs="Times New Roman"/>
                      <w:color w:val="auto"/>
                      <w:sz w:val="18"/>
                      <w:szCs w:val="18"/>
                    </w:rPr>
                    <w:t>2</w:t>
                  </w:r>
                </w:p>
              </w:tc>
              <w:tc>
                <w:tcPr>
                  <w:tcW w:w="963" w:type="dxa"/>
                  <w:vAlign w:val="center"/>
                </w:tcPr>
                <w:p w14:paraId="74C2F849">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9.9</w:t>
                  </w:r>
                </w:p>
              </w:tc>
              <w:tc>
                <w:tcPr>
                  <w:tcW w:w="1427" w:type="dxa"/>
                  <w:vAlign w:val="center"/>
                </w:tcPr>
                <w:p w14:paraId="76BC095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shd w:val="clear" w:color="auto" w:fill="auto"/>
                  <w:vAlign w:val="center"/>
                </w:tcPr>
                <w:p w14:paraId="26BE71EC">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WK1280</w:t>
                  </w:r>
                </w:p>
              </w:tc>
              <w:tc>
                <w:tcPr>
                  <w:tcW w:w="1009" w:type="dxa"/>
                  <w:shd w:val="clear" w:color="auto" w:fill="auto"/>
                  <w:vAlign w:val="center"/>
                </w:tcPr>
                <w:p w14:paraId="73252A3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3D0BA9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0.0041</w:t>
                  </w:r>
                </w:p>
              </w:tc>
            </w:tr>
            <w:tr w14:paraId="06C09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13BAE2E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0</w:t>
                  </w:r>
                </w:p>
              </w:tc>
              <w:tc>
                <w:tcPr>
                  <w:tcW w:w="1744" w:type="dxa"/>
                  <w:shd w:val="clear" w:color="auto" w:fill="auto"/>
                  <w:vAlign w:val="center"/>
                </w:tcPr>
                <w:p w14:paraId="03A0017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2C65705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4A92F32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0287C2B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2D45B741">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shd w:val="clear" w:color="auto" w:fill="auto"/>
                  <w:vAlign w:val="center"/>
                </w:tcPr>
                <w:p w14:paraId="66940B1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587B217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0.00272</w:t>
                  </w:r>
                </w:p>
              </w:tc>
            </w:tr>
            <w:tr w14:paraId="1182F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652806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1</w:t>
                  </w:r>
                </w:p>
              </w:tc>
              <w:tc>
                <w:tcPr>
                  <w:tcW w:w="1744" w:type="dxa"/>
                  <w:shd w:val="clear" w:color="auto" w:fill="auto"/>
                  <w:vAlign w:val="center"/>
                </w:tcPr>
                <w:p w14:paraId="4615C77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3</w:t>
                  </w:r>
                </w:p>
              </w:tc>
              <w:tc>
                <w:tcPr>
                  <w:tcW w:w="598" w:type="dxa"/>
                  <w:shd w:val="clear" w:color="auto" w:fill="auto"/>
                  <w:vAlign w:val="center"/>
                </w:tcPr>
                <w:p w14:paraId="4C92E3D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3</w:t>
                  </w:r>
                </w:p>
              </w:tc>
              <w:tc>
                <w:tcPr>
                  <w:tcW w:w="963" w:type="dxa"/>
                  <w:vAlign w:val="center"/>
                </w:tcPr>
                <w:p w14:paraId="3A3BC2B7">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21A9B9E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074CA696">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shd w:val="clear" w:color="auto" w:fill="auto"/>
                  <w:vAlign w:val="center"/>
                </w:tcPr>
                <w:p w14:paraId="229F84A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5CB11BC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0.00311</w:t>
                  </w:r>
                </w:p>
              </w:tc>
            </w:tr>
            <w:tr w14:paraId="75D73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6820BEF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2</w:t>
                  </w:r>
                </w:p>
              </w:tc>
              <w:tc>
                <w:tcPr>
                  <w:tcW w:w="1744" w:type="dxa"/>
                  <w:shd w:val="clear" w:color="auto" w:fill="auto"/>
                  <w:vAlign w:val="center"/>
                </w:tcPr>
                <w:p w14:paraId="4B4AE2F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w:t>
                  </w:r>
                  <w:r>
                    <w:rPr>
                      <w:rFonts w:hint="eastAsia" w:ascii="Times New Roman" w:hAnsi="Times New Roman" w:cs="Times New Roman"/>
                      <w:color w:val="auto"/>
                      <w:spacing w:val="14"/>
                      <w:sz w:val="18"/>
                      <w:szCs w:val="18"/>
                    </w:rPr>
                    <w:t>48</w:t>
                  </w:r>
                </w:p>
              </w:tc>
              <w:tc>
                <w:tcPr>
                  <w:tcW w:w="598" w:type="dxa"/>
                  <w:shd w:val="clear" w:color="auto" w:fill="auto"/>
                  <w:vAlign w:val="center"/>
                </w:tcPr>
                <w:p w14:paraId="12F22AC0">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pacing w:val="9"/>
                      <w:sz w:val="18"/>
                      <w:szCs w:val="18"/>
                    </w:rPr>
                    <w:t>48</w:t>
                  </w:r>
                </w:p>
              </w:tc>
              <w:tc>
                <w:tcPr>
                  <w:tcW w:w="963" w:type="dxa"/>
                  <w:vAlign w:val="center"/>
                </w:tcPr>
                <w:p w14:paraId="6F5EB56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9.9</w:t>
                  </w:r>
                </w:p>
              </w:tc>
              <w:tc>
                <w:tcPr>
                  <w:tcW w:w="1427" w:type="dxa"/>
                  <w:vAlign w:val="center"/>
                </w:tcPr>
                <w:p w14:paraId="1F613BD5">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70411BF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shd w:val="clear" w:color="auto" w:fill="auto"/>
                  <w:vAlign w:val="center"/>
                </w:tcPr>
                <w:p w14:paraId="0CD9C3E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shd w:val="clear" w:color="auto" w:fill="auto"/>
                  <w:vAlign w:val="center"/>
                </w:tcPr>
                <w:p w14:paraId="193DE06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0.00385</w:t>
                  </w:r>
                </w:p>
              </w:tc>
            </w:tr>
            <w:tr w14:paraId="52B64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D8EB8A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3</w:t>
                  </w:r>
                </w:p>
              </w:tc>
              <w:tc>
                <w:tcPr>
                  <w:tcW w:w="1744" w:type="dxa"/>
                  <w:shd w:val="clear" w:color="auto" w:fill="auto"/>
                  <w:vAlign w:val="center"/>
                </w:tcPr>
                <w:p w14:paraId="474E5FA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24B7FE4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41A2D29E">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9.9</w:t>
                  </w:r>
                </w:p>
              </w:tc>
              <w:tc>
                <w:tcPr>
                  <w:tcW w:w="1427" w:type="dxa"/>
                  <w:vAlign w:val="center"/>
                </w:tcPr>
                <w:p w14:paraId="1E76D5A9">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4FEF7B33">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shd w:val="clear" w:color="auto" w:fill="auto"/>
                  <w:vAlign w:val="center"/>
                </w:tcPr>
                <w:p w14:paraId="31564652">
                  <w:pPr>
                    <w:kinsoku w:val="0"/>
                    <w:overflowPunct w:val="0"/>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公益林</w:t>
                  </w:r>
                </w:p>
              </w:tc>
              <w:tc>
                <w:tcPr>
                  <w:tcW w:w="1044" w:type="dxa"/>
                  <w:shd w:val="clear" w:color="auto" w:fill="auto"/>
                  <w:vAlign w:val="center"/>
                </w:tcPr>
                <w:p w14:paraId="55D475C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0.00264</w:t>
                  </w:r>
                </w:p>
              </w:tc>
            </w:tr>
            <w:tr w14:paraId="6F098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370BE1F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4</w:t>
                  </w:r>
                </w:p>
              </w:tc>
              <w:tc>
                <w:tcPr>
                  <w:tcW w:w="1744" w:type="dxa"/>
                  <w:shd w:val="clear" w:color="auto" w:fill="auto"/>
                  <w:vAlign w:val="center"/>
                </w:tcPr>
                <w:p w14:paraId="5DE8505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345E04E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15EDC9DD">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vAlign w:val="center"/>
                </w:tcPr>
                <w:p w14:paraId="5E65D78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04098739">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shd w:val="clear" w:color="auto" w:fill="auto"/>
                  <w:vAlign w:val="center"/>
                </w:tcPr>
                <w:p w14:paraId="7C9545E2">
                  <w:pPr>
                    <w:kinsoku w:val="0"/>
                    <w:overflowPunct w:val="0"/>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公益林</w:t>
                  </w:r>
                </w:p>
              </w:tc>
              <w:tc>
                <w:tcPr>
                  <w:tcW w:w="1044" w:type="dxa"/>
                  <w:shd w:val="clear" w:color="auto" w:fill="auto"/>
                  <w:vAlign w:val="center"/>
                </w:tcPr>
                <w:p w14:paraId="05A6E77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0.00416</w:t>
                  </w:r>
                </w:p>
              </w:tc>
            </w:tr>
            <w:tr w14:paraId="33A05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AE9585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5</w:t>
                  </w:r>
                </w:p>
              </w:tc>
              <w:tc>
                <w:tcPr>
                  <w:tcW w:w="1744" w:type="dxa"/>
                  <w:shd w:val="clear" w:color="auto" w:fill="auto"/>
                  <w:vAlign w:val="center"/>
                </w:tcPr>
                <w:p w14:paraId="44EEC6C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174C19C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5D85D98F">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72F81CD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337822ED">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shd w:val="clear" w:color="auto" w:fill="auto"/>
                  <w:vAlign w:val="center"/>
                </w:tcPr>
                <w:p w14:paraId="22E0B371">
                  <w:pPr>
                    <w:kinsoku w:val="0"/>
                    <w:overflowPunct w:val="0"/>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公益林</w:t>
                  </w:r>
                </w:p>
              </w:tc>
              <w:tc>
                <w:tcPr>
                  <w:tcW w:w="1044" w:type="dxa"/>
                  <w:shd w:val="clear" w:color="auto" w:fill="auto"/>
                  <w:vAlign w:val="center"/>
                </w:tcPr>
                <w:p w14:paraId="2150CB9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0.00291</w:t>
                  </w:r>
                </w:p>
              </w:tc>
            </w:tr>
            <w:tr w14:paraId="7DDBAF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2931872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6</w:t>
                  </w:r>
                </w:p>
              </w:tc>
              <w:tc>
                <w:tcPr>
                  <w:tcW w:w="1744" w:type="dxa"/>
                  <w:shd w:val="clear" w:color="auto" w:fill="auto"/>
                  <w:vAlign w:val="center"/>
                </w:tcPr>
                <w:p w14:paraId="6C198F7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2BA2CFC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200AF59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5F7B8C7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21C7EA47">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shd w:val="clear" w:color="auto" w:fill="auto"/>
                  <w:vAlign w:val="center"/>
                </w:tcPr>
                <w:p w14:paraId="0D7358BF">
                  <w:pPr>
                    <w:kinsoku w:val="0"/>
                    <w:overflowPunct w:val="0"/>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公益林</w:t>
                  </w:r>
                </w:p>
              </w:tc>
              <w:tc>
                <w:tcPr>
                  <w:tcW w:w="1044" w:type="dxa"/>
                  <w:shd w:val="clear" w:color="auto" w:fill="auto"/>
                  <w:vAlign w:val="center"/>
                </w:tcPr>
                <w:p w14:paraId="1D205EA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0.00291</w:t>
                  </w:r>
                </w:p>
              </w:tc>
            </w:tr>
            <w:tr w14:paraId="1744D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6FF4B08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7</w:t>
                  </w:r>
                </w:p>
              </w:tc>
              <w:tc>
                <w:tcPr>
                  <w:tcW w:w="1744" w:type="dxa"/>
                  <w:shd w:val="clear" w:color="auto" w:fill="auto"/>
                  <w:vAlign w:val="center"/>
                </w:tcPr>
                <w:p w14:paraId="19250F8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3DD1517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222FD8A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2097CAB3">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7A47FFCD">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shd w:val="clear" w:color="auto" w:fill="auto"/>
                  <w:vAlign w:val="center"/>
                </w:tcPr>
                <w:p w14:paraId="372D665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shd w:val="clear" w:color="auto" w:fill="auto"/>
                  <w:vAlign w:val="center"/>
                </w:tcPr>
                <w:p w14:paraId="63BAFB3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0.00291</w:t>
                  </w:r>
                </w:p>
              </w:tc>
            </w:tr>
            <w:tr w14:paraId="5ACC5E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47E114A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8</w:t>
                  </w:r>
                </w:p>
              </w:tc>
              <w:tc>
                <w:tcPr>
                  <w:tcW w:w="1744" w:type="dxa"/>
                  <w:shd w:val="clear" w:color="auto" w:fill="auto"/>
                  <w:vAlign w:val="center"/>
                </w:tcPr>
                <w:p w14:paraId="20E2888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2D9CD44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748764F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0939C0D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07A78885">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WK1280</w:t>
                  </w:r>
                </w:p>
              </w:tc>
              <w:tc>
                <w:tcPr>
                  <w:tcW w:w="1009" w:type="dxa"/>
                  <w:shd w:val="clear" w:color="auto" w:fill="auto"/>
                  <w:vAlign w:val="center"/>
                </w:tcPr>
                <w:p w14:paraId="412D015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shd w:val="clear" w:color="auto" w:fill="auto"/>
                  <w:vAlign w:val="center"/>
                </w:tcPr>
                <w:p w14:paraId="7698B10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0.00253</w:t>
                  </w:r>
                </w:p>
              </w:tc>
            </w:tr>
            <w:tr w14:paraId="1B9CF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6D569DA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4</w:t>
                  </w:r>
                  <w:r>
                    <w:rPr>
                      <w:rFonts w:ascii="Times New Roman" w:hAnsi="Times New Roman" w:cs="Times New Roman"/>
                      <w:color w:val="auto"/>
                      <w:sz w:val="18"/>
                      <w:szCs w:val="18"/>
                    </w:rPr>
                    <w:t>9</w:t>
                  </w:r>
                </w:p>
              </w:tc>
              <w:tc>
                <w:tcPr>
                  <w:tcW w:w="1744" w:type="dxa"/>
                  <w:shd w:val="clear" w:color="auto" w:fill="auto"/>
                  <w:vAlign w:val="center"/>
                </w:tcPr>
                <w:p w14:paraId="2EEAE9B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4</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051591A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2781DB5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11.4</w:t>
                  </w:r>
                </w:p>
              </w:tc>
              <w:tc>
                <w:tcPr>
                  <w:tcW w:w="1427" w:type="dxa"/>
                  <w:vAlign w:val="center"/>
                </w:tcPr>
                <w:p w14:paraId="3BC91F8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2DCB6658">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WK1290</w:t>
                  </w:r>
                </w:p>
              </w:tc>
              <w:tc>
                <w:tcPr>
                  <w:tcW w:w="1009" w:type="dxa"/>
                  <w:shd w:val="clear" w:color="auto" w:fill="auto"/>
                  <w:vAlign w:val="center"/>
                </w:tcPr>
                <w:p w14:paraId="6F2211D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shd w:val="clear" w:color="auto" w:fill="auto"/>
                  <w:vAlign w:val="center"/>
                </w:tcPr>
                <w:p w14:paraId="09123C3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0.00253</w:t>
                  </w:r>
                </w:p>
              </w:tc>
            </w:tr>
            <w:tr w14:paraId="3B2CA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703B1A2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0</w:t>
                  </w:r>
                </w:p>
              </w:tc>
              <w:tc>
                <w:tcPr>
                  <w:tcW w:w="1744" w:type="dxa"/>
                  <w:shd w:val="clear" w:color="auto" w:fill="auto"/>
                  <w:vAlign w:val="center"/>
                </w:tcPr>
                <w:p w14:paraId="26678DF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shd w:val="clear" w:color="auto" w:fill="auto"/>
                  <w:vAlign w:val="center"/>
                </w:tcPr>
                <w:p w14:paraId="6DBDBB9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vAlign w:val="center"/>
                </w:tcPr>
                <w:p w14:paraId="22D30DB7">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vAlign w:val="center"/>
                </w:tcPr>
                <w:p w14:paraId="15C1E83F">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4AF7664B">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shd w:val="clear" w:color="auto" w:fill="auto"/>
                  <w:vAlign w:val="center"/>
                </w:tcPr>
                <w:p w14:paraId="101C27F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2334C9C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0.00684</w:t>
                  </w:r>
                </w:p>
              </w:tc>
            </w:tr>
            <w:tr w14:paraId="04CEB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3A290CBC">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1</w:t>
                  </w:r>
                </w:p>
              </w:tc>
              <w:tc>
                <w:tcPr>
                  <w:tcW w:w="1744" w:type="dxa"/>
                  <w:shd w:val="clear" w:color="auto" w:fill="auto"/>
                  <w:vAlign w:val="center"/>
                </w:tcPr>
                <w:p w14:paraId="53DA67A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7CC860D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2E370D44">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11.1</w:t>
                  </w:r>
                </w:p>
              </w:tc>
              <w:tc>
                <w:tcPr>
                  <w:tcW w:w="1427" w:type="dxa"/>
                  <w:vAlign w:val="center"/>
                </w:tcPr>
                <w:p w14:paraId="1104AD5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7B7BA37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shd w:val="clear" w:color="auto" w:fill="auto"/>
                  <w:vAlign w:val="center"/>
                </w:tcPr>
                <w:p w14:paraId="513A446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一般草地</w:t>
                  </w:r>
                </w:p>
              </w:tc>
              <w:tc>
                <w:tcPr>
                  <w:tcW w:w="1044" w:type="dxa"/>
                  <w:shd w:val="clear" w:color="auto" w:fill="auto"/>
                  <w:vAlign w:val="center"/>
                </w:tcPr>
                <w:p w14:paraId="435DE95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0.00517</w:t>
                  </w:r>
                </w:p>
              </w:tc>
            </w:tr>
            <w:tr w14:paraId="65A8A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09E21E4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2</w:t>
                  </w:r>
                </w:p>
              </w:tc>
              <w:tc>
                <w:tcPr>
                  <w:tcW w:w="1744" w:type="dxa"/>
                  <w:shd w:val="clear" w:color="auto" w:fill="auto"/>
                  <w:vAlign w:val="center"/>
                </w:tcPr>
                <w:p w14:paraId="42B0334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3</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7CAD02E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1456959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10.4</w:t>
                  </w:r>
                </w:p>
              </w:tc>
              <w:tc>
                <w:tcPr>
                  <w:tcW w:w="1427" w:type="dxa"/>
                  <w:vAlign w:val="center"/>
                </w:tcPr>
                <w:p w14:paraId="58B5AAF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4C6D32F4">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TWZ1833</w:t>
                  </w:r>
                </w:p>
              </w:tc>
              <w:tc>
                <w:tcPr>
                  <w:tcW w:w="1009" w:type="dxa"/>
                  <w:shd w:val="clear" w:color="auto" w:fill="auto"/>
                  <w:vAlign w:val="center"/>
                </w:tcPr>
                <w:p w14:paraId="1448975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3FE23F7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0.00272</w:t>
                  </w:r>
                </w:p>
              </w:tc>
            </w:tr>
            <w:tr w14:paraId="3E65B6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124D21B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3</w:t>
                  </w:r>
                </w:p>
              </w:tc>
              <w:tc>
                <w:tcPr>
                  <w:tcW w:w="1744" w:type="dxa"/>
                  <w:shd w:val="clear" w:color="auto" w:fill="auto"/>
                  <w:vAlign w:val="center"/>
                </w:tcPr>
                <w:p w14:paraId="3412FC2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0</w:t>
                  </w:r>
                </w:p>
              </w:tc>
              <w:tc>
                <w:tcPr>
                  <w:tcW w:w="598" w:type="dxa"/>
                  <w:shd w:val="clear" w:color="auto" w:fill="auto"/>
                  <w:vAlign w:val="center"/>
                </w:tcPr>
                <w:p w14:paraId="575FAD5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0</w:t>
                  </w:r>
                </w:p>
              </w:tc>
              <w:tc>
                <w:tcPr>
                  <w:tcW w:w="963" w:type="dxa"/>
                  <w:vAlign w:val="center"/>
                </w:tcPr>
                <w:p w14:paraId="0C88FE21">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9.9</w:t>
                  </w:r>
                </w:p>
              </w:tc>
              <w:tc>
                <w:tcPr>
                  <w:tcW w:w="1427" w:type="dxa"/>
                  <w:vAlign w:val="center"/>
                </w:tcPr>
                <w:p w14:paraId="7E89FB92">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0E850A1A">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TWZ2033</w:t>
                  </w:r>
                </w:p>
              </w:tc>
              <w:tc>
                <w:tcPr>
                  <w:tcW w:w="1009" w:type="dxa"/>
                  <w:shd w:val="clear" w:color="auto" w:fill="auto"/>
                  <w:vAlign w:val="center"/>
                </w:tcPr>
                <w:p w14:paraId="20E136E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B03086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0.00264</w:t>
                  </w:r>
                </w:p>
              </w:tc>
            </w:tr>
            <w:tr w14:paraId="67292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F06D75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4</w:t>
                  </w:r>
                </w:p>
              </w:tc>
              <w:tc>
                <w:tcPr>
                  <w:tcW w:w="1744" w:type="dxa"/>
                  <w:shd w:val="clear" w:color="auto" w:fill="auto"/>
                  <w:vAlign w:val="center"/>
                </w:tcPr>
                <w:p w14:paraId="247FCF5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1Y</w:t>
                  </w:r>
                  <w:r>
                    <w:rPr>
                      <w:rFonts w:ascii="Times New Roman" w:hAnsi="Times New Roman" w:cs="Times New Roman"/>
                      <w:color w:val="auto"/>
                      <w:spacing w:val="12"/>
                      <w:sz w:val="18"/>
                      <w:szCs w:val="18"/>
                    </w:rPr>
                    <w:t>5</w:t>
                  </w:r>
                  <w:r>
                    <w:rPr>
                      <w:rFonts w:ascii="Times New Roman" w:hAnsi="Times New Roman" w:cs="Times New Roman"/>
                      <w:color w:val="auto"/>
                      <w:spacing w:val="14"/>
                      <w:sz w:val="18"/>
                      <w:szCs w:val="18"/>
                    </w:rPr>
                    <w:t>-Z</w:t>
                  </w:r>
                  <w:r>
                    <w:rPr>
                      <w:rFonts w:ascii="Times New Roman" w:hAnsi="Times New Roman" w:cs="Times New Roman"/>
                      <w:color w:val="auto"/>
                      <w:spacing w:val="12"/>
                      <w:sz w:val="18"/>
                      <w:szCs w:val="18"/>
                    </w:rPr>
                    <w:t>M</w:t>
                  </w:r>
                  <w:r>
                    <w:rPr>
                      <w:rFonts w:ascii="Times New Roman" w:hAnsi="Times New Roman" w:cs="Times New Roman"/>
                      <w:color w:val="auto"/>
                      <w:spacing w:val="14"/>
                      <w:sz w:val="18"/>
                      <w:szCs w:val="18"/>
                    </w:rPr>
                    <w:t>H</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-3</w:t>
                  </w:r>
                  <w:r>
                    <w:rPr>
                      <w:rFonts w:ascii="Times New Roman" w:hAnsi="Times New Roman" w:cs="Times New Roman"/>
                      <w:color w:val="auto"/>
                      <w:sz w:val="18"/>
                      <w:szCs w:val="18"/>
                    </w:rPr>
                    <w:t>6</w:t>
                  </w:r>
                </w:p>
              </w:tc>
              <w:tc>
                <w:tcPr>
                  <w:tcW w:w="598" w:type="dxa"/>
                  <w:shd w:val="clear" w:color="auto" w:fill="auto"/>
                  <w:vAlign w:val="center"/>
                </w:tcPr>
                <w:p w14:paraId="56411E6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3</w:t>
                  </w:r>
                  <w:r>
                    <w:rPr>
                      <w:rFonts w:ascii="Times New Roman" w:hAnsi="Times New Roman" w:cs="Times New Roman"/>
                      <w:color w:val="auto"/>
                      <w:sz w:val="18"/>
                      <w:szCs w:val="18"/>
                    </w:rPr>
                    <w:t>6</w:t>
                  </w:r>
                </w:p>
              </w:tc>
              <w:tc>
                <w:tcPr>
                  <w:tcW w:w="963" w:type="dxa"/>
                  <w:vAlign w:val="center"/>
                </w:tcPr>
                <w:p w14:paraId="1B39512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9.9</w:t>
                  </w:r>
                </w:p>
              </w:tc>
              <w:tc>
                <w:tcPr>
                  <w:tcW w:w="1427" w:type="dxa"/>
                  <w:vAlign w:val="center"/>
                </w:tcPr>
                <w:p w14:paraId="00EB344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单回路直线塔</w:t>
                  </w:r>
                </w:p>
              </w:tc>
              <w:tc>
                <w:tcPr>
                  <w:tcW w:w="979" w:type="dxa"/>
                  <w:vAlign w:val="center"/>
                </w:tcPr>
                <w:p w14:paraId="5A41BCAB">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TWZ2036</w:t>
                  </w:r>
                </w:p>
              </w:tc>
              <w:tc>
                <w:tcPr>
                  <w:tcW w:w="1009" w:type="dxa"/>
                  <w:shd w:val="clear" w:color="auto" w:fill="auto"/>
                  <w:vAlign w:val="center"/>
                </w:tcPr>
                <w:p w14:paraId="26EFD86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5A4D6BB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0.00343</w:t>
                  </w:r>
                </w:p>
              </w:tc>
            </w:tr>
            <w:tr w14:paraId="431A27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30B0A48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5</w:t>
                  </w:r>
                </w:p>
              </w:tc>
              <w:tc>
                <w:tcPr>
                  <w:tcW w:w="1744" w:type="dxa"/>
                  <w:shd w:val="clear" w:color="auto" w:fill="auto"/>
                  <w:vAlign w:val="center"/>
                </w:tcPr>
                <w:p w14:paraId="03A5CA5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0A4FE43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35F1DFF4">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vAlign w:val="center"/>
                </w:tcPr>
                <w:p w14:paraId="1B29574E">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1C06FFA3">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TWZ2242</w:t>
                  </w:r>
                </w:p>
              </w:tc>
              <w:tc>
                <w:tcPr>
                  <w:tcW w:w="1009" w:type="dxa"/>
                  <w:shd w:val="clear" w:color="auto" w:fill="auto"/>
                  <w:vAlign w:val="center"/>
                </w:tcPr>
                <w:p w14:paraId="5389E1D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6BA8BAFB">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0.00441</w:t>
                  </w:r>
                </w:p>
              </w:tc>
            </w:tr>
            <w:tr w14:paraId="330C46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5D7947A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6</w:t>
                  </w:r>
                </w:p>
              </w:tc>
              <w:tc>
                <w:tcPr>
                  <w:tcW w:w="1744" w:type="dxa"/>
                  <w:shd w:val="clear" w:color="auto" w:fill="auto"/>
                  <w:vAlign w:val="center"/>
                </w:tcPr>
                <w:p w14:paraId="10BE5B6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1</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71C59625">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441E02D3">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10</w:t>
                  </w:r>
                </w:p>
              </w:tc>
              <w:tc>
                <w:tcPr>
                  <w:tcW w:w="1427" w:type="dxa"/>
                  <w:vAlign w:val="center"/>
                </w:tcPr>
                <w:p w14:paraId="4E5F3C62">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单回路转角塔</w:t>
                  </w:r>
                </w:p>
              </w:tc>
              <w:tc>
                <w:tcPr>
                  <w:tcW w:w="979" w:type="dxa"/>
                  <w:vAlign w:val="center"/>
                </w:tcPr>
                <w:p w14:paraId="369C4C6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TWJ2245</w:t>
                  </w:r>
                </w:p>
              </w:tc>
              <w:tc>
                <w:tcPr>
                  <w:tcW w:w="1009" w:type="dxa"/>
                  <w:shd w:val="clear" w:color="auto" w:fill="auto"/>
                  <w:vAlign w:val="center"/>
                </w:tcPr>
                <w:p w14:paraId="252AD15F">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z w:val="18"/>
                      <w:szCs w:val="18"/>
                    </w:rPr>
                    <w:t>公益林</w:t>
                  </w:r>
                </w:p>
              </w:tc>
              <w:tc>
                <w:tcPr>
                  <w:tcW w:w="1044" w:type="dxa"/>
                  <w:shd w:val="clear" w:color="auto" w:fill="auto"/>
                  <w:vAlign w:val="center"/>
                </w:tcPr>
                <w:p w14:paraId="76AF02D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0.00416</w:t>
                  </w:r>
                </w:p>
              </w:tc>
            </w:tr>
            <w:tr w14:paraId="6BBEA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78F0BB6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7</w:t>
                  </w:r>
                </w:p>
              </w:tc>
              <w:tc>
                <w:tcPr>
                  <w:tcW w:w="1744" w:type="dxa"/>
                  <w:shd w:val="clear" w:color="auto" w:fill="auto"/>
                  <w:vAlign w:val="center"/>
                </w:tcPr>
                <w:p w14:paraId="46514AC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37AFC7A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6D8A62E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19.5</w:t>
                  </w:r>
                </w:p>
              </w:tc>
              <w:tc>
                <w:tcPr>
                  <w:tcW w:w="1427" w:type="dxa"/>
                  <w:vAlign w:val="center"/>
                </w:tcPr>
                <w:p w14:paraId="7101E61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双回路</w:t>
                  </w:r>
                  <w:r>
                    <w:rPr>
                      <w:rFonts w:ascii="Times New Roman" w:hAnsi="Times New Roman"/>
                      <w:color w:val="auto"/>
                      <w:kern w:val="0"/>
                      <w:sz w:val="18"/>
                      <w:szCs w:val="18"/>
                      <w:lang w:bidi="ar"/>
                    </w:rPr>
                    <w:t>转角塔</w:t>
                  </w:r>
                </w:p>
              </w:tc>
              <w:tc>
                <w:tcPr>
                  <w:tcW w:w="979" w:type="dxa"/>
                  <w:vAlign w:val="center"/>
                </w:tcPr>
                <w:p w14:paraId="70E562B6">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WK1070</w:t>
                  </w:r>
                </w:p>
              </w:tc>
              <w:tc>
                <w:tcPr>
                  <w:tcW w:w="1009" w:type="dxa"/>
                  <w:shd w:val="clear" w:color="auto" w:fill="auto"/>
                  <w:vAlign w:val="center"/>
                </w:tcPr>
                <w:p w14:paraId="2B08D64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一般耕地</w:t>
                  </w:r>
                </w:p>
              </w:tc>
              <w:tc>
                <w:tcPr>
                  <w:tcW w:w="1044" w:type="dxa"/>
                  <w:shd w:val="clear" w:color="auto" w:fill="auto"/>
                  <w:vAlign w:val="center"/>
                </w:tcPr>
                <w:p w14:paraId="0D114CD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0.0133</w:t>
                  </w:r>
                </w:p>
              </w:tc>
            </w:tr>
            <w:tr w14:paraId="4DB6E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0C841BE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8</w:t>
                  </w:r>
                </w:p>
              </w:tc>
              <w:tc>
                <w:tcPr>
                  <w:tcW w:w="1744" w:type="dxa"/>
                  <w:shd w:val="clear" w:color="auto" w:fill="auto"/>
                  <w:vAlign w:val="center"/>
                </w:tcPr>
                <w:p w14:paraId="4330047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4</w:t>
                  </w:r>
                </w:p>
              </w:tc>
              <w:tc>
                <w:tcPr>
                  <w:tcW w:w="598" w:type="dxa"/>
                  <w:shd w:val="clear" w:color="auto" w:fill="auto"/>
                  <w:vAlign w:val="center"/>
                </w:tcPr>
                <w:p w14:paraId="24288AB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4</w:t>
                  </w:r>
                </w:p>
              </w:tc>
              <w:tc>
                <w:tcPr>
                  <w:tcW w:w="963" w:type="dxa"/>
                  <w:vAlign w:val="center"/>
                </w:tcPr>
                <w:p w14:paraId="425DA85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18.6</w:t>
                  </w:r>
                </w:p>
              </w:tc>
              <w:tc>
                <w:tcPr>
                  <w:tcW w:w="1427" w:type="dxa"/>
                  <w:vAlign w:val="center"/>
                </w:tcPr>
                <w:p w14:paraId="1E106ECC">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双回路</w:t>
                  </w:r>
                  <w:r>
                    <w:rPr>
                      <w:rFonts w:ascii="Times New Roman" w:hAnsi="Times New Roman"/>
                      <w:color w:val="auto"/>
                      <w:kern w:val="0"/>
                      <w:sz w:val="18"/>
                      <w:szCs w:val="18"/>
                      <w:lang w:bidi="ar"/>
                    </w:rPr>
                    <w:t>转角塔</w:t>
                  </w:r>
                </w:p>
              </w:tc>
              <w:tc>
                <w:tcPr>
                  <w:tcW w:w="979" w:type="dxa"/>
                  <w:vAlign w:val="center"/>
                </w:tcPr>
                <w:p w14:paraId="7777436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WK1280</w:t>
                  </w:r>
                </w:p>
              </w:tc>
              <w:tc>
                <w:tcPr>
                  <w:tcW w:w="1009" w:type="dxa"/>
                  <w:shd w:val="clear" w:color="auto" w:fill="auto"/>
                  <w:vAlign w:val="center"/>
                </w:tcPr>
                <w:p w14:paraId="3560ADB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基本农田</w:t>
                  </w:r>
                </w:p>
              </w:tc>
              <w:tc>
                <w:tcPr>
                  <w:tcW w:w="1044" w:type="dxa"/>
                  <w:shd w:val="clear" w:color="auto" w:fill="auto"/>
                  <w:vAlign w:val="center"/>
                </w:tcPr>
                <w:p w14:paraId="58F5186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0.0133</w:t>
                  </w:r>
                </w:p>
              </w:tc>
            </w:tr>
            <w:tr w14:paraId="2623F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7D49A050">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5</w:t>
                  </w:r>
                  <w:r>
                    <w:rPr>
                      <w:rFonts w:ascii="Times New Roman" w:hAnsi="Times New Roman" w:cs="Times New Roman"/>
                      <w:color w:val="auto"/>
                      <w:sz w:val="18"/>
                      <w:szCs w:val="18"/>
                    </w:rPr>
                    <w:t>9</w:t>
                  </w:r>
                </w:p>
              </w:tc>
              <w:tc>
                <w:tcPr>
                  <w:tcW w:w="1744" w:type="dxa"/>
                  <w:shd w:val="clear" w:color="auto" w:fill="auto"/>
                  <w:vAlign w:val="center"/>
                </w:tcPr>
                <w:p w14:paraId="0C98158D">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4</w:t>
                  </w:r>
                </w:p>
              </w:tc>
              <w:tc>
                <w:tcPr>
                  <w:tcW w:w="598" w:type="dxa"/>
                  <w:shd w:val="clear" w:color="auto" w:fill="auto"/>
                  <w:vAlign w:val="center"/>
                </w:tcPr>
                <w:p w14:paraId="417F78B2">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4</w:t>
                  </w:r>
                </w:p>
              </w:tc>
              <w:tc>
                <w:tcPr>
                  <w:tcW w:w="963" w:type="dxa"/>
                  <w:vAlign w:val="center"/>
                </w:tcPr>
                <w:p w14:paraId="52462086">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14.7</w:t>
                  </w:r>
                </w:p>
              </w:tc>
              <w:tc>
                <w:tcPr>
                  <w:tcW w:w="1427" w:type="dxa"/>
                  <w:vAlign w:val="center"/>
                </w:tcPr>
                <w:p w14:paraId="675AA90B">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双回路</w:t>
                  </w:r>
                  <w:r>
                    <w:rPr>
                      <w:rFonts w:ascii="Times New Roman" w:hAnsi="Times New Roman"/>
                      <w:color w:val="auto"/>
                      <w:kern w:val="0"/>
                      <w:sz w:val="18"/>
                      <w:szCs w:val="18"/>
                      <w:lang w:bidi="ar"/>
                    </w:rPr>
                    <w:t>转角塔</w:t>
                  </w:r>
                </w:p>
              </w:tc>
              <w:tc>
                <w:tcPr>
                  <w:tcW w:w="979" w:type="dxa"/>
                  <w:vAlign w:val="center"/>
                </w:tcPr>
                <w:p w14:paraId="1C13E836">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WK1290</w:t>
                  </w:r>
                </w:p>
              </w:tc>
              <w:tc>
                <w:tcPr>
                  <w:tcW w:w="1009" w:type="dxa"/>
                  <w:shd w:val="clear" w:color="auto" w:fill="auto"/>
                  <w:vAlign w:val="center"/>
                </w:tcPr>
                <w:p w14:paraId="42C01198">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基本农田</w:t>
                  </w:r>
                </w:p>
              </w:tc>
              <w:tc>
                <w:tcPr>
                  <w:tcW w:w="1044" w:type="dxa"/>
                  <w:shd w:val="clear" w:color="auto" w:fill="auto"/>
                  <w:vAlign w:val="center"/>
                </w:tcPr>
                <w:p w14:paraId="5D6FD3F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0.00752</w:t>
                  </w:r>
                </w:p>
              </w:tc>
            </w:tr>
            <w:tr w14:paraId="7AD78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4DAA1703">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6</w:t>
                  </w:r>
                  <w:r>
                    <w:rPr>
                      <w:rFonts w:ascii="Times New Roman" w:hAnsi="Times New Roman" w:cs="Times New Roman"/>
                      <w:color w:val="auto"/>
                      <w:sz w:val="18"/>
                      <w:szCs w:val="18"/>
                    </w:rPr>
                    <w:t>0</w:t>
                  </w:r>
                </w:p>
              </w:tc>
              <w:tc>
                <w:tcPr>
                  <w:tcW w:w="1744" w:type="dxa"/>
                  <w:shd w:val="clear" w:color="auto" w:fill="auto"/>
                  <w:vAlign w:val="center"/>
                </w:tcPr>
                <w:p w14:paraId="1141B9E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-2</w:t>
                  </w:r>
                  <w:r>
                    <w:rPr>
                      <w:rFonts w:ascii="Times New Roman" w:hAnsi="Times New Roman" w:cs="Times New Roman"/>
                      <w:color w:val="auto"/>
                      <w:sz w:val="18"/>
                      <w:szCs w:val="18"/>
                    </w:rPr>
                    <w:t>7</w:t>
                  </w:r>
                </w:p>
              </w:tc>
              <w:tc>
                <w:tcPr>
                  <w:tcW w:w="598" w:type="dxa"/>
                  <w:shd w:val="clear" w:color="auto" w:fill="auto"/>
                  <w:vAlign w:val="center"/>
                </w:tcPr>
                <w:p w14:paraId="21860819">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2</w:t>
                  </w:r>
                  <w:r>
                    <w:rPr>
                      <w:rFonts w:ascii="Times New Roman" w:hAnsi="Times New Roman" w:cs="Times New Roman"/>
                      <w:color w:val="auto"/>
                      <w:sz w:val="18"/>
                      <w:szCs w:val="18"/>
                    </w:rPr>
                    <w:t>7</w:t>
                  </w:r>
                </w:p>
              </w:tc>
              <w:tc>
                <w:tcPr>
                  <w:tcW w:w="963" w:type="dxa"/>
                  <w:vAlign w:val="center"/>
                </w:tcPr>
                <w:p w14:paraId="2DF16280">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19.5</w:t>
                  </w:r>
                </w:p>
              </w:tc>
              <w:tc>
                <w:tcPr>
                  <w:tcW w:w="1427" w:type="dxa"/>
                  <w:vAlign w:val="center"/>
                </w:tcPr>
                <w:p w14:paraId="205CA3EA">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双回路</w:t>
                  </w:r>
                  <w:r>
                    <w:rPr>
                      <w:rFonts w:ascii="Times New Roman" w:hAnsi="Times New Roman"/>
                      <w:color w:val="auto"/>
                      <w:kern w:val="0"/>
                      <w:sz w:val="18"/>
                      <w:szCs w:val="18"/>
                      <w:lang w:bidi="ar"/>
                    </w:rPr>
                    <w:t>转角塔</w:t>
                  </w:r>
                </w:p>
              </w:tc>
              <w:tc>
                <w:tcPr>
                  <w:tcW w:w="979" w:type="dxa"/>
                  <w:vAlign w:val="center"/>
                </w:tcPr>
                <w:p w14:paraId="1D091290">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WK1295</w:t>
                  </w:r>
                </w:p>
              </w:tc>
              <w:tc>
                <w:tcPr>
                  <w:tcW w:w="1009" w:type="dxa"/>
                  <w:shd w:val="clear" w:color="auto" w:fill="auto"/>
                  <w:vAlign w:val="center"/>
                </w:tcPr>
                <w:p w14:paraId="0019EDE4">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7DC7F38E">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0.0133</w:t>
                  </w:r>
                </w:p>
              </w:tc>
            </w:tr>
            <w:tr w14:paraId="0189F8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shd w:val="clear" w:color="auto" w:fill="auto"/>
                  <w:vAlign w:val="center"/>
                </w:tcPr>
                <w:p w14:paraId="38DBAE5F">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pacing w:val="9"/>
                      <w:sz w:val="18"/>
                      <w:szCs w:val="18"/>
                    </w:rPr>
                    <w:t>N</w:t>
                  </w:r>
                  <w:r>
                    <w:rPr>
                      <w:rFonts w:ascii="Times New Roman" w:hAnsi="Times New Roman" w:cs="Times New Roman"/>
                      <w:color w:val="auto"/>
                      <w:spacing w:val="14"/>
                      <w:sz w:val="18"/>
                      <w:szCs w:val="18"/>
                    </w:rPr>
                    <w:t>6</w:t>
                  </w:r>
                  <w:r>
                    <w:rPr>
                      <w:rFonts w:ascii="Times New Roman" w:hAnsi="Times New Roman" w:cs="Times New Roman"/>
                      <w:color w:val="auto"/>
                      <w:sz w:val="18"/>
                      <w:szCs w:val="18"/>
                    </w:rPr>
                    <w:t>1</w:t>
                  </w:r>
                </w:p>
              </w:tc>
              <w:tc>
                <w:tcPr>
                  <w:tcW w:w="1744" w:type="dxa"/>
                  <w:shd w:val="clear" w:color="auto" w:fill="auto"/>
                  <w:vAlign w:val="center"/>
                </w:tcPr>
                <w:p w14:paraId="5EBD3E43">
                  <w:pPr>
                    <w:pStyle w:val="51"/>
                    <w:kinsoku w:val="0"/>
                    <w:overflowPunct w:val="0"/>
                    <w:autoSpaceDE/>
                    <w:autoSpaceDN/>
                    <w:adjustRightInd w:val="0"/>
                    <w:snapToGrid w:val="0"/>
                    <w:rPr>
                      <w:rFonts w:hint="eastAsia" w:ascii="Times New Roman" w:hAnsi="Times New Roman" w:eastAsia="宋体" w:cs="Times New Roman"/>
                      <w:color w:val="auto"/>
                      <w:sz w:val="18"/>
                      <w:szCs w:val="18"/>
                      <w:lang w:val="en-US" w:eastAsia="zh-CN"/>
                    </w:rPr>
                  </w:pPr>
                  <w:r>
                    <w:rPr>
                      <w:rFonts w:ascii="Times New Roman" w:hAnsi="Times New Roman" w:cs="Times New Roman"/>
                      <w:color w:val="auto"/>
                      <w:spacing w:val="9"/>
                      <w:sz w:val="18"/>
                      <w:szCs w:val="18"/>
                    </w:rPr>
                    <w:t>2</w:t>
                  </w:r>
                  <w:r>
                    <w:rPr>
                      <w:rFonts w:ascii="Times New Roman" w:hAnsi="Times New Roman" w:cs="Times New Roman"/>
                      <w:color w:val="auto"/>
                      <w:spacing w:val="14"/>
                      <w:sz w:val="18"/>
                      <w:szCs w:val="18"/>
                    </w:rPr>
                    <w:t>D</w:t>
                  </w:r>
                  <w:r>
                    <w:rPr>
                      <w:rFonts w:ascii="Times New Roman" w:hAnsi="Times New Roman" w:cs="Times New Roman"/>
                      <w:color w:val="auto"/>
                      <w:spacing w:val="12"/>
                      <w:sz w:val="18"/>
                      <w:szCs w:val="18"/>
                    </w:rPr>
                    <w:t>2</w:t>
                  </w:r>
                  <w:r>
                    <w:rPr>
                      <w:rFonts w:ascii="Times New Roman" w:hAnsi="Times New Roman" w:cs="Times New Roman"/>
                      <w:color w:val="auto"/>
                      <w:spacing w:val="14"/>
                      <w:sz w:val="18"/>
                      <w:szCs w:val="18"/>
                    </w:rPr>
                    <w:t>Y5</w:t>
                  </w:r>
                  <w:r>
                    <w:rPr>
                      <w:rFonts w:ascii="Times New Roman" w:hAnsi="Times New Roman" w:cs="Times New Roman"/>
                      <w:color w:val="auto"/>
                      <w:spacing w:val="12"/>
                      <w:sz w:val="18"/>
                      <w:szCs w:val="18"/>
                    </w:rPr>
                    <w:t>-</w:t>
                  </w:r>
                  <w:r>
                    <w:rPr>
                      <w:rFonts w:ascii="Times New Roman" w:hAnsi="Times New Roman" w:cs="Times New Roman"/>
                      <w:color w:val="auto"/>
                      <w:spacing w:val="14"/>
                      <w:sz w:val="18"/>
                      <w:szCs w:val="18"/>
                    </w:rPr>
                    <w:t>J</w:t>
                  </w:r>
                  <w:r>
                    <w:rPr>
                      <w:rFonts w:ascii="Times New Roman" w:hAnsi="Times New Roman" w:cs="Times New Roman"/>
                      <w:color w:val="auto"/>
                      <w:spacing w:val="12"/>
                      <w:sz w:val="18"/>
                      <w:szCs w:val="18"/>
                    </w:rPr>
                    <w:t>D</w:t>
                  </w:r>
                  <w:r>
                    <w:rPr>
                      <w:rFonts w:ascii="Times New Roman" w:hAnsi="Times New Roman" w:cs="Times New Roman"/>
                      <w:color w:val="auto"/>
                      <w:spacing w:val="14"/>
                      <w:sz w:val="18"/>
                      <w:szCs w:val="18"/>
                    </w:rPr>
                    <w:t>-3</w:t>
                  </w:r>
                  <w:r>
                    <w:rPr>
                      <w:rFonts w:hint="eastAsia" w:ascii="Times New Roman" w:hAnsi="Times New Roman" w:cs="Times New Roman"/>
                      <w:color w:val="auto"/>
                      <w:spacing w:val="14"/>
                      <w:sz w:val="18"/>
                      <w:szCs w:val="18"/>
                      <w:lang w:val="en-US" w:eastAsia="zh-CN"/>
                    </w:rPr>
                    <w:t>6</w:t>
                  </w:r>
                </w:p>
              </w:tc>
              <w:tc>
                <w:tcPr>
                  <w:tcW w:w="598" w:type="dxa"/>
                  <w:shd w:val="clear" w:color="auto" w:fill="auto"/>
                  <w:vAlign w:val="center"/>
                </w:tcPr>
                <w:p w14:paraId="1D0A82AF">
                  <w:pPr>
                    <w:pStyle w:val="51"/>
                    <w:kinsoku w:val="0"/>
                    <w:overflowPunct w:val="0"/>
                    <w:autoSpaceDE/>
                    <w:autoSpaceDN/>
                    <w:adjustRightInd w:val="0"/>
                    <w:snapToGrid w:val="0"/>
                    <w:rPr>
                      <w:rFonts w:ascii="Times New Roman" w:hAnsi="Times New Roman" w:cs="Times New Roman"/>
                      <w:color w:val="auto"/>
                      <w:sz w:val="18"/>
                      <w:szCs w:val="18"/>
                    </w:rPr>
                  </w:pPr>
                  <w:r>
                    <w:rPr>
                      <w:rFonts w:hint="eastAsia" w:ascii="Times New Roman" w:hAnsi="Times New Roman" w:cs="Times New Roman"/>
                      <w:color w:val="auto"/>
                      <w:spacing w:val="9"/>
                      <w:sz w:val="18"/>
                      <w:szCs w:val="18"/>
                    </w:rPr>
                    <w:t>36</w:t>
                  </w:r>
                </w:p>
              </w:tc>
              <w:tc>
                <w:tcPr>
                  <w:tcW w:w="963" w:type="dxa"/>
                  <w:vAlign w:val="center"/>
                </w:tcPr>
                <w:p w14:paraId="37442E18">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20</w:t>
                  </w:r>
                </w:p>
              </w:tc>
              <w:tc>
                <w:tcPr>
                  <w:tcW w:w="1427" w:type="dxa"/>
                  <w:vAlign w:val="center"/>
                </w:tcPr>
                <w:p w14:paraId="4DA9233D">
                  <w:pPr>
                    <w:widowControl/>
                    <w:adjustRightInd w:val="0"/>
                    <w:snapToGrid w:val="0"/>
                    <w:jc w:val="center"/>
                    <w:textAlignment w:val="center"/>
                    <w:rPr>
                      <w:rFonts w:ascii="Times New Roman" w:hAnsi="Times New Roman"/>
                      <w:color w:val="auto"/>
                      <w:kern w:val="0"/>
                      <w:sz w:val="18"/>
                      <w:szCs w:val="18"/>
                      <w:lang w:bidi="ar"/>
                    </w:rPr>
                  </w:pPr>
                  <w:r>
                    <w:rPr>
                      <w:rFonts w:hint="eastAsia" w:ascii="Times New Roman" w:hAnsi="Times New Roman"/>
                      <w:color w:val="auto"/>
                      <w:kern w:val="0"/>
                      <w:sz w:val="18"/>
                      <w:szCs w:val="18"/>
                      <w:lang w:bidi="ar"/>
                    </w:rPr>
                    <w:t>双回路</w:t>
                  </w:r>
                  <w:r>
                    <w:rPr>
                      <w:rFonts w:ascii="Times New Roman" w:hAnsi="Times New Roman"/>
                      <w:color w:val="auto"/>
                      <w:kern w:val="0"/>
                      <w:sz w:val="18"/>
                      <w:szCs w:val="18"/>
                      <w:lang w:bidi="ar"/>
                    </w:rPr>
                    <w:t>转角塔</w:t>
                  </w:r>
                </w:p>
              </w:tc>
              <w:tc>
                <w:tcPr>
                  <w:tcW w:w="979" w:type="dxa"/>
                  <w:vAlign w:val="center"/>
                </w:tcPr>
                <w:p w14:paraId="6CB9B0CD">
                  <w:pPr>
                    <w:widowControl/>
                    <w:adjustRightInd w:val="0"/>
                    <w:snapToGrid w:val="0"/>
                    <w:jc w:val="center"/>
                    <w:textAlignment w:val="center"/>
                    <w:rPr>
                      <w:rFonts w:ascii="Times New Roman" w:hAnsi="Times New Roman"/>
                      <w:color w:val="auto"/>
                      <w:kern w:val="0"/>
                      <w:sz w:val="18"/>
                      <w:szCs w:val="18"/>
                      <w:lang w:bidi="ar"/>
                    </w:rPr>
                  </w:pPr>
                  <w:r>
                    <w:rPr>
                      <w:rFonts w:ascii="Times New Roman" w:hAnsi="Times New Roman"/>
                      <w:color w:val="auto"/>
                      <w:kern w:val="0"/>
                      <w:sz w:val="18"/>
                      <w:szCs w:val="18"/>
                      <w:lang w:bidi="ar"/>
                    </w:rPr>
                    <w:t>WK16100</w:t>
                  </w:r>
                </w:p>
              </w:tc>
              <w:tc>
                <w:tcPr>
                  <w:tcW w:w="1009" w:type="dxa"/>
                  <w:shd w:val="clear" w:color="auto" w:fill="auto"/>
                  <w:vAlign w:val="center"/>
                </w:tcPr>
                <w:p w14:paraId="2AC099EA">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一般林地</w:t>
                  </w:r>
                </w:p>
              </w:tc>
              <w:tc>
                <w:tcPr>
                  <w:tcW w:w="1044" w:type="dxa"/>
                  <w:shd w:val="clear" w:color="auto" w:fill="auto"/>
                  <w:vAlign w:val="center"/>
                </w:tcPr>
                <w:p w14:paraId="39DD8026">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0.01545</w:t>
                  </w:r>
                </w:p>
              </w:tc>
            </w:tr>
            <w:tr w14:paraId="56BD6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gridSpan w:val="7"/>
                  <w:shd w:val="clear" w:color="auto" w:fill="auto"/>
                  <w:vAlign w:val="center"/>
                </w:tcPr>
                <w:p w14:paraId="2521CAD1">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合计</w:t>
                  </w:r>
                </w:p>
              </w:tc>
              <w:tc>
                <w:tcPr>
                  <w:tcW w:w="1044" w:type="dxa"/>
                  <w:shd w:val="clear" w:color="auto" w:fill="auto"/>
                  <w:vAlign w:val="center"/>
                </w:tcPr>
                <w:p w14:paraId="1C6E83A7">
                  <w:pPr>
                    <w:pStyle w:val="51"/>
                    <w:kinsoku w:val="0"/>
                    <w:overflowPunct w:val="0"/>
                    <w:autoSpaceDE/>
                    <w:autoSpaceDN/>
                    <w:adjustRightInd w:val="0"/>
                    <w:snapToGrid w:val="0"/>
                    <w:rPr>
                      <w:rFonts w:ascii="Times New Roman" w:hAnsi="Times New Roman" w:cs="Times New Roman"/>
                      <w:color w:val="auto"/>
                      <w:sz w:val="18"/>
                      <w:szCs w:val="18"/>
                    </w:rPr>
                  </w:pPr>
                  <w:r>
                    <w:rPr>
                      <w:rFonts w:ascii="Times New Roman" w:hAnsi="Times New Roman" w:cs="Times New Roman"/>
                      <w:color w:val="auto"/>
                      <w:sz w:val="18"/>
                      <w:szCs w:val="18"/>
                    </w:rPr>
                    <w:t>0.38</w:t>
                  </w:r>
                </w:p>
              </w:tc>
            </w:tr>
          </w:tbl>
          <w:p w14:paraId="3B1EF4AD">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2、光缆通信工程</w:t>
            </w:r>
          </w:p>
          <w:p w14:paraId="2D9D533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沿新建线路同步架设单回段架设2根24芯OPGW光缆，新建线路双回段架设2根48芯OPGW光缆（各预留24芯光缆作为备用通信通道），最终形成220kV六合村光伏升压站至500kV乐业变的2根24芯光缆，新建光缆路径长度约为2×22km。光纤通信工程对环境的影响较小。</w:t>
            </w:r>
          </w:p>
          <w:p w14:paraId="078EFC18">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3、公用工程</w:t>
            </w:r>
          </w:p>
          <w:p w14:paraId="1369C94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（1）供电</w:t>
            </w:r>
          </w:p>
          <w:p w14:paraId="5C5BC192">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线路工程施工过程中用电根据周边设施情况安排，周围已有用电用户区，可按照安全用电规定引接用于施工用电。</w:t>
            </w:r>
          </w:p>
          <w:p w14:paraId="471DE5E4">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（2）给排水</w:t>
            </w:r>
          </w:p>
          <w:p w14:paraId="61092C3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线路工程每个塔基施工用水量较少，施工过程中根据塔基周边水源情况确定取水方案，塔基附近有供水源的，可就近引用，如塔基附近无任何供水源，则采用水车就近输送水源来满足施工用水。施工期废水不外排；运营期无废水产生。</w:t>
            </w:r>
          </w:p>
          <w:p w14:paraId="37F28317">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4、临时工程</w:t>
            </w:r>
          </w:p>
          <w:p w14:paraId="6D9BD0E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（1）塔基施工场地</w:t>
            </w:r>
          </w:p>
          <w:p w14:paraId="0DAA6665">
            <w:pPr>
              <w:adjustRightInd w:val="0"/>
              <w:snapToGrid w:val="0"/>
              <w:spacing w:line="440" w:lineRule="exact"/>
              <w:ind w:firstLine="480" w:firstLineChars="200"/>
              <w:rPr>
                <w:rFonts w:ascii="Times New Roman" w:hAnsi="Times New Roman"/>
                <w:color w:val="auto"/>
              </w:rPr>
            </w:pPr>
            <w:r>
              <w:rPr>
                <w:rFonts w:ascii="Times New Roman" w:hAnsi="Times New Roman"/>
                <w:color w:val="auto"/>
                <w:sz w:val="24"/>
              </w:rPr>
              <w:t>塔基施工场地布置在塔基附近，用于进行塔材堆放、工具堆放等以及进行施工作业的场地</w:t>
            </w:r>
            <w:r>
              <w:rPr>
                <w:rFonts w:ascii="Times New Roman" w:hAnsi="Times New Roman"/>
                <w:color w:val="auto"/>
                <w:sz w:val="24"/>
                <w:szCs w:val="24"/>
              </w:rPr>
              <w:t>。按每个塔基施工临时占地30m</w:t>
            </w:r>
            <w:r>
              <w:rPr>
                <w:rFonts w:ascii="Times New Roman" w:hAnsi="Times New Roman"/>
                <w:color w:val="auto"/>
                <w:sz w:val="24"/>
                <w:szCs w:val="24"/>
                <w:vertAlign w:val="superscript"/>
              </w:rPr>
              <w:t>2</w:t>
            </w:r>
            <w:r>
              <w:rPr>
                <w:rFonts w:ascii="Times New Roman" w:hAnsi="Times New Roman"/>
                <w:color w:val="auto"/>
                <w:sz w:val="24"/>
                <w:szCs w:val="24"/>
              </w:rPr>
              <w:t>~60m</w:t>
            </w:r>
            <w:r>
              <w:rPr>
                <w:rFonts w:ascii="Times New Roman" w:hAnsi="Times New Roman"/>
                <w:color w:val="auto"/>
                <w:sz w:val="24"/>
                <w:szCs w:val="24"/>
                <w:vertAlign w:val="superscript"/>
              </w:rPr>
              <w:t>2</w:t>
            </w:r>
            <w:r>
              <w:rPr>
                <w:rFonts w:ascii="Times New Roman" w:hAnsi="Times New Roman"/>
                <w:color w:val="auto"/>
                <w:sz w:val="24"/>
                <w:szCs w:val="24"/>
              </w:rPr>
              <w:t>计算，共61基，由于N58号塔基、N59号塔基整基位于基本农田范围内，施工期间考虑优化施工工艺，不设置塔基施工场地，项目共设计塔基施工场地59个，塔基施工场地区总占地面积约0.20hm</w:t>
            </w:r>
            <w:r>
              <w:rPr>
                <w:rFonts w:ascii="Times New Roman" w:hAnsi="Times New Roman"/>
                <w:color w:val="auto"/>
                <w:sz w:val="24"/>
                <w:szCs w:val="24"/>
                <w:vertAlign w:val="superscript"/>
              </w:rPr>
              <w:t>2</w:t>
            </w:r>
            <w:r>
              <w:rPr>
                <w:rFonts w:ascii="Times New Roman" w:hAnsi="Times New Roman"/>
                <w:color w:val="auto"/>
                <w:sz w:val="24"/>
                <w:szCs w:val="24"/>
              </w:rPr>
              <w:t>。</w:t>
            </w:r>
          </w:p>
          <w:p w14:paraId="5D26EBF5">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（2）牵张场</w:t>
            </w:r>
          </w:p>
          <w:p w14:paraId="393709D8">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本项目沿线设置牵张场</w:t>
            </w:r>
            <w:r>
              <w:rPr>
                <w:rFonts w:hint="eastAsia" w:ascii="Times New Roman" w:hAnsi="Times New Roman"/>
                <w:color w:val="auto"/>
                <w:sz w:val="24"/>
              </w:rPr>
              <w:t>4</w:t>
            </w:r>
            <w:r>
              <w:rPr>
                <w:rFonts w:ascii="Times New Roman" w:hAnsi="Times New Roman"/>
                <w:color w:val="auto"/>
                <w:sz w:val="24"/>
              </w:rPr>
              <w:t>处，分别设置于塔基N</w:t>
            </w:r>
            <w:r>
              <w:rPr>
                <w:rFonts w:hint="eastAsia" w:ascii="Times New Roman" w:hAnsi="Times New Roman"/>
                <w:color w:val="auto"/>
                <w:sz w:val="24"/>
              </w:rPr>
              <w:t>1</w:t>
            </w:r>
            <w:r>
              <w:rPr>
                <w:rFonts w:ascii="Times New Roman" w:hAnsi="Times New Roman"/>
                <w:color w:val="auto"/>
                <w:sz w:val="24"/>
              </w:rPr>
              <w:t>、N</w:t>
            </w:r>
            <w:r>
              <w:rPr>
                <w:rFonts w:hint="eastAsia" w:ascii="Times New Roman" w:hAnsi="Times New Roman"/>
                <w:color w:val="auto"/>
                <w:sz w:val="24"/>
              </w:rPr>
              <w:t>12</w:t>
            </w:r>
            <w:r>
              <w:rPr>
                <w:rFonts w:ascii="Times New Roman" w:hAnsi="Times New Roman"/>
                <w:color w:val="auto"/>
                <w:sz w:val="24"/>
              </w:rPr>
              <w:t>、N</w:t>
            </w:r>
            <w:r>
              <w:rPr>
                <w:rFonts w:hint="eastAsia" w:ascii="Times New Roman" w:hAnsi="Times New Roman"/>
                <w:color w:val="auto"/>
                <w:sz w:val="24"/>
              </w:rPr>
              <w:t>30</w:t>
            </w:r>
            <w:r>
              <w:rPr>
                <w:rFonts w:ascii="Times New Roman" w:hAnsi="Times New Roman"/>
                <w:color w:val="auto"/>
                <w:sz w:val="24"/>
              </w:rPr>
              <w:t>、N</w:t>
            </w:r>
            <w:r>
              <w:rPr>
                <w:rFonts w:hint="eastAsia" w:ascii="Times New Roman" w:hAnsi="Times New Roman"/>
                <w:color w:val="auto"/>
                <w:sz w:val="24"/>
              </w:rPr>
              <w:t>50</w:t>
            </w:r>
            <w:r>
              <w:rPr>
                <w:rFonts w:ascii="Times New Roman" w:hAnsi="Times New Roman"/>
                <w:color w:val="auto"/>
                <w:sz w:val="24"/>
              </w:rPr>
              <w:t>处，每处牵张场占地约</w:t>
            </w:r>
            <w:r>
              <w:rPr>
                <w:rFonts w:hint="eastAsia" w:ascii="Times New Roman" w:hAnsi="Times New Roman"/>
                <w:color w:val="auto"/>
                <w:sz w:val="24"/>
              </w:rPr>
              <w:t>225</w:t>
            </w:r>
            <w:r>
              <w:rPr>
                <w:rFonts w:ascii="Times New Roman" w:hAnsi="Times New Roman"/>
                <w:color w:val="auto"/>
                <w:sz w:val="24"/>
              </w:rPr>
              <w:t>m</w:t>
            </w:r>
            <w:r>
              <w:rPr>
                <w:rFonts w:ascii="Times New Roman" w:hAnsi="Times New Roman"/>
                <w:color w:val="auto"/>
                <w:sz w:val="24"/>
                <w:vertAlign w:val="superscript"/>
              </w:rPr>
              <w:t>2</w:t>
            </w:r>
            <w:r>
              <w:rPr>
                <w:rFonts w:ascii="Times New Roman" w:hAnsi="Times New Roman"/>
                <w:color w:val="auto"/>
                <w:sz w:val="24"/>
              </w:rPr>
              <w:t>，总占地面积为0.</w:t>
            </w:r>
            <w:r>
              <w:rPr>
                <w:rFonts w:hint="eastAsia" w:ascii="Times New Roman" w:hAnsi="Times New Roman"/>
                <w:color w:val="auto"/>
                <w:sz w:val="24"/>
              </w:rPr>
              <w:t>09</w:t>
            </w:r>
            <w:r>
              <w:rPr>
                <w:rFonts w:ascii="Times New Roman" w:hAnsi="Times New Roman"/>
                <w:color w:val="auto"/>
                <w:sz w:val="24"/>
              </w:rPr>
              <w:t>hm</w:t>
            </w:r>
            <w:r>
              <w:rPr>
                <w:rFonts w:ascii="Times New Roman" w:hAnsi="Times New Roman"/>
                <w:color w:val="auto"/>
                <w:sz w:val="24"/>
                <w:vertAlign w:val="superscript"/>
              </w:rPr>
              <w:t>2</w:t>
            </w:r>
            <w:r>
              <w:rPr>
                <w:rFonts w:ascii="Times New Roman" w:hAnsi="Times New Roman"/>
                <w:color w:val="auto"/>
                <w:sz w:val="24"/>
              </w:rPr>
              <w:t>，全部为临时占地，选择地形平缓的场地。张力放线后尽快进行架设，一般以张力放线施工阶段做紧线段，以直线塔为紧线塔，紧线完毕后尽快进行附件安装。</w:t>
            </w:r>
          </w:p>
          <w:p w14:paraId="0F817645">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（3）跨越施工场地</w:t>
            </w:r>
          </w:p>
          <w:p w14:paraId="74A2DD86">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本线路对跨越35kV及以上线路</w:t>
            </w:r>
            <w:r>
              <w:rPr>
                <w:rFonts w:hint="eastAsia" w:ascii="Times New Roman" w:hAnsi="Times New Roman"/>
                <w:color w:val="auto"/>
                <w:sz w:val="24"/>
              </w:rPr>
              <w:t>及公路</w:t>
            </w:r>
            <w:r>
              <w:rPr>
                <w:rFonts w:ascii="Times New Roman" w:hAnsi="Times New Roman"/>
                <w:color w:val="auto"/>
                <w:sz w:val="24"/>
              </w:rPr>
              <w:t>设置跨越施工场地，设置跨越施工场地</w:t>
            </w:r>
            <w:r>
              <w:rPr>
                <w:rFonts w:hint="eastAsia" w:ascii="Times New Roman" w:hAnsi="Times New Roman"/>
                <w:color w:val="auto"/>
                <w:sz w:val="24"/>
              </w:rPr>
              <w:t>10处</w:t>
            </w:r>
            <w:r>
              <w:rPr>
                <w:rFonts w:ascii="Times New Roman" w:hAnsi="Times New Roman"/>
                <w:color w:val="auto"/>
                <w:sz w:val="24"/>
              </w:rPr>
              <w:t>，每处占地约</w:t>
            </w:r>
            <w:r>
              <w:rPr>
                <w:rFonts w:hint="eastAsia" w:ascii="Times New Roman" w:hAnsi="Times New Roman"/>
                <w:color w:val="auto"/>
                <w:sz w:val="24"/>
              </w:rPr>
              <w:t>30</w:t>
            </w:r>
            <w:r>
              <w:rPr>
                <w:rFonts w:ascii="Times New Roman" w:hAnsi="Times New Roman"/>
                <w:color w:val="auto"/>
                <w:sz w:val="24"/>
              </w:rPr>
              <w:t>m</w:t>
            </w:r>
            <w:r>
              <w:rPr>
                <w:rFonts w:ascii="Times New Roman" w:hAnsi="Times New Roman"/>
                <w:color w:val="auto"/>
                <w:sz w:val="24"/>
                <w:vertAlign w:val="superscript"/>
              </w:rPr>
              <w:t>2</w:t>
            </w:r>
            <w:r>
              <w:rPr>
                <w:rFonts w:ascii="Times New Roman" w:hAnsi="Times New Roman"/>
                <w:color w:val="auto"/>
                <w:sz w:val="24"/>
              </w:rPr>
              <w:t>，总占地面积为0.0</w:t>
            </w:r>
            <w:r>
              <w:rPr>
                <w:rFonts w:hint="eastAsia" w:ascii="Times New Roman" w:hAnsi="Times New Roman"/>
                <w:color w:val="auto"/>
                <w:sz w:val="24"/>
              </w:rPr>
              <w:t>3</w:t>
            </w:r>
            <w:r>
              <w:rPr>
                <w:rFonts w:ascii="Times New Roman" w:hAnsi="Times New Roman"/>
                <w:color w:val="auto"/>
                <w:sz w:val="24"/>
              </w:rPr>
              <w:t>hm</w:t>
            </w:r>
            <w:r>
              <w:rPr>
                <w:rFonts w:ascii="Times New Roman" w:hAnsi="Times New Roman"/>
                <w:color w:val="auto"/>
                <w:sz w:val="24"/>
                <w:vertAlign w:val="superscript"/>
              </w:rPr>
              <w:t>2</w:t>
            </w:r>
            <w:r>
              <w:rPr>
                <w:rFonts w:ascii="Times New Roman" w:hAnsi="Times New Roman"/>
                <w:color w:val="auto"/>
                <w:sz w:val="24"/>
              </w:rPr>
              <w:t>。</w:t>
            </w:r>
          </w:p>
          <w:p w14:paraId="2719612E">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（4）人抬道路</w:t>
            </w:r>
          </w:p>
          <w:p w14:paraId="13B1F329">
            <w:pPr>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rPr>
              <w:t>工程沿线周边有高速、国道以及乡村道路等，基本满足工程需要，塔基施工区可利用现有村道、机耕道等将铁塔组件及其基础施工材料运抵铁塔附近或铁塔附近的山脚处，再通过人抬的方式运至铁塔下部施工场地内，需人抬道路约</w:t>
            </w:r>
            <w:r>
              <w:rPr>
                <w:rFonts w:hint="eastAsia" w:ascii="Times New Roman" w:hAnsi="Times New Roman"/>
                <w:color w:val="auto"/>
                <w:sz w:val="24"/>
              </w:rPr>
              <w:t>1450</w:t>
            </w:r>
            <w:r>
              <w:rPr>
                <w:rFonts w:ascii="Times New Roman" w:hAnsi="Times New Roman"/>
                <w:color w:val="auto"/>
                <w:sz w:val="24"/>
              </w:rPr>
              <w:t>m，宽1</w:t>
            </w:r>
            <w:r>
              <w:rPr>
                <w:rFonts w:hint="eastAsia" w:ascii="Times New Roman" w:hAnsi="Times New Roman"/>
                <w:color w:val="auto"/>
                <w:sz w:val="24"/>
              </w:rPr>
              <w:t>.5</w:t>
            </w:r>
            <w:r>
              <w:rPr>
                <w:rFonts w:ascii="Times New Roman" w:hAnsi="Times New Roman"/>
                <w:color w:val="auto"/>
                <w:sz w:val="24"/>
              </w:rPr>
              <w:t>m，总占地面积为</w:t>
            </w:r>
            <w:r>
              <w:rPr>
                <w:rFonts w:hint="eastAsia" w:ascii="Times New Roman" w:hAnsi="Times New Roman"/>
                <w:color w:val="auto"/>
                <w:sz w:val="24"/>
              </w:rPr>
              <w:t>0.22</w:t>
            </w:r>
            <w:r>
              <w:rPr>
                <w:rFonts w:ascii="Times New Roman" w:hAnsi="Times New Roman"/>
                <w:color w:val="auto"/>
                <w:sz w:val="24"/>
              </w:rPr>
              <w:t>hm</w:t>
            </w:r>
            <w:r>
              <w:rPr>
                <w:rFonts w:ascii="Times New Roman" w:hAnsi="Times New Roman"/>
                <w:color w:val="auto"/>
                <w:sz w:val="24"/>
                <w:vertAlign w:val="superscript"/>
              </w:rPr>
              <w:t>2</w:t>
            </w:r>
            <w:r>
              <w:rPr>
                <w:rFonts w:ascii="Times New Roman" w:hAnsi="Times New Roman"/>
                <w:color w:val="auto"/>
                <w:sz w:val="24"/>
              </w:rPr>
              <w:t>。</w:t>
            </w:r>
          </w:p>
          <w:p w14:paraId="2CCA3061">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5、依托工程</w:t>
            </w:r>
          </w:p>
          <w:p w14:paraId="63AED3D3">
            <w:pPr>
              <w:adjustRightInd w:val="0"/>
              <w:snapToGrid w:val="0"/>
              <w:spacing w:line="440" w:lineRule="exact"/>
              <w:ind w:firstLine="482" w:firstLineChars="200"/>
              <w:rPr>
                <w:rFonts w:ascii="Times New Roman" w:hAnsi="Times New Roman"/>
                <w:b/>
                <w:bCs/>
                <w:color w:val="auto"/>
                <w:sz w:val="24"/>
              </w:rPr>
            </w:pPr>
            <w:r>
              <w:rPr>
                <w:rFonts w:ascii="Times New Roman" w:hAnsi="Times New Roman"/>
                <w:b/>
                <w:bCs/>
                <w:color w:val="auto"/>
                <w:sz w:val="24"/>
              </w:rPr>
              <w:t>（1）</w:t>
            </w:r>
            <w:r>
              <w:rPr>
                <w:rFonts w:hint="eastAsia" w:ascii="Times New Roman" w:hAnsi="Times New Roman"/>
                <w:b/>
                <w:bCs/>
                <w:color w:val="auto"/>
                <w:sz w:val="24"/>
              </w:rPr>
              <w:t>220kV六合一光伏升压站</w:t>
            </w:r>
          </w:p>
          <w:p w14:paraId="450136A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220kV六合一升压站位于会泽县乐业镇六合村西面山包上，由</w:t>
            </w:r>
            <w:r>
              <w:rPr>
                <w:rFonts w:hint="eastAsia" w:ascii="Times New Roman" w:hAnsi="Times New Roman"/>
                <w:color w:val="auto"/>
                <w:sz w:val="24"/>
                <w:szCs w:val="24"/>
              </w:rPr>
              <w:t>云南华电道成清洁能源有限公司</w:t>
            </w:r>
            <w:r>
              <w:rPr>
                <w:rFonts w:ascii="Times New Roman" w:hAnsi="Times New Roman"/>
                <w:color w:val="auto"/>
                <w:sz w:val="24"/>
                <w:szCs w:val="24"/>
              </w:rPr>
              <w:t>负责投资建设及运行管理，预计2026年12月投产，占地1.158hm</w:t>
            </w:r>
            <w:r>
              <w:rPr>
                <w:rFonts w:ascii="Times New Roman" w:hAnsi="Times New Roman"/>
                <w:color w:val="auto"/>
                <w:sz w:val="24"/>
                <w:szCs w:val="24"/>
                <w:vertAlign w:val="superscript"/>
              </w:rPr>
              <w:t>2</w:t>
            </w:r>
            <w:r>
              <w:rPr>
                <w:rFonts w:ascii="Times New Roman" w:hAnsi="Times New Roman"/>
                <w:color w:val="auto"/>
                <w:sz w:val="24"/>
                <w:szCs w:val="24"/>
              </w:rPr>
              <w:t>。</w:t>
            </w:r>
          </w:p>
          <w:p w14:paraId="5A9A2E7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①升压站概况</w:t>
            </w:r>
          </w:p>
          <w:p w14:paraId="67F61D04">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乐业镇六合村一期光伏项目（复合型光伏发电项目）环境影响报告表》，新建1座220kV六合一升压站，1#主变压器容量240MVA，2#主变压器容量240MVA，3#主变压器容量280MVA；220kV六合一伏电站规划220kV出线间隔2个，位于升压站东北面，自西北向东南分别是500kV乐业变、备用，面对升压站从左到右相序为A、B、C110kV出线间隔1个，位于升压站东北角，为大草房光伏（本项目使用）；35kV仅作站用变和无功补偿装置用，不出线。</w:t>
            </w:r>
          </w:p>
          <w:p w14:paraId="67C417B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升压站220kV侧采用双母线接线，220kV侧终期出线2回。本期建成1回，预留1回；#1、#2主变35kV侧采用单母线扩大单元、两段母线接线，35kVⅠ、Ⅲ段母线各预留1个35kV间隔至系统，#2主变35kVⅣ段母线预留1段35kV试验母线供实证基地使用；#3主变110kV侧采用线变组接线，35kV侧采用单母线接线，本期一次建成。六合村一期光伏升压站35kV每段母线各装设1组SVG动态无功补偿装置</w:t>
            </w:r>
            <w:r>
              <w:rPr>
                <w:rFonts w:hint="eastAsia" w:ascii="Times New Roman" w:hAnsi="Times New Roman"/>
                <w:color w:val="auto"/>
                <w:sz w:val="24"/>
                <w:szCs w:val="24"/>
              </w:rPr>
              <w:t>，35kV每段母线各预留1个间隔作为无源滤波装置接入。</w:t>
            </w:r>
          </w:p>
          <w:p w14:paraId="68CEAB95">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22</w:t>
            </w:r>
            <w:r>
              <w:rPr>
                <w:rFonts w:ascii="Times New Roman" w:hAnsi="Times New Roman"/>
                <w:color w:val="auto"/>
                <w:sz w:val="24"/>
                <w:szCs w:val="24"/>
              </w:rPr>
              <w:t>0kV</w:t>
            </w:r>
            <w:r>
              <w:rPr>
                <w:rFonts w:hint="eastAsia" w:ascii="Times New Roman" w:hAnsi="Times New Roman"/>
                <w:color w:val="auto"/>
                <w:sz w:val="24"/>
                <w:szCs w:val="24"/>
              </w:rPr>
              <w:t>六合一升压站</w:t>
            </w:r>
            <w:r>
              <w:rPr>
                <w:rFonts w:ascii="Times New Roman" w:hAnsi="Times New Roman"/>
                <w:color w:val="auto"/>
                <w:sz w:val="24"/>
                <w:szCs w:val="24"/>
              </w:rPr>
              <w:t>配套建设同步布置</w:t>
            </w:r>
            <w:r>
              <w:rPr>
                <w:rFonts w:hint="eastAsia" w:ascii="Times New Roman" w:hAnsi="Times New Roman"/>
                <w:color w:val="auto"/>
                <w:sz w:val="24"/>
                <w:szCs w:val="24"/>
              </w:rPr>
              <w:t>主综合楼（2F）</w:t>
            </w:r>
            <w:r>
              <w:rPr>
                <w:rFonts w:ascii="Times New Roman" w:hAnsi="Times New Roman"/>
                <w:color w:val="auto"/>
                <w:sz w:val="24"/>
                <w:szCs w:val="24"/>
              </w:rPr>
              <w:t>地上</w:t>
            </w:r>
            <w:r>
              <w:rPr>
                <w:rFonts w:hint="eastAsia" w:ascii="Times New Roman" w:hAnsi="Times New Roman"/>
                <w:color w:val="auto"/>
                <w:sz w:val="24"/>
                <w:szCs w:val="24"/>
              </w:rPr>
              <w:t>2</w:t>
            </w:r>
            <w:r>
              <w:rPr>
                <w:rFonts w:ascii="Times New Roman" w:hAnsi="Times New Roman"/>
                <w:color w:val="auto"/>
                <w:sz w:val="24"/>
                <w:szCs w:val="24"/>
              </w:rPr>
              <w:t>层</w:t>
            </w:r>
            <w:r>
              <w:rPr>
                <w:rFonts w:hint="eastAsia" w:ascii="Times New Roman" w:hAnsi="Times New Roman"/>
                <w:color w:val="auto"/>
                <w:sz w:val="24"/>
                <w:szCs w:val="24"/>
              </w:rPr>
              <w:t>钢筋混凝土框架结构，建筑</w:t>
            </w:r>
            <w:r>
              <w:rPr>
                <w:rFonts w:ascii="Times New Roman" w:hAnsi="Times New Roman"/>
                <w:color w:val="auto"/>
                <w:sz w:val="24"/>
                <w:szCs w:val="24"/>
              </w:rPr>
              <w:t>面积1166.74m</w:t>
            </w:r>
            <w:r>
              <w:rPr>
                <w:rFonts w:ascii="Times New Roman" w:hAnsi="Times New Roman"/>
                <w:color w:val="auto"/>
                <w:sz w:val="24"/>
                <w:szCs w:val="24"/>
                <w:vertAlign w:val="superscript"/>
              </w:rPr>
              <w:t>2</w:t>
            </w:r>
            <w:r>
              <w:rPr>
                <w:rFonts w:ascii="Times New Roman" w:hAnsi="Times New Roman"/>
                <w:color w:val="auto"/>
                <w:sz w:val="24"/>
                <w:szCs w:val="24"/>
              </w:rPr>
              <w:t>，</w:t>
            </w:r>
            <w:r>
              <w:rPr>
                <w:rFonts w:hint="eastAsia" w:ascii="Times New Roman" w:hAnsi="Times New Roman"/>
                <w:color w:val="auto"/>
                <w:sz w:val="24"/>
                <w:szCs w:val="24"/>
              </w:rPr>
              <w:t>占地</w:t>
            </w:r>
            <w:r>
              <w:rPr>
                <w:rFonts w:ascii="Times New Roman" w:hAnsi="Times New Roman"/>
                <w:color w:val="auto"/>
                <w:sz w:val="24"/>
                <w:szCs w:val="24"/>
              </w:rPr>
              <w:t>583.37m</w:t>
            </w:r>
            <w:r>
              <w:rPr>
                <w:rFonts w:ascii="Times New Roman" w:hAnsi="Times New Roman"/>
                <w:color w:val="auto"/>
                <w:sz w:val="24"/>
                <w:szCs w:val="24"/>
                <w:vertAlign w:val="superscript"/>
              </w:rPr>
              <w:t>2</w:t>
            </w:r>
            <w:r>
              <w:rPr>
                <w:rFonts w:hint="eastAsia" w:ascii="Times New Roman" w:hAnsi="Times New Roman"/>
                <w:color w:val="auto"/>
                <w:sz w:val="24"/>
                <w:szCs w:val="24"/>
              </w:rPr>
              <w:t>。以</w:t>
            </w:r>
            <w:r>
              <w:rPr>
                <w:rFonts w:ascii="Times New Roman" w:hAnsi="Times New Roman"/>
                <w:color w:val="auto"/>
                <w:sz w:val="24"/>
                <w:szCs w:val="24"/>
              </w:rPr>
              <w:t>生活功能</w:t>
            </w:r>
            <w:r>
              <w:rPr>
                <w:rFonts w:hint="eastAsia" w:ascii="Times New Roman" w:hAnsi="Times New Roman"/>
                <w:color w:val="auto"/>
                <w:sz w:val="24"/>
                <w:szCs w:val="24"/>
              </w:rPr>
              <w:t>为主</w:t>
            </w:r>
            <w:r>
              <w:rPr>
                <w:rFonts w:ascii="Times New Roman" w:hAnsi="Times New Roman"/>
                <w:color w:val="auto"/>
                <w:sz w:val="24"/>
                <w:szCs w:val="24"/>
              </w:rPr>
              <w:t>。含</w:t>
            </w:r>
            <w:r>
              <w:rPr>
                <w:rFonts w:hint="eastAsia" w:ascii="Times New Roman" w:hAnsi="Times New Roman"/>
                <w:color w:val="auto"/>
                <w:sz w:val="24"/>
                <w:szCs w:val="24"/>
              </w:rPr>
              <w:t>继保室、中控室、办公室、</w:t>
            </w:r>
            <w:r>
              <w:rPr>
                <w:rFonts w:ascii="Times New Roman" w:hAnsi="Times New Roman"/>
                <w:color w:val="auto"/>
                <w:sz w:val="24"/>
                <w:szCs w:val="24"/>
              </w:rPr>
              <w:t>宿舍、</w:t>
            </w:r>
            <w:r>
              <w:rPr>
                <w:rFonts w:hint="eastAsia" w:ascii="Times New Roman" w:hAnsi="Times New Roman"/>
                <w:color w:val="auto"/>
                <w:sz w:val="24"/>
                <w:szCs w:val="24"/>
              </w:rPr>
              <w:t>餐厅、厨房、会议室</w:t>
            </w:r>
            <w:r>
              <w:rPr>
                <w:rFonts w:ascii="Times New Roman" w:hAnsi="Times New Roman"/>
                <w:color w:val="auto"/>
                <w:sz w:val="24"/>
                <w:szCs w:val="24"/>
              </w:rPr>
              <w:t>等。升压站区在每台主变压器下方设置10m</w:t>
            </w:r>
            <w:r>
              <w:rPr>
                <w:rFonts w:ascii="Times New Roman" w:hAnsi="Times New Roman"/>
                <w:color w:val="auto"/>
                <w:sz w:val="24"/>
                <w:szCs w:val="24"/>
                <w:vertAlign w:val="superscript"/>
              </w:rPr>
              <w:t>3</w:t>
            </w:r>
            <w:r>
              <w:rPr>
                <w:rFonts w:ascii="Times New Roman" w:hAnsi="Times New Roman"/>
                <w:color w:val="auto"/>
                <w:sz w:val="24"/>
                <w:szCs w:val="24"/>
              </w:rPr>
              <w:t>事故油坑，在升压站主变压器附近</w:t>
            </w:r>
            <w:r>
              <w:rPr>
                <w:rFonts w:hint="eastAsia" w:ascii="Times New Roman" w:hAnsi="Times New Roman"/>
                <w:color w:val="auto"/>
                <w:sz w:val="24"/>
                <w:szCs w:val="24"/>
              </w:rPr>
              <w:t>设置</w:t>
            </w:r>
            <w:r>
              <w:rPr>
                <w:rFonts w:ascii="Times New Roman" w:hAnsi="Times New Roman"/>
                <w:color w:val="auto"/>
                <w:sz w:val="24"/>
                <w:szCs w:val="24"/>
              </w:rPr>
              <w:t>1个事故油池，钢筋混凝土结构并进行防渗处理，容积不低于47m</w:t>
            </w:r>
            <w:r>
              <w:rPr>
                <w:rFonts w:ascii="Times New Roman" w:hAnsi="Times New Roman"/>
                <w:color w:val="auto"/>
                <w:sz w:val="24"/>
                <w:szCs w:val="24"/>
                <w:vertAlign w:val="superscript"/>
              </w:rPr>
              <w:t>3</w:t>
            </w:r>
            <w:r>
              <w:rPr>
                <w:rFonts w:ascii="Times New Roman" w:hAnsi="Times New Roman"/>
                <w:color w:val="auto"/>
                <w:sz w:val="24"/>
                <w:szCs w:val="24"/>
              </w:rPr>
              <w:t>。一体化污水处理站（处理能力为</w:t>
            </w:r>
            <w:r>
              <w:rPr>
                <w:rFonts w:hint="eastAsia" w:ascii="Times New Roman" w:hAnsi="Times New Roman"/>
                <w:color w:val="auto"/>
                <w:sz w:val="24"/>
                <w:szCs w:val="24"/>
              </w:rPr>
              <w:t>2</w:t>
            </w:r>
            <w:r>
              <w:rPr>
                <w:rFonts w:ascii="Times New Roman" w:hAnsi="Times New Roman"/>
                <w:color w:val="auto"/>
                <w:sz w:val="24"/>
                <w:szCs w:val="24"/>
              </w:rPr>
              <w:t>m</w:t>
            </w:r>
            <w:r>
              <w:rPr>
                <w:rFonts w:ascii="Times New Roman" w:hAnsi="Times New Roman"/>
                <w:color w:val="auto"/>
                <w:sz w:val="24"/>
                <w:szCs w:val="24"/>
                <w:vertAlign w:val="superscript"/>
              </w:rPr>
              <w:t>3</w:t>
            </w:r>
            <w:r>
              <w:rPr>
                <w:rFonts w:ascii="Times New Roman" w:hAnsi="Times New Roman"/>
                <w:color w:val="auto"/>
                <w:sz w:val="24"/>
                <w:szCs w:val="24"/>
              </w:rPr>
              <w:t>/d</w:t>
            </w:r>
            <w:r>
              <w:rPr>
                <w:rFonts w:hint="eastAsia" w:ascii="Times New Roman" w:hAnsi="Times New Roman"/>
                <w:color w:val="auto"/>
                <w:sz w:val="24"/>
                <w:szCs w:val="24"/>
              </w:rPr>
              <w:t>，采用“MBR”工艺，配套化粪池及回用水池</w:t>
            </w:r>
            <w:r>
              <w:rPr>
                <w:rFonts w:ascii="Times New Roman" w:hAnsi="Times New Roman"/>
                <w:color w:val="auto"/>
                <w:sz w:val="24"/>
                <w:szCs w:val="24"/>
              </w:rPr>
              <w:t>）及危废暂存间（1间</w:t>
            </w:r>
            <w:r>
              <w:rPr>
                <w:rFonts w:hint="eastAsia" w:ascii="Times New Roman" w:hAnsi="Times New Roman"/>
                <w:color w:val="auto"/>
                <w:sz w:val="24"/>
                <w:szCs w:val="24"/>
              </w:rPr>
              <w:t>20</w:t>
            </w:r>
            <w:r>
              <w:rPr>
                <w:rFonts w:ascii="Times New Roman" w:hAnsi="Times New Roman"/>
                <w:color w:val="auto"/>
                <w:sz w:val="24"/>
                <w:szCs w:val="24"/>
              </w:rPr>
              <w:t>m</w:t>
            </w:r>
            <w:r>
              <w:rPr>
                <w:rFonts w:ascii="Times New Roman" w:hAnsi="Times New Roman"/>
                <w:color w:val="auto"/>
                <w:sz w:val="24"/>
                <w:szCs w:val="24"/>
                <w:vertAlign w:val="superscript"/>
              </w:rPr>
              <w:t>2</w:t>
            </w:r>
            <w:r>
              <w:rPr>
                <w:rFonts w:ascii="Times New Roman" w:hAnsi="Times New Roman"/>
                <w:color w:val="auto"/>
                <w:sz w:val="24"/>
                <w:szCs w:val="24"/>
              </w:rPr>
              <w:t>）等。</w:t>
            </w:r>
          </w:p>
          <w:p w14:paraId="5B9966BE">
            <w:pPr>
              <w:pStyle w:val="15"/>
              <w:adjustRightInd w:val="0"/>
              <w:snapToGrid w:val="0"/>
              <w:spacing w:line="240" w:lineRule="auto"/>
              <w:jc w:val="center"/>
              <w:rPr>
                <w:rFonts w:ascii="Times New Roman" w:hAnsi="Times New Roman"/>
                <w:b/>
                <w:bCs/>
                <w:color w:val="auto"/>
                <w:sz w:val="24"/>
              </w:rPr>
            </w:pPr>
            <w:r>
              <w:rPr>
                <w:color w:val="auto"/>
              </w:rPr>
              <w:object>
                <v:shape id="_x0000_i1026" o:spt="75" type="#_x0000_t75" style="height:267pt;width:429pt;" o:ole="t" filled="f" o:preferrelative="t" stroked="f" coordsize="21600,21600">
                  <v:path/>
                  <v:fill on="f" focussize="0,0"/>
                  <v:stroke on="f" joinstyle="miter"/>
                  <v:imagedata r:id="rId22" o:title=""/>
                  <o:lock v:ext="edit" aspectratio="f"/>
                  <w10:wrap type="none"/>
                  <w10:anchorlock/>
                </v:shape>
                <o:OLEObject Type="Embed" ProgID="Visio.Drawing.15" ShapeID="_x0000_i1026" DrawAspect="Content" ObjectID="_1468075726" r:id="rId21">
                  <o:LockedField>false</o:LockedField>
                </o:OLEObject>
              </w:object>
            </w:r>
            <w:r>
              <w:rPr>
                <w:rFonts w:ascii="Times New Roman" w:hAnsi="Times New Roman"/>
                <w:b/>
                <w:bCs/>
                <w:color w:val="auto"/>
                <w:sz w:val="24"/>
              </w:rPr>
              <w:t>图2-1  220kV</w:t>
            </w:r>
            <w:r>
              <w:rPr>
                <w:rFonts w:hint="eastAsia" w:ascii="Times New Roman" w:hAnsi="Times New Roman"/>
                <w:b/>
                <w:bCs/>
                <w:color w:val="auto"/>
                <w:sz w:val="24"/>
              </w:rPr>
              <w:t>六合一</w:t>
            </w:r>
            <w:r>
              <w:rPr>
                <w:rFonts w:ascii="Times New Roman" w:hAnsi="Times New Roman"/>
                <w:b/>
                <w:bCs/>
                <w:color w:val="auto"/>
                <w:sz w:val="24"/>
              </w:rPr>
              <w:t>升压站电气主接线示意图</w:t>
            </w:r>
          </w:p>
          <w:p w14:paraId="27076B4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②环保手续履行情况</w:t>
            </w:r>
          </w:p>
          <w:p w14:paraId="62AB5DFB">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乐业镇六合村一期光伏项目（复合型光伏发电项目）由云南六方合源环保科技有限公司于2022年8月编制完成《乐业镇六合村一期光伏项目（复合型光伏发电项目）环境影响报告表》（报批稿），于2022年8月25日取得曲靖市生态环境局关于乐业镇六合村一期光伏项目（复合型光伏发电项目）环境影响报告表的批复（曲环审〔2022〕44号）。</w:t>
            </w:r>
            <w:r>
              <w:rPr>
                <w:rFonts w:ascii="Times New Roman" w:hAnsi="Times New Roman"/>
                <w:color w:val="auto"/>
                <w:sz w:val="24"/>
                <w:szCs w:val="24"/>
              </w:rPr>
              <w:t>目前，</w:t>
            </w:r>
            <w:r>
              <w:rPr>
                <w:rFonts w:hint="eastAsia" w:ascii="Times New Roman" w:hAnsi="Times New Roman"/>
                <w:color w:val="auto"/>
                <w:sz w:val="24"/>
                <w:szCs w:val="24"/>
              </w:rPr>
              <w:t>22</w:t>
            </w:r>
            <w:r>
              <w:rPr>
                <w:rFonts w:ascii="Times New Roman" w:hAnsi="Times New Roman"/>
                <w:color w:val="auto"/>
                <w:sz w:val="24"/>
                <w:szCs w:val="24"/>
              </w:rPr>
              <w:t>0kV</w:t>
            </w:r>
            <w:r>
              <w:rPr>
                <w:rFonts w:hint="eastAsia" w:ascii="Times New Roman" w:hAnsi="Times New Roman"/>
                <w:color w:val="auto"/>
                <w:sz w:val="24"/>
                <w:szCs w:val="24"/>
              </w:rPr>
              <w:t>六合一升压站</w:t>
            </w:r>
            <w:r>
              <w:rPr>
                <w:rFonts w:ascii="Times New Roman" w:hAnsi="Times New Roman"/>
                <w:color w:val="auto"/>
                <w:sz w:val="24"/>
                <w:szCs w:val="24"/>
              </w:rPr>
              <w:t>正在建设中，未完工，未开展竣工环保验收工作。</w:t>
            </w:r>
          </w:p>
          <w:p w14:paraId="6341423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③环保措施</w:t>
            </w:r>
          </w:p>
          <w:p w14:paraId="5995541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1）废水措施</w:t>
            </w:r>
          </w:p>
          <w:p w14:paraId="50C83E6A">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升压站</w:t>
            </w:r>
            <w:r>
              <w:rPr>
                <w:rFonts w:ascii="Times New Roman" w:hAnsi="Times New Roman"/>
                <w:color w:val="auto"/>
                <w:sz w:val="24"/>
                <w:szCs w:val="24"/>
              </w:rPr>
              <w:t>采用雨污分流制排水系统，站内设置雨水口收集地面雨水排入雨水管道，最后排向站外冲沟。站区生活污水经地埋式一体化设施处理后回用绿化</w:t>
            </w:r>
            <w:r>
              <w:rPr>
                <w:rFonts w:hint="eastAsia" w:ascii="Times New Roman" w:hAnsi="Times New Roman"/>
                <w:color w:val="auto"/>
                <w:sz w:val="24"/>
                <w:szCs w:val="24"/>
              </w:rPr>
              <w:t>、道路洒水降尘</w:t>
            </w:r>
            <w:r>
              <w:rPr>
                <w:rFonts w:ascii="Times New Roman" w:hAnsi="Times New Roman"/>
                <w:color w:val="auto"/>
                <w:sz w:val="24"/>
                <w:szCs w:val="24"/>
              </w:rPr>
              <w:t>，</w:t>
            </w:r>
            <w:r>
              <w:rPr>
                <w:rFonts w:hint="eastAsia" w:ascii="Times New Roman" w:hAnsi="Times New Roman"/>
                <w:color w:val="auto"/>
                <w:sz w:val="24"/>
                <w:szCs w:val="24"/>
              </w:rPr>
              <w:t>不外排。</w:t>
            </w:r>
            <w:r>
              <w:rPr>
                <w:rFonts w:ascii="Times New Roman" w:hAnsi="Times New Roman"/>
                <w:color w:val="auto"/>
                <w:sz w:val="24"/>
                <w:szCs w:val="24"/>
              </w:rPr>
              <w:t>处理规模为</w:t>
            </w:r>
            <w:r>
              <w:rPr>
                <w:rFonts w:hint="eastAsia" w:ascii="Times New Roman" w:hAnsi="Times New Roman"/>
                <w:color w:val="auto"/>
                <w:sz w:val="24"/>
                <w:szCs w:val="24"/>
              </w:rPr>
              <w:t>2</w:t>
            </w:r>
            <w:r>
              <w:rPr>
                <w:rFonts w:ascii="Times New Roman" w:hAnsi="Times New Roman"/>
                <w:color w:val="auto"/>
                <w:sz w:val="24"/>
                <w:szCs w:val="24"/>
              </w:rPr>
              <w:t>m</w:t>
            </w:r>
            <w:r>
              <w:rPr>
                <w:rFonts w:ascii="Times New Roman" w:hAnsi="Times New Roman"/>
                <w:color w:val="auto"/>
                <w:sz w:val="24"/>
                <w:szCs w:val="24"/>
                <w:vertAlign w:val="superscript"/>
              </w:rPr>
              <w:t>3</w:t>
            </w:r>
            <w:r>
              <w:rPr>
                <w:rFonts w:ascii="Times New Roman" w:hAnsi="Times New Roman"/>
                <w:color w:val="auto"/>
                <w:sz w:val="24"/>
                <w:szCs w:val="24"/>
              </w:rPr>
              <w:t>/d，推荐采用“</w:t>
            </w:r>
            <w:r>
              <w:rPr>
                <w:rFonts w:hint="eastAsia" w:ascii="Times New Roman" w:hAnsi="Times New Roman"/>
                <w:color w:val="auto"/>
                <w:sz w:val="24"/>
                <w:szCs w:val="24"/>
              </w:rPr>
              <w:t>MBR</w:t>
            </w:r>
            <w:r>
              <w:rPr>
                <w:rFonts w:ascii="Times New Roman" w:hAnsi="Times New Roman"/>
                <w:color w:val="auto"/>
                <w:sz w:val="24"/>
                <w:szCs w:val="24"/>
              </w:rPr>
              <w:t>”工艺，配套化粪池及回用水池</w:t>
            </w:r>
            <w:r>
              <w:rPr>
                <w:rFonts w:hint="eastAsia" w:ascii="Times New Roman" w:hAnsi="Times New Roman"/>
                <w:color w:val="auto"/>
                <w:sz w:val="24"/>
                <w:szCs w:val="24"/>
              </w:rPr>
              <w:t>。</w:t>
            </w:r>
          </w:p>
          <w:p w14:paraId="2D0F419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2）固废措施</w:t>
            </w:r>
          </w:p>
          <w:p w14:paraId="3D54634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生活垃圾通过垃圾箱统一收集后，定期清运至当地垃圾收集点</w:t>
            </w:r>
            <w:r>
              <w:rPr>
                <w:rFonts w:hint="eastAsia" w:ascii="Times New Roman" w:hAnsi="Times New Roman"/>
                <w:color w:val="auto"/>
                <w:sz w:val="24"/>
                <w:szCs w:val="24"/>
              </w:rPr>
              <w:t>；在巡维楼1层设1间危废暂存间（面积20m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），用于暂存危险废物（废蓄电池）</w:t>
            </w:r>
            <w:r>
              <w:rPr>
                <w:rFonts w:ascii="Times New Roman" w:hAnsi="Times New Roman"/>
                <w:color w:val="auto"/>
                <w:sz w:val="24"/>
                <w:szCs w:val="24"/>
              </w:rPr>
              <w:t>。</w:t>
            </w:r>
          </w:p>
          <w:p w14:paraId="697236D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3）环境风险</w:t>
            </w:r>
          </w:p>
          <w:p w14:paraId="5DAEED4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升压站区在每台主变压器下方设置10m</w:t>
            </w:r>
            <w:r>
              <w:rPr>
                <w:rFonts w:ascii="Times New Roman" w:hAnsi="Times New Roman"/>
                <w:color w:val="auto"/>
                <w:sz w:val="24"/>
                <w:szCs w:val="24"/>
                <w:vertAlign w:val="superscript"/>
              </w:rPr>
              <w:t>3</w:t>
            </w:r>
            <w:r>
              <w:rPr>
                <w:rFonts w:ascii="Times New Roman" w:hAnsi="Times New Roman"/>
                <w:color w:val="auto"/>
                <w:sz w:val="24"/>
                <w:szCs w:val="24"/>
              </w:rPr>
              <w:t>事故油坑，在升压站主变压器附近</w:t>
            </w:r>
            <w:r>
              <w:rPr>
                <w:rFonts w:hint="eastAsia" w:ascii="Times New Roman" w:hAnsi="Times New Roman"/>
                <w:color w:val="auto"/>
                <w:sz w:val="24"/>
                <w:szCs w:val="24"/>
              </w:rPr>
              <w:t>设置</w:t>
            </w:r>
            <w:r>
              <w:rPr>
                <w:rFonts w:ascii="Times New Roman" w:hAnsi="Times New Roman"/>
                <w:color w:val="auto"/>
                <w:sz w:val="24"/>
                <w:szCs w:val="24"/>
              </w:rPr>
              <w:t>1个事故油池，钢筋混凝土结构并进行防渗处理，容积不低于47m</w:t>
            </w:r>
            <w:r>
              <w:rPr>
                <w:rFonts w:ascii="Times New Roman" w:hAnsi="Times New Roman"/>
                <w:color w:val="auto"/>
                <w:sz w:val="24"/>
                <w:szCs w:val="24"/>
                <w:vertAlign w:val="superscript"/>
              </w:rPr>
              <w:t>3</w:t>
            </w:r>
            <w:r>
              <w:rPr>
                <w:rFonts w:ascii="Times New Roman" w:hAnsi="Times New Roman"/>
                <w:color w:val="auto"/>
                <w:sz w:val="24"/>
                <w:szCs w:val="24"/>
              </w:rPr>
              <w:t>。48台箱式变压器下方均设置1座3m</w:t>
            </w:r>
            <w:r>
              <w:rPr>
                <w:rFonts w:ascii="Times New Roman" w:hAnsi="Times New Roman"/>
                <w:color w:val="auto"/>
                <w:sz w:val="24"/>
                <w:szCs w:val="24"/>
                <w:vertAlign w:val="superscript"/>
              </w:rPr>
              <w:t>3</w:t>
            </w:r>
            <w:r>
              <w:rPr>
                <w:rFonts w:ascii="Times New Roman" w:hAnsi="Times New Roman"/>
                <w:color w:val="auto"/>
                <w:sz w:val="24"/>
                <w:szCs w:val="24"/>
              </w:rPr>
              <w:t>的地埋式事故油池</w:t>
            </w:r>
            <w:r>
              <w:rPr>
                <w:rFonts w:hint="eastAsia" w:ascii="Times New Roman" w:hAnsi="Times New Roman"/>
                <w:color w:val="auto"/>
                <w:sz w:val="24"/>
                <w:szCs w:val="24"/>
              </w:rPr>
              <w:t>，若发生事故排油，事故油经集油坑进入事故油池，经油水分离后，大部分绝缘油回用，少部分废油由有相应危废处理资质的单位回收处置，不外排。集油坑及事故油池已满足设计及环保上事故排油的容积需求。</w:t>
            </w:r>
          </w:p>
          <w:p w14:paraId="1AD2DEA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④本工程依托220kV</w:t>
            </w:r>
            <w:r>
              <w:rPr>
                <w:rFonts w:hint="eastAsia" w:ascii="Times New Roman" w:hAnsi="Times New Roman"/>
                <w:color w:val="auto"/>
                <w:sz w:val="24"/>
                <w:szCs w:val="24"/>
              </w:rPr>
              <w:t>六合一</w:t>
            </w:r>
            <w:r>
              <w:rPr>
                <w:rFonts w:ascii="Times New Roman" w:hAnsi="Times New Roman"/>
                <w:color w:val="auto"/>
                <w:sz w:val="24"/>
                <w:szCs w:val="24"/>
              </w:rPr>
              <w:t>升压站间隔架构情况</w:t>
            </w:r>
          </w:p>
          <w:p w14:paraId="26B5205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本工程依托220kV</w:t>
            </w:r>
            <w:r>
              <w:rPr>
                <w:rFonts w:hint="eastAsia" w:ascii="Times New Roman" w:hAnsi="Times New Roman"/>
                <w:color w:val="auto"/>
                <w:sz w:val="24"/>
                <w:szCs w:val="24"/>
              </w:rPr>
              <w:t>六合一伏升压站规划</w:t>
            </w:r>
            <w:r>
              <w:rPr>
                <w:rFonts w:ascii="Times New Roman" w:hAnsi="Times New Roman"/>
                <w:color w:val="auto"/>
                <w:sz w:val="24"/>
                <w:szCs w:val="24"/>
              </w:rPr>
              <w:t>220kV</w:t>
            </w:r>
            <w:r>
              <w:rPr>
                <w:rFonts w:hint="eastAsia" w:ascii="Times New Roman" w:hAnsi="Times New Roman"/>
                <w:color w:val="auto"/>
                <w:sz w:val="24"/>
                <w:szCs w:val="24"/>
              </w:rPr>
              <w:t>出线间隔</w:t>
            </w:r>
            <w:r>
              <w:rPr>
                <w:rFonts w:ascii="Times New Roman" w:hAnsi="Times New Roman"/>
                <w:color w:val="auto"/>
                <w:sz w:val="24"/>
                <w:szCs w:val="24"/>
              </w:rPr>
              <w:t>2</w:t>
            </w:r>
            <w:r>
              <w:rPr>
                <w:rFonts w:hint="eastAsia" w:ascii="Times New Roman" w:hAnsi="Times New Roman"/>
                <w:color w:val="auto"/>
                <w:sz w:val="24"/>
                <w:szCs w:val="24"/>
              </w:rPr>
              <w:t>个，位于升压站东北面，自西北向东南分别是</w:t>
            </w:r>
            <w:r>
              <w:rPr>
                <w:rFonts w:ascii="Times New Roman" w:hAnsi="Times New Roman"/>
                <w:color w:val="auto"/>
                <w:sz w:val="24"/>
                <w:szCs w:val="24"/>
              </w:rPr>
              <w:t>500kV</w:t>
            </w:r>
            <w:r>
              <w:rPr>
                <w:rFonts w:hint="eastAsia" w:ascii="Times New Roman" w:hAnsi="Times New Roman"/>
                <w:color w:val="auto"/>
                <w:sz w:val="24"/>
                <w:szCs w:val="24"/>
              </w:rPr>
              <w:t>乐业变、备用，本次接入500kV乐业变，使用间隔相序面对升压站从左到右相序为</w:t>
            </w:r>
            <w:r>
              <w:rPr>
                <w:rFonts w:ascii="Times New Roman" w:hAnsi="Times New Roman"/>
                <w:color w:val="auto"/>
                <w:sz w:val="24"/>
                <w:szCs w:val="24"/>
              </w:rPr>
              <w:t>A</w:t>
            </w:r>
            <w:r>
              <w:rPr>
                <w:rFonts w:hint="eastAsia" w:ascii="Times New Roman" w:hAnsi="Times New Roman"/>
                <w:color w:val="auto"/>
                <w:sz w:val="24"/>
                <w:szCs w:val="24"/>
              </w:rPr>
              <w:t>、</w:t>
            </w:r>
            <w:r>
              <w:rPr>
                <w:rFonts w:ascii="Times New Roman" w:hAnsi="Times New Roman"/>
                <w:color w:val="auto"/>
                <w:sz w:val="24"/>
                <w:szCs w:val="24"/>
              </w:rPr>
              <w:t>B</w:t>
            </w:r>
            <w:r>
              <w:rPr>
                <w:rFonts w:hint="eastAsia" w:ascii="Times New Roman" w:hAnsi="Times New Roman"/>
                <w:color w:val="auto"/>
                <w:sz w:val="24"/>
                <w:szCs w:val="24"/>
              </w:rPr>
              <w:t>、</w:t>
            </w:r>
            <w:r>
              <w:rPr>
                <w:rFonts w:ascii="Times New Roman" w:hAnsi="Times New Roman"/>
                <w:color w:val="auto"/>
                <w:sz w:val="24"/>
                <w:szCs w:val="24"/>
              </w:rPr>
              <w:t>C</w:t>
            </w:r>
            <w:r>
              <w:rPr>
                <w:rFonts w:hint="eastAsia" w:ascii="Times New Roman" w:hAnsi="Times New Roman"/>
                <w:color w:val="auto"/>
                <w:sz w:val="24"/>
                <w:szCs w:val="24"/>
              </w:rPr>
              <w:t>。</w:t>
            </w:r>
          </w:p>
          <w:p w14:paraId="0DA65165">
            <w:pPr>
              <w:adjustRightInd w:val="0"/>
              <w:snapToGrid w:val="0"/>
              <w:spacing w:line="440" w:lineRule="exact"/>
              <w:ind w:firstLine="480" w:firstLineChars="200"/>
              <w:rPr>
                <w:rFonts w:ascii="Times New Roman" w:hAnsi="Times New Roman"/>
                <w:color w:val="auto"/>
                <w:sz w:val="24"/>
                <w:szCs w:val="24"/>
              </w:rPr>
            </w:pPr>
          </w:p>
          <w:p w14:paraId="408D547A">
            <w:pPr>
              <w:adjustRightInd w:val="0"/>
              <w:snapToGrid w:val="0"/>
              <w:spacing w:line="440" w:lineRule="exact"/>
              <w:ind w:firstLine="480" w:firstLineChars="200"/>
              <w:rPr>
                <w:rFonts w:ascii="Times New Roman" w:hAnsi="Times New Roman"/>
                <w:color w:val="auto"/>
                <w:sz w:val="24"/>
                <w:szCs w:val="24"/>
              </w:rPr>
            </w:pPr>
          </w:p>
          <w:p w14:paraId="08EE9C6C">
            <w:pPr>
              <w:adjustRightInd w:val="0"/>
              <w:snapToGrid w:val="0"/>
              <w:spacing w:line="440" w:lineRule="exact"/>
              <w:ind w:firstLine="480" w:firstLineChars="200"/>
              <w:rPr>
                <w:rFonts w:ascii="Times New Roman" w:hAnsi="Times New Roman"/>
                <w:color w:val="auto"/>
                <w:sz w:val="24"/>
                <w:szCs w:val="24"/>
              </w:rPr>
            </w:pPr>
          </w:p>
          <w:p w14:paraId="44F39561">
            <w:pPr>
              <w:adjustRightInd w:val="0"/>
              <w:snapToGrid w:val="0"/>
              <w:spacing w:line="440" w:lineRule="exact"/>
              <w:ind w:firstLine="480" w:firstLineChars="200"/>
              <w:rPr>
                <w:rFonts w:ascii="Times New Roman" w:hAnsi="Times New Roman"/>
                <w:color w:val="auto"/>
                <w:sz w:val="24"/>
                <w:szCs w:val="24"/>
              </w:rPr>
            </w:pPr>
          </w:p>
          <w:p w14:paraId="4FB68247">
            <w:pPr>
              <w:adjustRightInd w:val="0"/>
              <w:snapToGrid w:val="0"/>
              <w:spacing w:line="440" w:lineRule="exact"/>
              <w:ind w:firstLine="480" w:firstLineChars="200"/>
              <w:rPr>
                <w:rFonts w:ascii="Times New Roman" w:hAnsi="Times New Roman"/>
                <w:color w:val="auto"/>
                <w:sz w:val="24"/>
                <w:szCs w:val="24"/>
              </w:rPr>
            </w:pPr>
          </w:p>
          <w:p w14:paraId="27B0C80B">
            <w:pPr>
              <w:adjustRightInd w:val="0"/>
              <w:snapToGrid w:val="0"/>
              <w:spacing w:line="440" w:lineRule="exact"/>
              <w:ind w:firstLine="480" w:firstLineChars="200"/>
              <w:rPr>
                <w:rFonts w:ascii="Times New Roman" w:hAnsi="Times New Roman"/>
                <w:color w:val="auto"/>
                <w:sz w:val="24"/>
                <w:szCs w:val="24"/>
              </w:rPr>
            </w:pPr>
          </w:p>
          <w:p w14:paraId="43F71733">
            <w:pPr>
              <w:adjustRightInd w:val="0"/>
              <w:snapToGrid w:val="0"/>
              <w:spacing w:line="440" w:lineRule="exact"/>
              <w:ind w:firstLine="480" w:firstLineChars="200"/>
              <w:rPr>
                <w:rFonts w:ascii="Times New Roman" w:hAnsi="Times New Roman"/>
                <w:color w:val="auto"/>
                <w:sz w:val="24"/>
                <w:szCs w:val="24"/>
              </w:rPr>
            </w:pPr>
          </w:p>
          <w:p w14:paraId="7941EB1F">
            <w:pPr>
              <w:adjustRightInd w:val="0"/>
              <w:snapToGrid w:val="0"/>
              <w:spacing w:line="440" w:lineRule="exact"/>
              <w:ind w:firstLine="480" w:firstLineChars="200"/>
              <w:rPr>
                <w:rFonts w:ascii="Times New Roman" w:hAnsi="Times New Roman"/>
                <w:color w:val="auto"/>
                <w:sz w:val="24"/>
                <w:szCs w:val="24"/>
              </w:rPr>
            </w:pPr>
          </w:p>
          <w:p w14:paraId="70E5FE2B">
            <w:pPr>
              <w:adjustRightInd w:val="0"/>
              <w:snapToGrid w:val="0"/>
              <w:spacing w:line="440" w:lineRule="exact"/>
              <w:ind w:firstLine="480" w:firstLineChars="200"/>
              <w:rPr>
                <w:rFonts w:ascii="Times New Roman" w:hAnsi="Times New Roman"/>
                <w:color w:val="auto"/>
                <w:sz w:val="24"/>
                <w:szCs w:val="24"/>
              </w:rPr>
            </w:pPr>
          </w:p>
          <w:p w14:paraId="4254A5D7">
            <w:pPr>
              <w:adjustRightInd w:val="0"/>
              <w:snapToGrid w:val="0"/>
              <w:spacing w:line="440" w:lineRule="exact"/>
              <w:ind w:firstLine="480" w:firstLineChars="200"/>
              <w:rPr>
                <w:rFonts w:ascii="Times New Roman" w:hAnsi="Times New Roman"/>
                <w:color w:val="auto"/>
                <w:sz w:val="24"/>
                <w:szCs w:val="24"/>
              </w:rPr>
            </w:pPr>
          </w:p>
          <w:p w14:paraId="446B0A70">
            <w:pPr>
              <w:adjustRightInd w:val="0"/>
              <w:snapToGrid w:val="0"/>
              <w:spacing w:line="440" w:lineRule="exact"/>
              <w:ind w:firstLine="480" w:firstLineChars="200"/>
              <w:rPr>
                <w:rFonts w:ascii="Times New Roman" w:hAnsi="Times New Roman"/>
                <w:color w:val="auto"/>
                <w:sz w:val="24"/>
                <w:szCs w:val="24"/>
              </w:rPr>
            </w:pPr>
          </w:p>
          <w:p w14:paraId="597C42A7">
            <w:pPr>
              <w:adjustRightInd w:val="0"/>
              <w:snapToGrid w:val="0"/>
              <w:spacing w:line="440" w:lineRule="exact"/>
              <w:ind w:firstLine="480" w:firstLineChars="200"/>
              <w:rPr>
                <w:rFonts w:ascii="Times New Roman" w:hAnsi="Times New Roman"/>
                <w:color w:val="auto"/>
                <w:sz w:val="24"/>
                <w:szCs w:val="24"/>
              </w:rPr>
            </w:pPr>
          </w:p>
          <w:p w14:paraId="0F15E3F4">
            <w:pPr>
              <w:adjustRightInd w:val="0"/>
              <w:snapToGrid w:val="0"/>
              <w:spacing w:line="440" w:lineRule="exact"/>
              <w:ind w:firstLine="480" w:firstLineChars="200"/>
              <w:rPr>
                <w:rFonts w:ascii="Times New Roman" w:hAnsi="Times New Roman"/>
                <w:color w:val="auto"/>
                <w:sz w:val="24"/>
                <w:szCs w:val="24"/>
              </w:rPr>
            </w:pPr>
          </w:p>
          <w:p w14:paraId="55D6AE9A">
            <w:pPr>
              <w:adjustRightInd w:val="0"/>
              <w:snapToGrid w:val="0"/>
              <w:spacing w:line="440" w:lineRule="exact"/>
              <w:ind w:firstLine="480" w:firstLineChars="200"/>
              <w:rPr>
                <w:rFonts w:ascii="Times New Roman" w:hAnsi="Times New Roman"/>
                <w:color w:val="auto"/>
                <w:sz w:val="24"/>
                <w:szCs w:val="24"/>
              </w:rPr>
            </w:pPr>
          </w:p>
          <w:p w14:paraId="27F5352B">
            <w:pPr>
              <w:pStyle w:val="70"/>
              <w:adjustRightInd w:val="0"/>
              <w:snapToGrid w:val="0"/>
              <w:ind w:firstLine="0"/>
              <w:jc w:val="center"/>
              <w:rPr>
                <w:rFonts w:ascii="Times New Roman" w:hAnsi="Times New Roman"/>
                <w:color w:val="auto"/>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4212590</wp:posOffset>
                      </wp:positionH>
                      <wp:positionV relativeFrom="paragraph">
                        <wp:posOffset>2270125</wp:posOffset>
                      </wp:positionV>
                      <wp:extent cx="1108710" cy="330835"/>
                      <wp:effectExtent l="5080" t="5080" r="10160" b="635635"/>
                      <wp:wrapNone/>
                      <wp:docPr id="51" name="自选图形 26"/>
                      <wp:cNvGraphicFramePr/>
                      <a:graphic xmlns:a="http://schemas.openxmlformats.org/drawingml/2006/main">
                        <a:graphicData uri="http://schemas.microsoft.com/office/word/2010/wordprocessingShape">
                          <wps:wsp>
                            <wps:cNvSpPr/>
                            <wps:spPr>
                              <a:xfrm>
                                <a:off x="0" y="0"/>
                                <a:ext cx="1108710" cy="330835"/>
                              </a:xfrm>
                              <a:prstGeom prst="wedgeRectCallout">
                                <a:avLst>
                                  <a:gd name="adj1" fmla="val -42384"/>
                                  <a:gd name="adj2" fmla="val 231384"/>
                                </a:avLst>
                              </a:prstGeom>
                              <a:noFill/>
                              <a:ln w="9525" cap="flat" cmpd="sng">
                                <a:solidFill>
                                  <a:srgbClr val="000000"/>
                                </a:solidFill>
                                <a:prstDash val="solid"/>
                                <a:miter/>
                                <a:headEnd type="none" w="med" len="med"/>
                                <a:tailEnd type="none" w="med" len="med"/>
                              </a:ln>
                            </wps:spPr>
                            <wps:txbx>
                              <w:txbxContent>
                                <w:p w14:paraId="16EF06D4">
                                  <w:pPr>
                                    <w:rPr>
                                      <w:color w:val="FF0000"/>
                                      <w:sz w:val="24"/>
                                      <w:szCs w:val="28"/>
                                      <w:highlight w:val="yellow"/>
                                    </w:rPr>
                                  </w:pPr>
                                  <w:r>
                                    <w:rPr>
                                      <w:rFonts w:hint="eastAsia"/>
                                      <w:color w:val="FF0000"/>
                                      <w:sz w:val="24"/>
                                      <w:szCs w:val="28"/>
                                      <w:highlight w:val="yellow"/>
                                    </w:rPr>
                                    <w:t>本次间隔位置</w:t>
                                  </w:r>
                                </w:p>
                              </w:txbxContent>
                            </wps:txbx>
                            <wps:bodyPr upright="1"/>
                          </wps:wsp>
                        </a:graphicData>
                      </a:graphic>
                    </wp:anchor>
                  </w:drawing>
                </mc:Choice>
                <mc:Fallback>
                  <w:pict>
                    <v:shape id="自选图形 26" o:spid="_x0000_s1026" o:spt="61" type="#_x0000_t61" style="position:absolute;left:0pt;margin-left:331.7pt;margin-top:178.75pt;height:26.05pt;width:87.3pt;z-index:251659264;mso-width-relative:page;mso-height-relative:page;" filled="f" stroked="t" coordsize="21600,21600" o:gfxdata="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eOVNWNkAAAALAQAADwAAAAAAAAABACAAAAAiAAAAZHJzL2Rvd25y&#10;ZXYueG1sUEsBAhQAFAAAAAgAh07iQIjUteg2AgAAZwQAAA4AAAAAAAAAAQAgAAAAKAEAAGRycy9l&#10;Mm9Eb2MueG1sUEsFBgAAAAAGAAYAWQEAANAFAAAAAA==&#10;" adj="1645,60779">
                      <v:fill on="f" focussize="0,0"/>
                      <v:stroke color="#000000" joinstyle="miter"/>
                      <v:imagedata o:title=""/>
                      <o:lock v:ext="edit" aspectratio="f"/>
                      <v:textbox>
                        <w:txbxContent>
                          <w:p w14:paraId="16EF06D4">
                            <w:pPr>
                              <w:rPr>
                                <w:color w:val="FF0000"/>
                                <w:sz w:val="24"/>
                                <w:szCs w:val="28"/>
                                <w:highlight w:val="yellow"/>
                              </w:rPr>
                            </w:pPr>
                            <w:r>
                              <w:rPr>
                                <w:rFonts w:hint="eastAsia"/>
                                <w:color w:val="FF0000"/>
                                <w:sz w:val="24"/>
                                <w:szCs w:val="28"/>
                                <w:highlight w:val="yellow"/>
                              </w:rPr>
                              <w:t>本次间隔位置</w:t>
                            </w:r>
                          </w:p>
                        </w:txbxContent>
                      </v:textbox>
                    </v:shape>
                  </w:pict>
                </mc:Fallback>
              </mc:AlternateContent>
            </w: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4013200</wp:posOffset>
                      </wp:positionH>
                      <wp:positionV relativeFrom="paragraph">
                        <wp:posOffset>3129280</wp:posOffset>
                      </wp:positionV>
                      <wp:extent cx="318135" cy="137160"/>
                      <wp:effectExtent l="26035" t="83185" r="36830" b="84455"/>
                      <wp:wrapNone/>
                      <wp:docPr id="52" name="文本框 54"/>
                      <wp:cNvGraphicFramePr/>
                      <a:graphic xmlns:a="http://schemas.openxmlformats.org/drawingml/2006/main">
                        <a:graphicData uri="http://schemas.microsoft.com/office/word/2010/wordprocessingShape">
                          <wps:wsp>
                            <wps:cNvSpPr txBox="1"/>
                            <wps:spPr>
                              <a:xfrm rot="1800000">
                                <a:off x="0" y="0"/>
                                <a:ext cx="318135" cy="137160"/>
                              </a:xfrm>
                              <a:prstGeom prst="rect">
                                <a:avLst/>
                              </a:prstGeom>
                              <a:noFill/>
                              <a:ln w="19050" cap="flat" cmpd="sng">
                                <a:solidFill>
                                  <a:srgbClr val="0000FF"/>
                                </a:solidFill>
                                <a:prstDash val="solid"/>
                                <a:miter/>
                                <a:headEnd type="none" w="med" len="med"/>
                                <a:tailEnd type="none" w="med" len="med"/>
                              </a:ln>
                            </wps:spPr>
                            <wps:txbx>
                              <w:txbxContent>
                                <w:p w14:paraId="0B80CFCA"/>
                              </w:txbxContent>
                            </wps:txbx>
                            <wps:bodyPr upright="1"/>
                          </wps:wsp>
                        </a:graphicData>
                      </a:graphic>
                    </wp:anchor>
                  </w:drawing>
                </mc:Choice>
                <mc:Fallback>
                  <w:pict>
                    <v:shape id="文本框 54" o:spid="_x0000_s1026" o:spt="202" type="#_x0000_t202" style="position:absolute;left:0pt;margin-left:316pt;margin-top:246.4pt;height:10.8pt;width:25.05pt;rotation:1966080f;z-index:251659264;mso-width-relative:page;mso-height-relative:page;" filled="f" stroked="t" coordsize="21600,21600" o:gfxdata="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OlXMNsAAAALAQAADwAA&#10;AAAAAAABACAAAAAiAAAAZHJzL2Rvd25yZXYueG1sUEsBAhQAFAAAAAgAh07iQABdyc4TAgAAHQQA&#10;AA4AAAAAAAAAAQAgAAAAKgEAAGRycy9lMm9Eb2MueG1sUEsFBgAAAAAGAAYAWQEAAK8FAAAAAA==&#10;">
                      <v:fill on="f" focussize="0,0"/>
                      <v:stroke weight="1.5pt" color="#0000FF" joinstyle="miter"/>
                      <v:imagedata o:title=""/>
                      <o:lock v:ext="edit" aspectratio="f"/>
                      <v:textbox>
                        <w:txbxContent>
                          <w:p w14:paraId="0B80CFCA"/>
                        </w:txbxContent>
                      </v:textbox>
                    </v:shape>
                  </w:pict>
                </mc:Fallback>
              </mc:AlternateContent>
            </w:r>
            <w:r>
              <w:rPr>
                <w:color w:val="auto"/>
              </w:rPr>
              <w:drawing>
                <wp:inline distT="0" distB="0" distL="114300" distR="114300">
                  <wp:extent cx="5133975" cy="5695950"/>
                  <wp:effectExtent l="0" t="0" r="9525" b="0"/>
                  <wp:docPr id="8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9"/>
                          <pic:cNvPicPr>
                            <a:picLocks noChangeAspect="1"/>
                          </pic:cNvPicPr>
                        </pic:nvPicPr>
                        <pic:blipFill>
                          <a:blip r:embed="rId23"/>
                          <a:stretch>
                            <a:fillRect/>
                          </a:stretch>
                        </pic:blipFill>
                        <pic:spPr>
                          <a:xfrm>
                            <a:off x="0" y="0"/>
                            <a:ext cx="5133975" cy="5695950"/>
                          </a:xfrm>
                          <a:prstGeom prst="rect">
                            <a:avLst/>
                          </a:prstGeom>
                          <a:noFill/>
                          <a:ln>
                            <a:noFill/>
                          </a:ln>
                        </pic:spPr>
                      </pic:pic>
                    </a:graphicData>
                  </a:graphic>
                </wp:inline>
              </w:drawing>
            </w:r>
          </w:p>
          <w:p w14:paraId="050589B1">
            <w:pPr>
              <w:pStyle w:val="15"/>
              <w:adjustRightInd w:val="0"/>
              <w:snapToGrid w:val="0"/>
              <w:spacing w:line="240" w:lineRule="auto"/>
              <w:jc w:val="center"/>
              <w:rPr>
                <w:rFonts w:ascii="Times New Roman" w:hAnsi="Times New Roman"/>
                <w:b/>
                <w:bCs/>
                <w:color w:val="auto"/>
                <w:sz w:val="24"/>
              </w:rPr>
            </w:pPr>
            <w:r>
              <w:rPr>
                <w:rFonts w:ascii="Times New Roman" w:hAnsi="Times New Roman"/>
                <w:b/>
                <w:bCs/>
                <w:color w:val="auto"/>
                <w:sz w:val="24"/>
              </w:rPr>
              <w:t>图2-2  220kV</w:t>
            </w:r>
            <w:r>
              <w:rPr>
                <w:rFonts w:hint="eastAsia" w:ascii="Times New Roman" w:hAnsi="Times New Roman"/>
                <w:b/>
                <w:bCs/>
                <w:color w:val="auto"/>
                <w:sz w:val="24"/>
              </w:rPr>
              <w:t>六合一</w:t>
            </w:r>
            <w:r>
              <w:rPr>
                <w:rFonts w:ascii="Times New Roman" w:hAnsi="Times New Roman"/>
                <w:b/>
                <w:bCs/>
                <w:color w:val="auto"/>
                <w:sz w:val="24"/>
              </w:rPr>
              <w:t>升压站平面示意图</w:t>
            </w:r>
          </w:p>
          <w:p w14:paraId="40800153">
            <w:pPr>
              <w:adjustRightInd w:val="0"/>
              <w:snapToGrid w:val="0"/>
              <w:spacing w:line="440" w:lineRule="exact"/>
              <w:ind w:firstLine="482" w:firstLineChars="200"/>
              <w:rPr>
                <w:rFonts w:ascii="Times New Roman" w:hAnsi="Times New Roman"/>
                <w:b/>
                <w:bCs/>
                <w:color w:val="auto"/>
                <w:sz w:val="24"/>
              </w:rPr>
            </w:pPr>
            <w:r>
              <w:rPr>
                <w:rFonts w:ascii="Times New Roman" w:hAnsi="Times New Roman"/>
                <w:b/>
                <w:bCs/>
                <w:color w:val="auto"/>
                <w:sz w:val="24"/>
              </w:rPr>
              <w:t>（2）</w:t>
            </w:r>
            <w:r>
              <w:rPr>
                <w:rFonts w:hint="eastAsia" w:ascii="Times New Roman" w:hAnsi="Times New Roman"/>
                <w:b/>
                <w:bCs/>
                <w:color w:val="auto"/>
                <w:sz w:val="24"/>
              </w:rPr>
              <w:t>500</w:t>
            </w:r>
            <w:r>
              <w:rPr>
                <w:rFonts w:ascii="Times New Roman" w:hAnsi="Times New Roman"/>
                <w:b/>
                <w:bCs/>
                <w:color w:val="auto"/>
                <w:sz w:val="24"/>
              </w:rPr>
              <w:t>kV</w:t>
            </w:r>
            <w:r>
              <w:rPr>
                <w:rFonts w:hint="eastAsia" w:ascii="Times New Roman" w:hAnsi="Times New Roman"/>
                <w:b/>
                <w:bCs/>
                <w:color w:val="auto"/>
                <w:sz w:val="24"/>
              </w:rPr>
              <w:t>乐业变电站</w:t>
            </w:r>
          </w:p>
          <w:p w14:paraId="09BFA59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500kV乐业变电站</w:t>
            </w:r>
            <w:r>
              <w:rPr>
                <w:rFonts w:hint="eastAsia" w:ascii="Times New Roman" w:hAnsi="Times New Roman"/>
                <w:color w:val="auto"/>
                <w:sz w:val="24"/>
                <w:szCs w:val="24"/>
              </w:rPr>
              <w:t>位于曲靖市会泽县乐业镇罗布古社区，</w:t>
            </w:r>
            <w:r>
              <w:rPr>
                <w:rFonts w:ascii="Times New Roman" w:hAnsi="Times New Roman"/>
                <w:color w:val="auto"/>
                <w:sz w:val="24"/>
                <w:szCs w:val="24"/>
              </w:rPr>
              <w:t>由云南电网有限责任公司负责投资建设及运行管理，预计2026年</w:t>
            </w:r>
            <w:r>
              <w:rPr>
                <w:rFonts w:hint="eastAsia" w:ascii="Times New Roman" w:hAnsi="Times New Roman"/>
                <w:color w:val="auto"/>
                <w:sz w:val="24"/>
                <w:szCs w:val="24"/>
              </w:rPr>
              <w:t>底</w:t>
            </w:r>
            <w:r>
              <w:rPr>
                <w:rFonts w:ascii="Times New Roman" w:hAnsi="Times New Roman"/>
                <w:color w:val="auto"/>
                <w:sz w:val="24"/>
                <w:szCs w:val="24"/>
              </w:rPr>
              <w:t>投产</w:t>
            </w:r>
            <w:r>
              <w:rPr>
                <w:rFonts w:hint="eastAsia" w:ascii="Times New Roman" w:hAnsi="Times New Roman"/>
                <w:color w:val="auto"/>
                <w:sz w:val="24"/>
                <w:szCs w:val="24"/>
              </w:rPr>
              <w:t>，占地5.79hm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w:t>
            </w:r>
          </w:p>
          <w:p w14:paraId="183F926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①500kV乐业变电站概况</w:t>
            </w:r>
          </w:p>
          <w:p w14:paraId="59E05461">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500千伏乐业输变电工程环境影响报告书》，新建1座500kV乐业变电站，主变压器本期建设2×1000MVA，终期4×1000MVA；站内500kV出线本期新建2回（铜都~永丰500kV线路π接入），备用6回，终期共8回；站内220kV出线本期新建4回（2回至者海变、2回至迤车变），备用12回，终期共16回；35kV仅作站用变和无功补偿装置用，不出线。</w:t>
            </w:r>
          </w:p>
          <w:p w14:paraId="0E11FAB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220kV侧位于变电站东侧，为双母线双分段接线，最终出线16回。自北到南依次为：220kV羊棚子光伏、220kV备用、220kV备用、220kV迤车I回线、220kV迤车</w:t>
            </w:r>
            <w:r>
              <w:rPr>
                <w:rFonts w:hint="eastAsia" w:ascii="Times New Roman" w:hAnsi="Times New Roman"/>
                <w:color w:val="auto"/>
                <w:sz w:val="24"/>
                <w:szCs w:val="24"/>
              </w:rPr>
              <w:t>Ⅱ</w:t>
            </w:r>
            <w:r>
              <w:rPr>
                <w:rFonts w:ascii="Times New Roman" w:hAnsi="Times New Roman"/>
                <w:color w:val="auto"/>
                <w:sz w:val="24"/>
                <w:szCs w:val="24"/>
              </w:rPr>
              <w:t>回线、220kV备用、渝昆高铁车牵220kV外部供电、220kV</w:t>
            </w:r>
            <w:r>
              <w:rPr>
                <w:rFonts w:hint="eastAsia" w:ascii="Times New Roman" w:hAnsi="Times New Roman"/>
                <w:color w:val="auto"/>
                <w:sz w:val="24"/>
                <w:szCs w:val="24"/>
              </w:rPr>
              <w:t>六合一</w:t>
            </w:r>
            <w:r>
              <w:rPr>
                <w:rFonts w:ascii="Times New Roman" w:hAnsi="Times New Roman"/>
                <w:color w:val="auto"/>
                <w:sz w:val="24"/>
                <w:szCs w:val="24"/>
              </w:rPr>
              <w:t>光伏（本期使用）、220kV备用、220kV备用、220kV备用、220kV备用、220kV者海I回线、220kV者海</w:t>
            </w:r>
            <w:r>
              <w:rPr>
                <w:rFonts w:hint="eastAsia" w:ascii="Times New Roman" w:hAnsi="Times New Roman"/>
                <w:color w:val="auto"/>
                <w:sz w:val="24"/>
                <w:szCs w:val="24"/>
              </w:rPr>
              <w:t>Ⅱ</w:t>
            </w:r>
            <w:r>
              <w:rPr>
                <w:rFonts w:ascii="Times New Roman" w:hAnsi="Times New Roman"/>
                <w:color w:val="auto"/>
                <w:sz w:val="24"/>
                <w:szCs w:val="24"/>
              </w:rPr>
              <w:t>回线、220kV备用、220kV六合一光伏、220kV备用。</w:t>
            </w:r>
          </w:p>
          <w:p w14:paraId="62CBDA0D">
            <w:pPr>
              <w:adjustRightInd w:val="0"/>
              <w:snapToGrid w:val="0"/>
              <w:spacing w:line="440" w:lineRule="exact"/>
              <w:ind w:firstLine="480" w:firstLineChars="200"/>
              <w:rPr>
                <w:rFonts w:ascii="Times New Roman" w:hAnsi="Times New Roman"/>
                <w:color w:val="auto"/>
                <w:sz w:val="24"/>
                <w:szCs w:val="24"/>
                <w:highlight w:val="yellow"/>
              </w:rPr>
            </w:pPr>
            <w:r>
              <w:rPr>
                <w:rFonts w:ascii="Times New Roman" w:hAnsi="Times New Roman"/>
                <w:color w:val="auto"/>
                <w:sz w:val="24"/>
                <w:szCs w:val="24"/>
              </w:rPr>
              <w:t>500kV乐业变电站配套建设同步布置</w:t>
            </w:r>
            <w:r>
              <w:rPr>
                <w:rFonts w:hint="eastAsia" w:ascii="Times New Roman" w:hAnsi="Times New Roman"/>
                <w:color w:val="auto"/>
                <w:sz w:val="24"/>
                <w:szCs w:val="24"/>
              </w:rPr>
              <w:t>主控楼（2F）</w:t>
            </w:r>
            <w:r>
              <w:rPr>
                <w:rFonts w:ascii="Times New Roman" w:hAnsi="Times New Roman"/>
                <w:color w:val="auto"/>
                <w:sz w:val="24"/>
                <w:szCs w:val="24"/>
              </w:rPr>
              <w:t>、500kV二次设备室2座（1F）、220kV二次设备室1座（1F）、主变及35kV二次设备室1座（1F）、380V中央配电室1座（1F）、泵房1座（1F）、警传室1座（1F）、雨淋阀间2座（1F）、直流配电室1座（1F）、巡维楼1座（2F）、220kV GIS配电室1座（1F）门卫室、</w:t>
            </w:r>
            <w:r>
              <w:rPr>
                <w:rFonts w:hint="eastAsia" w:ascii="Times New Roman" w:hAnsi="Times New Roman"/>
                <w:color w:val="auto"/>
                <w:sz w:val="24"/>
                <w:szCs w:val="24"/>
              </w:rPr>
              <w:t>进站道路等</w:t>
            </w:r>
            <w:r>
              <w:rPr>
                <w:rFonts w:ascii="Times New Roman" w:hAnsi="Times New Roman"/>
                <w:color w:val="auto"/>
                <w:sz w:val="24"/>
                <w:szCs w:val="24"/>
              </w:rPr>
              <w:t>。另外布置有</w:t>
            </w:r>
            <w:r>
              <w:rPr>
                <w:rFonts w:hint="eastAsia" w:ascii="Times New Roman" w:hAnsi="Times New Roman"/>
                <w:color w:val="auto"/>
                <w:sz w:val="24"/>
                <w:szCs w:val="24"/>
              </w:rPr>
              <w:t>1</w:t>
            </w:r>
            <w:r>
              <w:rPr>
                <w:rFonts w:ascii="Times New Roman" w:hAnsi="Times New Roman"/>
                <w:color w:val="auto"/>
                <w:sz w:val="24"/>
                <w:szCs w:val="24"/>
              </w:rPr>
              <w:t>座事故油池（有效总容积为</w:t>
            </w:r>
            <w:r>
              <w:rPr>
                <w:rFonts w:hint="eastAsia" w:ascii="Times New Roman" w:hAnsi="Times New Roman"/>
                <w:color w:val="auto"/>
                <w:sz w:val="24"/>
                <w:szCs w:val="24"/>
              </w:rPr>
              <w:t>6</w:t>
            </w:r>
            <w:r>
              <w:rPr>
                <w:rFonts w:ascii="Times New Roman" w:hAnsi="Times New Roman"/>
                <w:color w:val="auto"/>
                <w:sz w:val="24"/>
                <w:szCs w:val="24"/>
              </w:rPr>
              <w:t>0m</w:t>
            </w:r>
            <w:r>
              <w:rPr>
                <w:rFonts w:ascii="Times New Roman" w:hAnsi="Times New Roman"/>
                <w:color w:val="auto"/>
                <w:sz w:val="24"/>
                <w:szCs w:val="24"/>
                <w:vertAlign w:val="superscript"/>
              </w:rPr>
              <w:t>3</w:t>
            </w:r>
            <w:r>
              <w:rPr>
                <w:rFonts w:ascii="Times New Roman" w:hAnsi="Times New Roman"/>
                <w:color w:val="auto"/>
                <w:sz w:val="24"/>
                <w:szCs w:val="24"/>
              </w:rPr>
              <w:t>）、一体化污水处理站（处理能力为</w:t>
            </w:r>
            <w:r>
              <w:rPr>
                <w:rFonts w:hint="eastAsia" w:ascii="Times New Roman" w:hAnsi="Times New Roman"/>
                <w:color w:val="auto"/>
                <w:sz w:val="24"/>
                <w:szCs w:val="24"/>
              </w:rPr>
              <w:t>5</w:t>
            </w:r>
            <w:r>
              <w:rPr>
                <w:rFonts w:ascii="Times New Roman" w:hAnsi="Times New Roman"/>
                <w:color w:val="auto"/>
                <w:sz w:val="24"/>
                <w:szCs w:val="24"/>
              </w:rPr>
              <w:t>m</w:t>
            </w:r>
            <w:r>
              <w:rPr>
                <w:rFonts w:ascii="Times New Roman" w:hAnsi="Times New Roman"/>
                <w:color w:val="auto"/>
                <w:sz w:val="24"/>
                <w:szCs w:val="24"/>
                <w:vertAlign w:val="superscript"/>
              </w:rPr>
              <w:t>3</w:t>
            </w:r>
            <w:r>
              <w:rPr>
                <w:rFonts w:ascii="Times New Roman" w:hAnsi="Times New Roman"/>
                <w:color w:val="auto"/>
                <w:sz w:val="24"/>
                <w:szCs w:val="24"/>
              </w:rPr>
              <w:t>/d</w:t>
            </w:r>
            <w:r>
              <w:rPr>
                <w:rFonts w:hint="eastAsia" w:ascii="Times New Roman" w:hAnsi="Times New Roman"/>
                <w:color w:val="auto"/>
                <w:sz w:val="24"/>
                <w:szCs w:val="24"/>
              </w:rPr>
              <w:t>，采用“AAO+沉淀+消毒”工艺，配套化粪池及回用水池</w:t>
            </w:r>
            <w:r>
              <w:rPr>
                <w:rFonts w:ascii="Times New Roman" w:hAnsi="Times New Roman"/>
                <w:color w:val="auto"/>
                <w:sz w:val="24"/>
                <w:szCs w:val="24"/>
              </w:rPr>
              <w:t>）及危废暂存间（1间</w:t>
            </w:r>
            <w:r>
              <w:rPr>
                <w:rFonts w:hint="eastAsia" w:ascii="Times New Roman" w:hAnsi="Times New Roman"/>
                <w:color w:val="auto"/>
                <w:sz w:val="24"/>
                <w:szCs w:val="24"/>
              </w:rPr>
              <w:t>10</w:t>
            </w:r>
            <w:r>
              <w:rPr>
                <w:rFonts w:ascii="Times New Roman" w:hAnsi="Times New Roman"/>
                <w:color w:val="auto"/>
                <w:sz w:val="24"/>
                <w:szCs w:val="24"/>
              </w:rPr>
              <w:t>m</w:t>
            </w:r>
            <w:r>
              <w:rPr>
                <w:rFonts w:ascii="Times New Roman" w:hAnsi="Times New Roman"/>
                <w:color w:val="auto"/>
                <w:sz w:val="24"/>
                <w:szCs w:val="24"/>
                <w:vertAlign w:val="superscript"/>
              </w:rPr>
              <w:t>2</w:t>
            </w:r>
            <w:r>
              <w:rPr>
                <w:rFonts w:ascii="Times New Roman" w:hAnsi="Times New Roman"/>
                <w:color w:val="auto"/>
                <w:sz w:val="24"/>
                <w:szCs w:val="24"/>
              </w:rPr>
              <w:t>）等环保工程。</w:t>
            </w:r>
          </w:p>
          <w:p w14:paraId="41791EEE">
            <w:pPr>
              <w:pStyle w:val="35"/>
              <w:adjustRightInd w:val="0"/>
              <w:snapToGrid w:val="0"/>
              <w:spacing w:before="0" w:after="0"/>
              <w:ind w:left="0" w:right="0"/>
              <w:rPr>
                <w:b/>
                <w:bCs/>
                <w:i w:val="0"/>
                <w:iCs/>
                <w:color w:val="auto"/>
                <w:sz w:val="24"/>
              </w:rPr>
            </w:pPr>
            <w:r>
              <w:rPr>
                <w:color w:val="auto"/>
              </w:rPr>
              <w:object>
                <v:shape id="_x0000_i1027" o:spt="75" type="#_x0000_t75" style="height:160.5pt;width:420pt;" o:ole="t" filled="f" o:preferrelative="t" stroked="f" coordsize="21600,21600">
                  <v:path/>
                  <v:fill on="f" focussize="0,0"/>
                  <v:stroke on="f" joinstyle="miter"/>
                  <v:imagedata r:id="rId25" o:title=""/>
                  <o:lock v:ext="edit" aspectratio="f"/>
                  <w10:wrap type="none"/>
                  <w10:anchorlock/>
                </v:shape>
                <o:OLEObject Type="Embed" ProgID="Visio.Drawing.15" ShapeID="_x0000_i1027" DrawAspect="Content" ObjectID="_1468075727" r:id="rId24">
                  <o:LockedField>false</o:LockedField>
                </o:OLEObject>
              </w:object>
            </w:r>
            <w:r>
              <w:rPr>
                <w:b/>
                <w:bCs/>
                <w:i w:val="0"/>
                <w:iCs/>
                <w:color w:val="auto"/>
                <w:sz w:val="24"/>
              </w:rPr>
              <w:t>图2-</w:t>
            </w:r>
            <w:r>
              <w:rPr>
                <w:rFonts w:hint="eastAsia"/>
                <w:b/>
                <w:bCs/>
                <w:i w:val="0"/>
                <w:iCs/>
                <w:color w:val="auto"/>
                <w:sz w:val="24"/>
              </w:rPr>
              <w:t>3</w:t>
            </w:r>
            <w:r>
              <w:rPr>
                <w:b/>
                <w:bCs/>
                <w:i w:val="0"/>
                <w:iCs/>
                <w:color w:val="auto"/>
                <w:sz w:val="24"/>
              </w:rPr>
              <w:t xml:space="preserve">  500kV乐业变电站电气主接线示意图</w:t>
            </w:r>
          </w:p>
          <w:p w14:paraId="5EA4741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②环保手续履行情况</w:t>
            </w:r>
          </w:p>
          <w:p w14:paraId="66076CB3">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500千伏乐业输变电工程由云南天启环境工程有限公司于2024年6月编制完成《500千伏乐业输变电工程环境影响报告书》（报批稿），于2024年9月18日取得云南省生态环境厅关于500千伏乐业输变电工程环境影响报告书的批复（云环审〔2024〕2-15号）。</w:t>
            </w:r>
            <w:r>
              <w:rPr>
                <w:rFonts w:ascii="Times New Roman" w:hAnsi="Times New Roman"/>
                <w:color w:val="auto"/>
                <w:sz w:val="24"/>
                <w:szCs w:val="24"/>
              </w:rPr>
              <w:t>目前，500kV乐业变电站正在建设中，未完工，未开展竣工环保验收工作。</w:t>
            </w:r>
          </w:p>
          <w:p w14:paraId="45E20C0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③环保措施</w:t>
            </w:r>
          </w:p>
          <w:p w14:paraId="0BF381A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1）废水措施</w:t>
            </w:r>
          </w:p>
          <w:p w14:paraId="17C247E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变电站采用雨污分流制排水系统，站内设置雨水口收集地面雨水排入雨水管道，最后排向站外冲沟。站区生活污水经地埋式一体化设施处理后回用绿化，处理规模为5m</w:t>
            </w:r>
            <w:r>
              <w:rPr>
                <w:rFonts w:ascii="Times New Roman" w:hAnsi="Times New Roman"/>
                <w:color w:val="auto"/>
                <w:sz w:val="24"/>
                <w:szCs w:val="24"/>
                <w:vertAlign w:val="superscript"/>
              </w:rPr>
              <w:t>3</w:t>
            </w:r>
            <w:r>
              <w:rPr>
                <w:rFonts w:ascii="Times New Roman" w:hAnsi="Times New Roman"/>
                <w:color w:val="auto"/>
                <w:sz w:val="24"/>
                <w:szCs w:val="24"/>
              </w:rPr>
              <w:t>/d，推荐采用“AAO+沉淀+消毒”工艺，配套化粪池及回用水池</w:t>
            </w:r>
            <w:r>
              <w:rPr>
                <w:rFonts w:hint="eastAsia" w:ascii="Times New Roman" w:hAnsi="Times New Roman"/>
                <w:color w:val="auto"/>
                <w:sz w:val="24"/>
                <w:szCs w:val="24"/>
              </w:rPr>
              <w:t>。</w:t>
            </w:r>
          </w:p>
          <w:p w14:paraId="134D270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2）固废措施</w:t>
            </w:r>
          </w:p>
          <w:p w14:paraId="11DF4E0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生活垃圾通过垃圾箱统一收集后，定期清运至当地垃圾收集点</w:t>
            </w:r>
            <w:r>
              <w:rPr>
                <w:rFonts w:hint="eastAsia" w:ascii="Times New Roman" w:hAnsi="Times New Roman"/>
                <w:color w:val="auto"/>
                <w:sz w:val="24"/>
                <w:szCs w:val="24"/>
              </w:rPr>
              <w:t>；在巡维楼1层设1间危废暂存间（面积10m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），用于暂存危险废物（废蓄电池）</w:t>
            </w:r>
            <w:r>
              <w:rPr>
                <w:rFonts w:ascii="Times New Roman" w:hAnsi="Times New Roman"/>
                <w:color w:val="auto"/>
                <w:sz w:val="24"/>
                <w:szCs w:val="24"/>
              </w:rPr>
              <w:t>。</w:t>
            </w:r>
          </w:p>
          <w:p w14:paraId="3EC025A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3）环境风险</w:t>
            </w:r>
          </w:p>
          <w:p w14:paraId="6C712E5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主变旁设置</w:t>
            </w:r>
            <w:r>
              <w:rPr>
                <w:rFonts w:hint="eastAsia" w:ascii="Times New Roman" w:hAnsi="Times New Roman"/>
                <w:color w:val="auto"/>
                <w:sz w:val="24"/>
                <w:szCs w:val="24"/>
              </w:rPr>
              <w:t>1</w:t>
            </w:r>
            <w:r>
              <w:rPr>
                <w:rFonts w:ascii="Times New Roman" w:hAnsi="Times New Roman"/>
                <w:color w:val="auto"/>
                <w:sz w:val="24"/>
                <w:szCs w:val="24"/>
              </w:rPr>
              <w:t>个主变事故油池，用于收集主变压器事故时排放的废矿物油，主变事故油池的有效容积</w:t>
            </w:r>
            <w:r>
              <w:rPr>
                <w:rFonts w:hint="eastAsia" w:ascii="Times New Roman" w:hAnsi="Times New Roman"/>
                <w:color w:val="auto"/>
                <w:sz w:val="24"/>
                <w:szCs w:val="24"/>
              </w:rPr>
              <w:t>60</w:t>
            </w:r>
            <w:r>
              <w:rPr>
                <w:rFonts w:ascii="Times New Roman" w:hAnsi="Times New Roman"/>
                <w:color w:val="auto"/>
                <w:sz w:val="24"/>
                <w:szCs w:val="24"/>
              </w:rPr>
              <w:t>m</w:t>
            </w:r>
            <w:r>
              <w:rPr>
                <w:rFonts w:ascii="Times New Roman" w:hAnsi="Times New Roman"/>
                <w:color w:val="auto"/>
                <w:sz w:val="24"/>
                <w:szCs w:val="24"/>
                <w:vertAlign w:val="superscript"/>
              </w:rPr>
              <w:t>3</w:t>
            </w:r>
            <w:r>
              <w:rPr>
                <w:rFonts w:hint="eastAsia" w:ascii="Times New Roman" w:hAnsi="Times New Roman"/>
                <w:color w:val="auto"/>
                <w:sz w:val="24"/>
                <w:szCs w:val="24"/>
              </w:rPr>
              <w:t>，若发生事故排油，事故油经集油坑进入事故油池，经油水分离后，大部分绝缘油回用，少部分废油由有相应危废处理资质的单位回收处置，不外排。集油坑及事故油池已满足设计及环保上事故排油的容积需求。</w:t>
            </w:r>
          </w:p>
          <w:p w14:paraId="4D0C968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④本工程依托500kV乐业变电站间隔架构情况</w:t>
            </w:r>
          </w:p>
          <w:p w14:paraId="76F8874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本工程依托500kV乐业变电站拟建间隔，采用自南向北第二个220kV备用间隔</w:t>
            </w:r>
            <w:r>
              <w:rPr>
                <w:rFonts w:hint="eastAsia" w:ascii="Times New Roman" w:hAnsi="Times New Roman"/>
                <w:color w:val="auto"/>
                <w:sz w:val="24"/>
                <w:szCs w:val="24"/>
              </w:rPr>
              <w:t>。本次使用间隔相序为面对变电站从南到北依次是C、B、A。</w:t>
            </w:r>
          </w:p>
          <w:p w14:paraId="376B53EA">
            <w:pPr>
              <w:adjustRightInd w:val="0"/>
              <w:snapToGrid w:val="0"/>
              <w:jc w:val="center"/>
              <w:rPr>
                <w:rFonts w:ascii="宋体" w:hAnsi="宋体"/>
                <w:color w:val="auto"/>
                <w:sz w:val="28"/>
                <w:szCs w:val="28"/>
              </w:rPr>
            </w:pPr>
            <w:r>
              <w:rPr>
                <w:rFonts w:ascii="Times New Roman" w:hAnsi="Times New Roman"/>
                <w:b/>
                <w:bCs/>
                <w:color w:val="auto"/>
                <w:sz w:val="24"/>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1933575</wp:posOffset>
                      </wp:positionV>
                      <wp:extent cx="431165" cy="132080"/>
                      <wp:effectExtent l="9525" t="9525" r="16510" b="10795"/>
                      <wp:wrapNone/>
                      <wp:docPr id="58" name="文本框 54"/>
                      <wp:cNvGraphicFramePr/>
                      <a:graphic xmlns:a="http://schemas.openxmlformats.org/drawingml/2006/main">
                        <a:graphicData uri="http://schemas.microsoft.com/office/word/2010/wordprocessingShape">
                          <wps:wsp>
                            <wps:cNvSpPr txBox="1"/>
                            <wps:spPr>
                              <a:xfrm>
                                <a:off x="0" y="0"/>
                                <a:ext cx="431165" cy="186055"/>
                              </a:xfrm>
                              <a:prstGeom prst="rect">
                                <a:avLst/>
                              </a:prstGeom>
                              <a:noFill/>
                              <a:ln w="19050" cap="flat" cmpd="sng">
                                <a:solidFill>
                                  <a:srgbClr val="7030A0"/>
                                </a:solidFill>
                                <a:prstDash val="solid"/>
                                <a:miter/>
                                <a:headEnd type="none" w="med" len="med"/>
                                <a:tailEnd type="none" w="med" len="med"/>
                              </a:ln>
                              <a:effectLst/>
                            </wps:spPr>
                            <wps:txbx>
                              <w:txbxContent>
                                <w:p w14:paraId="6B13F9AA"/>
                              </w:txbxContent>
                            </wps:txbx>
                            <wps:bodyPr upright="1"/>
                          </wps:wsp>
                        </a:graphicData>
                      </a:graphic>
                    </wp:anchor>
                  </w:drawing>
                </mc:Choice>
                <mc:Fallback>
                  <w:pict>
                    <v:shape id="文本框 54" o:spid="_x0000_s1026" o:spt="202" type="#_x0000_t202" style="position:absolute;left:0pt;margin-left:186.75pt;margin-top:152.25pt;height:10.4pt;width:33.95pt;z-index:251659264;mso-width-relative:page;mso-height-relative:page;" filled="f" stroked="t" coordsize="21600,21600" o:gfxdata="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S1g3dgAAAALAQAADwAAAAAAAAAB&#10;ACAAAAAiAAAAZHJzL2Rvd25yZXYueG1sUEsBAhQAFAAAAAgAh07iQCQCiY0QAgAAHQQAAA4AAAAA&#10;AAAAAQAgAAAAJwEAAGRycy9lMm9Eb2MueG1sUEsFBgAAAAAGAAYAWQEAAKkFAAAAAA==&#10;">
                      <v:fill on="f" focussize="0,0"/>
                      <v:stroke weight="1.5pt" color="#7030A0" joinstyle="miter"/>
                      <v:imagedata o:title=""/>
                      <o:lock v:ext="edit" aspectratio="f"/>
                      <v:textbox>
                        <w:txbxContent>
                          <w:p w14:paraId="6B13F9AA"/>
                        </w:txbxContent>
                      </v:textbox>
                    </v:shape>
                  </w:pict>
                </mc:Fallback>
              </mc:AlternateContent>
            </w: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384810</wp:posOffset>
                      </wp:positionH>
                      <wp:positionV relativeFrom="paragraph">
                        <wp:posOffset>2418080</wp:posOffset>
                      </wp:positionV>
                      <wp:extent cx="1108710" cy="330835"/>
                      <wp:effectExtent l="5080" t="405765" r="1076960" b="6350"/>
                      <wp:wrapNone/>
                      <wp:docPr id="60" name="自选图形 27"/>
                      <wp:cNvGraphicFramePr/>
                      <a:graphic xmlns:a="http://schemas.openxmlformats.org/drawingml/2006/main">
                        <a:graphicData uri="http://schemas.microsoft.com/office/word/2010/wordprocessingShape">
                          <wps:wsp>
                            <wps:cNvSpPr/>
                            <wps:spPr>
                              <a:xfrm>
                                <a:off x="0" y="0"/>
                                <a:ext cx="1108710" cy="330835"/>
                              </a:xfrm>
                              <a:prstGeom prst="wedgeRectCallout">
                                <a:avLst>
                                  <a:gd name="adj1" fmla="val 143301"/>
                                  <a:gd name="adj2" fmla="val -168421"/>
                                </a:avLst>
                              </a:prstGeom>
                              <a:noFill/>
                              <a:ln w="9525" cap="flat" cmpd="sng">
                                <a:solidFill>
                                  <a:srgbClr val="000000"/>
                                </a:solidFill>
                                <a:prstDash val="solid"/>
                                <a:miter/>
                                <a:headEnd type="none" w="med" len="med"/>
                                <a:tailEnd type="none" w="med" len="med"/>
                              </a:ln>
                            </wps:spPr>
                            <wps:txbx>
                              <w:txbxContent>
                                <w:p w14:paraId="41DC9C35">
                                  <w:pPr>
                                    <w:rPr>
                                      <w:color w:val="FF0000"/>
                                      <w:sz w:val="24"/>
                                      <w:szCs w:val="28"/>
                                      <w:highlight w:val="yellow"/>
                                    </w:rPr>
                                  </w:pPr>
                                  <w:r>
                                    <w:rPr>
                                      <w:rFonts w:hint="eastAsia"/>
                                      <w:color w:val="FF0000"/>
                                      <w:sz w:val="24"/>
                                      <w:szCs w:val="28"/>
                                      <w:highlight w:val="yellow"/>
                                    </w:rPr>
                                    <w:t>本次间隔位置</w:t>
                                  </w:r>
                                </w:p>
                              </w:txbxContent>
                            </wps:txbx>
                            <wps:bodyPr upright="1"/>
                          </wps:wsp>
                        </a:graphicData>
                      </a:graphic>
                    </wp:anchor>
                  </w:drawing>
                </mc:Choice>
                <mc:Fallback>
                  <w:pict>
                    <v:shape id="自选图形 27" o:spid="_x0000_s1026" o:spt="61" type="#_x0000_t61" style="position:absolute;left:0pt;margin-left:30.3pt;margin-top:190.4pt;height:26.05pt;width:87.3pt;z-index:251659264;mso-width-relative:page;mso-height-relative:page;" filled="f" stroked="t" coordsize="21600,21600" o:gfxdata="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Wl7bb1wAAAAoBAAAPAAAAAAAAAAEAIAAAACIAAABkcnMvZG93bnJl&#10;di54bWxQSwECFAAUAAAACACHTuJAfmmlXjcCAABoBAAADgAAAAAAAAABACAAAAAmAQAAZHJzL2Uy&#10;b0RvYy54bWxQSwUGAAAAAAYABgBZAQAAzwUAAAAA&#10;" adj="41753,-25579">
                      <v:fill on="f" focussize="0,0"/>
                      <v:stroke color="#000000" joinstyle="miter"/>
                      <v:imagedata o:title=""/>
                      <o:lock v:ext="edit" aspectratio="f"/>
                      <v:textbox>
                        <w:txbxContent>
                          <w:p w14:paraId="41DC9C35">
                            <w:pPr>
                              <w:rPr>
                                <w:color w:val="FF0000"/>
                                <w:sz w:val="24"/>
                                <w:szCs w:val="28"/>
                                <w:highlight w:val="yellow"/>
                              </w:rPr>
                            </w:pPr>
                            <w:r>
                              <w:rPr>
                                <w:rFonts w:hint="eastAsia"/>
                                <w:color w:val="FF0000"/>
                                <w:sz w:val="24"/>
                                <w:szCs w:val="28"/>
                                <w:highlight w:val="yellow"/>
                              </w:rPr>
                              <w:t>本次间隔位置</w:t>
                            </w:r>
                          </w:p>
                        </w:txbxContent>
                      </v:textbox>
                    </v:shape>
                  </w:pict>
                </mc:Fallback>
              </mc:AlternateContent>
            </w:r>
            <w:r>
              <w:rPr>
                <w:rFonts w:ascii="宋体" w:hAnsi="宋体"/>
                <w:color w:val="auto"/>
                <w:sz w:val="28"/>
                <w:szCs w:val="28"/>
              </w:rPr>
              <w:drawing>
                <wp:inline distT="0" distB="0" distL="114300" distR="114300">
                  <wp:extent cx="5095875" cy="3305175"/>
                  <wp:effectExtent l="0" t="0" r="9525" b="9525"/>
                  <wp:docPr id="86" name="图片 11" descr="六合一至乐业变220kV送出线路附图-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1" descr="六合一至乐业变220kV送出线路附图-Model"/>
                          <pic:cNvPicPr>
                            <a:picLocks noChangeAspect="1"/>
                          </pic:cNvPicPr>
                        </pic:nvPicPr>
                        <pic:blipFill>
                          <a:blip r:embed="rId26"/>
                          <a:srcRect l="5354" t="3357" r="5008" b="17578"/>
                          <a:stretch>
                            <a:fillRect/>
                          </a:stretch>
                        </pic:blipFill>
                        <pic:spPr>
                          <a:xfrm>
                            <a:off x="0" y="0"/>
                            <a:ext cx="5095875" cy="3305175"/>
                          </a:xfrm>
                          <a:prstGeom prst="rect">
                            <a:avLst/>
                          </a:prstGeom>
                          <a:noFill/>
                          <a:ln>
                            <a:noFill/>
                          </a:ln>
                        </pic:spPr>
                      </pic:pic>
                    </a:graphicData>
                  </a:graphic>
                </wp:inline>
              </w:drawing>
            </w:r>
          </w:p>
          <w:p w14:paraId="2B7F01AA">
            <w:pPr>
              <w:pStyle w:val="70"/>
              <w:adjustRightInd w:val="0"/>
              <w:snapToGrid w:val="0"/>
              <w:ind w:firstLine="0"/>
              <w:jc w:val="center"/>
              <w:rPr>
                <w:rFonts w:ascii="Times New Roman" w:hAnsi="Times New Roman"/>
                <w:b/>
                <w:bCs/>
                <w:color w:val="auto"/>
                <w:sz w:val="24"/>
              </w:rPr>
            </w:pPr>
            <w:r>
              <w:rPr>
                <w:rFonts w:ascii="Times New Roman" w:hAnsi="Times New Roman"/>
                <w:b/>
                <w:bCs/>
                <w:color w:val="auto"/>
                <w:sz w:val="24"/>
              </w:rPr>
              <w:t>图2-</w:t>
            </w:r>
            <w:r>
              <w:rPr>
                <w:rFonts w:hint="eastAsia" w:ascii="Times New Roman" w:hAnsi="Times New Roman"/>
                <w:b/>
                <w:bCs/>
                <w:color w:val="auto"/>
                <w:sz w:val="24"/>
              </w:rPr>
              <w:t>4</w:t>
            </w:r>
            <w:r>
              <w:rPr>
                <w:rFonts w:ascii="Times New Roman" w:hAnsi="Times New Roman"/>
                <w:b/>
                <w:bCs/>
                <w:color w:val="auto"/>
                <w:sz w:val="24"/>
              </w:rPr>
              <w:t xml:space="preserve">  500kV乐业变电站</w:t>
            </w:r>
            <w:r>
              <w:rPr>
                <w:rFonts w:hint="eastAsia" w:ascii="Times New Roman" w:hAnsi="Times New Roman"/>
                <w:b/>
                <w:bCs/>
                <w:color w:val="auto"/>
                <w:sz w:val="24"/>
              </w:rPr>
              <w:t>出线示意图</w:t>
            </w:r>
          </w:p>
          <w:p w14:paraId="426F9F70">
            <w:pPr>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rPr>
              <w:t>本次项目与依托工程相互关系见下表：</w:t>
            </w:r>
          </w:p>
          <w:p w14:paraId="4F446CDE">
            <w:pPr>
              <w:pStyle w:val="15"/>
              <w:spacing w:line="240" w:lineRule="auto"/>
              <w:jc w:val="center"/>
              <w:rPr>
                <w:rFonts w:ascii="Times New Roman" w:hAnsi="Times New Roman"/>
                <w:b/>
                <w:color w:val="auto"/>
                <w:sz w:val="24"/>
                <w:szCs w:val="24"/>
              </w:rPr>
            </w:pPr>
            <w:r>
              <w:rPr>
                <w:rFonts w:ascii="Times New Roman" w:hAnsi="Times New Roman"/>
                <w:b/>
                <w:color w:val="auto"/>
                <w:sz w:val="24"/>
                <w:szCs w:val="24"/>
              </w:rPr>
              <w:t>表2-</w:t>
            </w:r>
            <w:r>
              <w:rPr>
                <w:rFonts w:hint="eastAsia" w:ascii="Times New Roman" w:hAnsi="Times New Roman"/>
                <w:b/>
                <w:color w:val="auto"/>
                <w:sz w:val="24"/>
                <w:szCs w:val="24"/>
              </w:rPr>
              <w:t>4</w:t>
            </w:r>
            <w:r>
              <w:rPr>
                <w:rFonts w:ascii="Times New Roman" w:hAnsi="Times New Roman"/>
                <w:b/>
                <w:color w:val="auto"/>
                <w:sz w:val="24"/>
                <w:szCs w:val="24"/>
              </w:rPr>
              <w:t xml:space="preserve">  本次工程依托前期工程相</w:t>
            </w:r>
            <w:r>
              <w:rPr>
                <w:rFonts w:ascii="Times New Roman" w:hAnsi="Times New Roman"/>
                <w:b/>
                <w:color w:val="auto"/>
                <w:spacing w:val="-5"/>
                <w:sz w:val="24"/>
                <w:szCs w:val="24"/>
              </w:rPr>
              <w:t>互</w:t>
            </w:r>
            <w:r>
              <w:rPr>
                <w:rFonts w:ascii="Times New Roman" w:hAnsi="Times New Roman"/>
                <w:b/>
                <w:color w:val="auto"/>
                <w:sz w:val="24"/>
                <w:szCs w:val="24"/>
              </w:rPr>
              <w:t>关系</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63"/>
              <w:gridCol w:w="3722"/>
              <w:gridCol w:w="2205"/>
            </w:tblGrid>
            <w:tr w14:paraId="01F6F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7" w:type="pct"/>
                  <w:tcBorders>
                    <w:tl2br w:val="nil"/>
                    <w:tr2bl w:val="nil"/>
                  </w:tcBorders>
                  <w:vAlign w:val="center"/>
                </w:tcPr>
                <w:p w14:paraId="0F11710B">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依托</w:t>
                  </w:r>
                  <w:r>
                    <w:rPr>
                      <w:rFonts w:ascii="Times New Roman" w:hAnsi="Times New Roman"/>
                      <w:b/>
                      <w:bCs/>
                      <w:color w:val="auto"/>
                      <w:szCs w:val="21"/>
                    </w:rPr>
                    <w:t>工程</w:t>
                  </w:r>
                </w:p>
              </w:tc>
              <w:tc>
                <w:tcPr>
                  <w:tcW w:w="2218" w:type="pct"/>
                  <w:tcBorders>
                    <w:tl2br w:val="nil"/>
                    <w:tr2bl w:val="nil"/>
                  </w:tcBorders>
                  <w:vAlign w:val="center"/>
                </w:tcPr>
                <w:p w14:paraId="2B2A7828">
                  <w:pPr>
                    <w:adjustRightInd w:val="0"/>
                    <w:snapToGrid w:val="0"/>
                    <w:jc w:val="center"/>
                    <w:rPr>
                      <w:rFonts w:ascii="Times New Roman" w:hAnsi="Times New Roman"/>
                      <w:b/>
                      <w:bCs/>
                      <w:color w:val="auto"/>
                      <w:szCs w:val="21"/>
                    </w:rPr>
                  </w:pPr>
                  <w:r>
                    <w:rPr>
                      <w:rFonts w:ascii="Times New Roman" w:hAnsi="Times New Roman"/>
                      <w:b/>
                      <w:bCs/>
                      <w:color w:val="auto"/>
                      <w:szCs w:val="21"/>
                    </w:rPr>
                    <w:t>依托内容简况</w:t>
                  </w:r>
                </w:p>
              </w:tc>
              <w:tc>
                <w:tcPr>
                  <w:tcW w:w="1314" w:type="pct"/>
                  <w:tcBorders>
                    <w:tl2br w:val="nil"/>
                    <w:tr2bl w:val="nil"/>
                  </w:tcBorders>
                  <w:vAlign w:val="center"/>
                </w:tcPr>
                <w:p w14:paraId="1750631C">
                  <w:pPr>
                    <w:adjustRightInd w:val="0"/>
                    <w:snapToGrid w:val="0"/>
                    <w:jc w:val="center"/>
                    <w:rPr>
                      <w:rFonts w:ascii="Times New Roman" w:hAnsi="Times New Roman"/>
                      <w:b/>
                      <w:bCs/>
                      <w:color w:val="auto"/>
                      <w:szCs w:val="21"/>
                    </w:rPr>
                  </w:pPr>
                  <w:r>
                    <w:rPr>
                      <w:rFonts w:ascii="Times New Roman" w:hAnsi="Times New Roman"/>
                      <w:b/>
                      <w:bCs/>
                      <w:color w:val="auto"/>
                      <w:szCs w:val="21"/>
                    </w:rPr>
                    <w:t>与本项目关系</w:t>
                  </w:r>
                </w:p>
              </w:tc>
            </w:tr>
            <w:tr w14:paraId="79A9F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7" w:type="pct"/>
                  <w:tcBorders>
                    <w:tl2br w:val="nil"/>
                    <w:tr2bl w:val="nil"/>
                  </w:tcBorders>
                  <w:vAlign w:val="center"/>
                </w:tcPr>
                <w:p w14:paraId="7A24B3D0">
                  <w:pPr>
                    <w:adjustRightInd w:val="0"/>
                    <w:snapToGrid w:val="0"/>
                    <w:jc w:val="center"/>
                    <w:rPr>
                      <w:rFonts w:ascii="Times New Roman" w:hAnsi="Times New Roman"/>
                      <w:color w:val="auto"/>
                      <w:szCs w:val="21"/>
                    </w:rPr>
                  </w:pPr>
                  <w:r>
                    <w:rPr>
                      <w:rFonts w:ascii="Times New Roman" w:hAnsi="Times New Roman"/>
                      <w:color w:val="auto"/>
                      <w:szCs w:val="21"/>
                    </w:rPr>
                    <w:t>500千伏乐业输变电工程</w:t>
                  </w:r>
                </w:p>
              </w:tc>
              <w:tc>
                <w:tcPr>
                  <w:tcW w:w="2218" w:type="pct"/>
                  <w:tcBorders>
                    <w:tl2br w:val="nil"/>
                    <w:tr2bl w:val="nil"/>
                  </w:tcBorders>
                  <w:vAlign w:val="center"/>
                </w:tcPr>
                <w:p w14:paraId="6D133191">
                  <w:pPr>
                    <w:adjustRightInd w:val="0"/>
                    <w:snapToGrid w:val="0"/>
                    <w:jc w:val="center"/>
                    <w:rPr>
                      <w:rFonts w:ascii="Times New Roman" w:hAnsi="Times New Roman"/>
                      <w:color w:val="auto"/>
                      <w:szCs w:val="21"/>
                    </w:rPr>
                  </w:pPr>
                  <w:r>
                    <w:rPr>
                      <w:rFonts w:ascii="Times New Roman" w:hAnsi="Times New Roman"/>
                      <w:color w:val="auto"/>
                      <w:szCs w:val="21"/>
                    </w:rPr>
                    <w:t>500kV乐业变电站，已批复</w:t>
                  </w:r>
                  <w:r>
                    <w:rPr>
                      <w:rFonts w:hint="eastAsia" w:ascii="Times New Roman" w:hAnsi="Times New Roman"/>
                      <w:color w:val="auto"/>
                      <w:szCs w:val="21"/>
                    </w:rPr>
                    <w:t>（云环审〔2024〕2-15号）</w:t>
                  </w:r>
                  <w:r>
                    <w:rPr>
                      <w:rFonts w:ascii="Times New Roman" w:hAnsi="Times New Roman"/>
                      <w:color w:val="auto"/>
                      <w:szCs w:val="21"/>
                    </w:rPr>
                    <w:t>，</w:t>
                  </w:r>
                  <w:r>
                    <w:rPr>
                      <w:rFonts w:hint="eastAsia" w:ascii="Times New Roman" w:hAnsi="Times New Roman"/>
                      <w:color w:val="auto"/>
                      <w:szCs w:val="21"/>
                    </w:rPr>
                    <w:t>正在建设</w:t>
                  </w:r>
                  <w:r>
                    <w:rPr>
                      <w:rFonts w:ascii="Times New Roman" w:hAnsi="Times New Roman"/>
                      <w:color w:val="auto"/>
                      <w:szCs w:val="21"/>
                    </w:rPr>
                    <w:t>，暂未验收。</w:t>
                  </w:r>
                </w:p>
              </w:tc>
              <w:tc>
                <w:tcPr>
                  <w:tcW w:w="1314" w:type="pct"/>
                  <w:tcBorders>
                    <w:tl2br w:val="nil"/>
                    <w:tr2bl w:val="nil"/>
                  </w:tcBorders>
                  <w:vAlign w:val="center"/>
                </w:tcPr>
                <w:p w14:paraId="146173F3">
                  <w:pPr>
                    <w:adjustRightInd w:val="0"/>
                    <w:snapToGrid w:val="0"/>
                    <w:jc w:val="center"/>
                    <w:rPr>
                      <w:rFonts w:ascii="Times New Roman" w:hAnsi="Times New Roman"/>
                      <w:color w:val="auto"/>
                      <w:szCs w:val="21"/>
                    </w:rPr>
                  </w:pPr>
                  <w:r>
                    <w:rPr>
                      <w:rFonts w:ascii="Times New Roman" w:hAnsi="Times New Roman"/>
                      <w:color w:val="auto"/>
                      <w:szCs w:val="21"/>
                    </w:rPr>
                    <w:t>本次不新建</w:t>
                  </w:r>
                  <w:r>
                    <w:rPr>
                      <w:rFonts w:hint="eastAsia" w:ascii="Times New Roman" w:hAnsi="Times New Roman"/>
                      <w:color w:val="auto"/>
                      <w:szCs w:val="21"/>
                    </w:rPr>
                    <w:t>间隔</w:t>
                  </w:r>
                  <w:r>
                    <w:rPr>
                      <w:rFonts w:ascii="Times New Roman" w:hAnsi="Times New Roman"/>
                      <w:color w:val="auto"/>
                      <w:szCs w:val="21"/>
                    </w:rPr>
                    <w:t>，直接利用</w:t>
                  </w:r>
                </w:p>
              </w:tc>
            </w:tr>
            <w:tr w14:paraId="23BD4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7" w:type="pct"/>
                  <w:tcBorders>
                    <w:tl2br w:val="nil"/>
                    <w:tr2bl w:val="nil"/>
                  </w:tcBorders>
                  <w:vAlign w:val="center"/>
                </w:tcPr>
                <w:p w14:paraId="0871327E">
                  <w:pPr>
                    <w:adjustRightInd w:val="0"/>
                    <w:snapToGrid w:val="0"/>
                    <w:jc w:val="center"/>
                    <w:rPr>
                      <w:rFonts w:ascii="Times New Roman" w:hAnsi="Times New Roman"/>
                      <w:color w:val="auto"/>
                      <w:szCs w:val="21"/>
                    </w:rPr>
                  </w:pPr>
                  <w:r>
                    <w:rPr>
                      <w:rFonts w:ascii="Times New Roman" w:hAnsi="Times New Roman"/>
                      <w:color w:val="auto"/>
                      <w:szCs w:val="21"/>
                    </w:rPr>
                    <w:t>乐业镇清水村</w:t>
                  </w:r>
                  <w:r>
                    <w:rPr>
                      <w:rFonts w:hint="eastAsia" w:ascii="Times New Roman" w:hAnsi="Times New Roman"/>
                      <w:color w:val="auto"/>
                      <w:szCs w:val="21"/>
                    </w:rPr>
                    <w:t>六合一</w:t>
                  </w:r>
                  <w:r>
                    <w:rPr>
                      <w:rFonts w:ascii="Times New Roman" w:hAnsi="Times New Roman"/>
                      <w:color w:val="auto"/>
                      <w:szCs w:val="21"/>
                    </w:rPr>
                    <w:t>光伏项目</w:t>
                  </w:r>
                </w:p>
              </w:tc>
              <w:tc>
                <w:tcPr>
                  <w:tcW w:w="2218" w:type="pct"/>
                  <w:tcBorders>
                    <w:tl2br w:val="nil"/>
                    <w:tr2bl w:val="nil"/>
                  </w:tcBorders>
                  <w:vAlign w:val="center"/>
                </w:tcPr>
                <w:p w14:paraId="79AABEF2">
                  <w:pPr>
                    <w:adjustRightInd w:val="0"/>
                    <w:snapToGrid w:val="0"/>
                    <w:jc w:val="center"/>
                    <w:rPr>
                      <w:rFonts w:ascii="Times New Roman" w:hAnsi="Times New Roman"/>
                      <w:color w:val="auto"/>
                      <w:szCs w:val="21"/>
                    </w:rPr>
                  </w:pPr>
                  <w:r>
                    <w:rPr>
                      <w:rFonts w:ascii="Times New Roman" w:hAnsi="Times New Roman"/>
                      <w:color w:val="auto"/>
                      <w:szCs w:val="21"/>
                    </w:rPr>
                    <w:t>220kV</w:t>
                  </w:r>
                  <w:r>
                    <w:rPr>
                      <w:rFonts w:hint="eastAsia" w:ascii="Times New Roman" w:hAnsi="Times New Roman"/>
                      <w:color w:val="auto"/>
                      <w:szCs w:val="21"/>
                    </w:rPr>
                    <w:t>六合一</w:t>
                  </w:r>
                  <w:r>
                    <w:rPr>
                      <w:rFonts w:ascii="Times New Roman" w:hAnsi="Times New Roman"/>
                      <w:color w:val="auto"/>
                      <w:szCs w:val="21"/>
                    </w:rPr>
                    <w:t>升压站，已批复</w:t>
                  </w:r>
                  <w:r>
                    <w:rPr>
                      <w:rFonts w:hint="eastAsia" w:ascii="Times New Roman" w:hAnsi="Times New Roman"/>
                      <w:color w:val="auto"/>
                      <w:szCs w:val="21"/>
                    </w:rPr>
                    <w:t>（曲环审〔2022〕44号）</w:t>
                  </w:r>
                  <w:r>
                    <w:rPr>
                      <w:rFonts w:ascii="Times New Roman" w:hAnsi="Times New Roman"/>
                      <w:color w:val="auto"/>
                      <w:szCs w:val="21"/>
                    </w:rPr>
                    <w:t>，因规划调整，暂未验收。</w:t>
                  </w:r>
                </w:p>
              </w:tc>
              <w:tc>
                <w:tcPr>
                  <w:tcW w:w="1314" w:type="pct"/>
                  <w:tcBorders>
                    <w:tl2br w:val="nil"/>
                    <w:tr2bl w:val="nil"/>
                  </w:tcBorders>
                  <w:vAlign w:val="center"/>
                </w:tcPr>
                <w:p w14:paraId="266C4C71">
                  <w:pPr>
                    <w:adjustRightInd w:val="0"/>
                    <w:snapToGrid w:val="0"/>
                    <w:jc w:val="center"/>
                    <w:rPr>
                      <w:rFonts w:ascii="Times New Roman" w:hAnsi="Times New Roman"/>
                      <w:color w:val="auto"/>
                      <w:szCs w:val="21"/>
                    </w:rPr>
                  </w:pPr>
                  <w:r>
                    <w:rPr>
                      <w:rFonts w:ascii="Times New Roman" w:hAnsi="Times New Roman"/>
                      <w:color w:val="auto"/>
                      <w:szCs w:val="21"/>
                    </w:rPr>
                    <w:t>本次不新建</w:t>
                  </w:r>
                  <w:r>
                    <w:rPr>
                      <w:rFonts w:hint="eastAsia" w:ascii="Times New Roman" w:hAnsi="Times New Roman"/>
                      <w:color w:val="auto"/>
                      <w:szCs w:val="21"/>
                    </w:rPr>
                    <w:t>间隔</w:t>
                  </w:r>
                  <w:r>
                    <w:rPr>
                      <w:rFonts w:ascii="Times New Roman" w:hAnsi="Times New Roman"/>
                      <w:color w:val="auto"/>
                      <w:szCs w:val="21"/>
                    </w:rPr>
                    <w:t>，直接利用</w:t>
                  </w:r>
                </w:p>
              </w:tc>
            </w:tr>
          </w:tbl>
          <w:p w14:paraId="308176C8">
            <w:pPr>
              <w:adjustRightInd w:val="0"/>
              <w:snapToGrid w:val="0"/>
              <w:spacing w:line="440" w:lineRule="exact"/>
              <w:ind w:firstLine="480" w:firstLineChars="200"/>
              <w:rPr>
                <w:rFonts w:ascii="Times New Roman" w:hAnsi="Times New Roman"/>
                <w:b/>
                <w:color w:val="auto"/>
                <w:sz w:val="24"/>
              </w:rPr>
            </w:pPr>
            <w:r>
              <w:rPr>
                <w:rFonts w:hint="eastAsia" w:ascii="Times New Roman" w:hAnsi="Times New Roman"/>
                <w:color w:val="auto"/>
                <w:sz w:val="24"/>
                <w:szCs w:val="24"/>
              </w:rPr>
              <w:t>500kV乐业变电站</w:t>
            </w:r>
            <w:r>
              <w:rPr>
                <w:rFonts w:ascii="Times New Roman" w:hAnsi="Times New Roman"/>
                <w:color w:val="auto"/>
                <w:sz w:val="24"/>
                <w:szCs w:val="24"/>
              </w:rPr>
              <w:t>、220kV</w:t>
            </w:r>
            <w:r>
              <w:rPr>
                <w:rFonts w:hint="eastAsia" w:ascii="Times New Roman" w:hAnsi="Times New Roman"/>
                <w:color w:val="auto"/>
                <w:sz w:val="24"/>
                <w:szCs w:val="24"/>
              </w:rPr>
              <w:t>六合一</w:t>
            </w:r>
            <w:r>
              <w:rPr>
                <w:rFonts w:ascii="Times New Roman" w:hAnsi="Times New Roman"/>
                <w:color w:val="auto"/>
                <w:sz w:val="24"/>
                <w:szCs w:val="24"/>
              </w:rPr>
              <w:t>升压站依托站内前期建设的</w:t>
            </w:r>
            <w:r>
              <w:rPr>
                <w:rFonts w:hint="eastAsia" w:ascii="Times New Roman" w:hAnsi="Times New Roman"/>
                <w:color w:val="auto"/>
                <w:sz w:val="24"/>
                <w:szCs w:val="24"/>
              </w:rPr>
              <w:t>污水处理站</w:t>
            </w:r>
            <w:r>
              <w:rPr>
                <w:rFonts w:ascii="Times New Roman" w:hAnsi="Times New Roman"/>
                <w:color w:val="auto"/>
                <w:sz w:val="24"/>
                <w:szCs w:val="24"/>
              </w:rPr>
              <w:t>、垃圾桶、事故油池</w:t>
            </w:r>
            <w:r>
              <w:rPr>
                <w:rFonts w:hint="eastAsia" w:ascii="Times New Roman" w:hAnsi="Times New Roman"/>
                <w:color w:val="auto"/>
                <w:sz w:val="24"/>
                <w:szCs w:val="24"/>
              </w:rPr>
              <w:t>等</w:t>
            </w:r>
            <w:r>
              <w:rPr>
                <w:rFonts w:ascii="Times New Roman" w:hAnsi="Times New Roman"/>
                <w:color w:val="auto"/>
                <w:sz w:val="24"/>
                <w:szCs w:val="24"/>
              </w:rPr>
              <w:t>。本期工程不改变站内现有布置，无新增工作人员，无新增用水及排水，不新建事故油池；因此，本次依托升压站内现有设施合理可行。</w:t>
            </w:r>
          </w:p>
        </w:tc>
      </w:tr>
      <w:tr w14:paraId="2673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dxa"/>
            <w:shd w:val="clear" w:color="auto" w:fill="auto"/>
            <w:vAlign w:val="center"/>
          </w:tcPr>
          <w:p w14:paraId="0761980A">
            <w:pPr>
              <w:jc w:val="center"/>
              <w:rPr>
                <w:rFonts w:ascii="Times New Roman" w:hAnsi="Times New Roman"/>
                <w:b/>
                <w:color w:val="auto"/>
                <w:sz w:val="24"/>
                <w:szCs w:val="24"/>
              </w:rPr>
            </w:pPr>
            <w:r>
              <w:rPr>
                <w:rFonts w:ascii="Times New Roman" w:hAnsi="Times New Roman"/>
                <w:b/>
                <w:color w:val="auto"/>
                <w:sz w:val="24"/>
                <w:szCs w:val="24"/>
              </w:rPr>
              <w:t>总平面及现场布置</w:t>
            </w:r>
          </w:p>
          <w:p w14:paraId="4612639E">
            <w:pPr>
              <w:jc w:val="center"/>
              <w:rPr>
                <w:rFonts w:ascii="Times New Roman" w:hAnsi="Times New Roman"/>
                <w:b/>
                <w:color w:val="auto"/>
                <w:sz w:val="24"/>
                <w:szCs w:val="24"/>
              </w:rPr>
            </w:pPr>
          </w:p>
        </w:tc>
        <w:tc>
          <w:tcPr>
            <w:tcW w:w="8609" w:type="dxa"/>
            <w:shd w:val="clear" w:color="auto" w:fill="auto"/>
          </w:tcPr>
          <w:p w14:paraId="4A846FC7">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1、工程占地</w:t>
            </w:r>
          </w:p>
          <w:p w14:paraId="55C0F4CA">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szCs w:val="24"/>
              </w:rPr>
              <w:t>本项目位于</w:t>
            </w:r>
            <w:r>
              <w:rPr>
                <w:rFonts w:hint="eastAsia" w:ascii="Times New Roman" w:hAnsi="Times New Roman"/>
                <w:color w:val="auto"/>
                <w:sz w:val="24"/>
                <w:szCs w:val="24"/>
              </w:rPr>
              <w:t>会泽县乐业镇境内</w:t>
            </w:r>
            <w:r>
              <w:rPr>
                <w:rFonts w:ascii="Times New Roman" w:hAnsi="Times New Roman"/>
                <w:color w:val="auto"/>
                <w:sz w:val="24"/>
                <w:szCs w:val="24"/>
              </w:rPr>
              <w:t>，根据主体工程设计资料及《</w:t>
            </w: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水土保持方案报告表》，</w:t>
            </w:r>
            <w:bookmarkStart w:id="2" w:name="OLE_LINK108"/>
            <w:bookmarkStart w:id="3" w:name="OLE_LINK107"/>
            <w:r>
              <w:rPr>
                <w:rFonts w:ascii="Times New Roman" w:hAnsi="Times New Roman"/>
                <w:color w:val="auto"/>
                <w:sz w:val="24"/>
                <w:szCs w:val="24"/>
              </w:rPr>
              <w:t>项目占地面积为0.92hm</w:t>
            </w:r>
            <w:r>
              <w:rPr>
                <w:rFonts w:ascii="Times New Roman" w:hAnsi="Times New Roman"/>
                <w:color w:val="auto"/>
                <w:sz w:val="24"/>
                <w:szCs w:val="24"/>
                <w:vertAlign w:val="superscript"/>
              </w:rPr>
              <w:t>2</w:t>
            </w:r>
            <w:r>
              <w:rPr>
                <w:rFonts w:ascii="Times New Roman" w:hAnsi="Times New Roman"/>
                <w:color w:val="auto"/>
                <w:sz w:val="24"/>
                <w:szCs w:val="24"/>
              </w:rPr>
              <w:t>，其中永久占地0.38hm</w:t>
            </w:r>
            <w:r>
              <w:rPr>
                <w:rFonts w:ascii="Times New Roman" w:hAnsi="Times New Roman"/>
                <w:color w:val="auto"/>
                <w:sz w:val="24"/>
                <w:szCs w:val="24"/>
                <w:vertAlign w:val="superscript"/>
              </w:rPr>
              <w:t>2</w:t>
            </w:r>
            <w:r>
              <w:rPr>
                <w:rFonts w:ascii="Times New Roman" w:hAnsi="Times New Roman"/>
                <w:color w:val="auto"/>
                <w:sz w:val="24"/>
                <w:szCs w:val="24"/>
              </w:rPr>
              <w:t>，临时占地0.54hm</w:t>
            </w:r>
            <w:r>
              <w:rPr>
                <w:rFonts w:ascii="Times New Roman" w:hAnsi="Times New Roman"/>
                <w:color w:val="auto"/>
                <w:sz w:val="24"/>
                <w:szCs w:val="24"/>
                <w:vertAlign w:val="superscript"/>
              </w:rPr>
              <w:t>2</w:t>
            </w:r>
            <w:r>
              <w:rPr>
                <w:rFonts w:ascii="Times New Roman" w:hAnsi="Times New Roman"/>
                <w:color w:val="auto"/>
                <w:sz w:val="24"/>
                <w:szCs w:val="24"/>
              </w:rPr>
              <w:t>。项目占地中林地面积为0.65hm</w:t>
            </w:r>
            <w:r>
              <w:rPr>
                <w:rFonts w:ascii="Times New Roman" w:hAnsi="Times New Roman"/>
                <w:color w:val="auto"/>
                <w:sz w:val="24"/>
                <w:szCs w:val="24"/>
                <w:vertAlign w:val="superscript"/>
              </w:rPr>
              <w:t>2</w:t>
            </w:r>
            <w:r>
              <w:rPr>
                <w:rFonts w:ascii="Times New Roman" w:hAnsi="Times New Roman"/>
                <w:color w:val="auto"/>
                <w:sz w:val="24"/>
                <w:szCs w:val="24"/>
              </w:rPr>
              <w:t>，草地面积为0.15hm</w:t>
            </w:r>
            <w:r>
              <w:rPr>
                <w:rFonts w:ascii="Times New Roman" w:hAnsi="Times New Roman"/>
                <w:color w:val="auto"/>
                <w:sz w:val="24"/>
                <w:szCs w:val="24"/>
                <w:vertAlign w:val="superscript"/>
              </w:rPr>
              <w:t>2</w:t>
            </w:r>
            <w:r>
              <w:rPr>
                <w:rFonts w:ascii="Times New Roman" w:hAnsi="Times New Roman"/>
                <w:color w:val="auto"/>
                <w:sz w:val="24"/>
                <w:szCs w:val="24"/>
              </w:rPr>
              <w:t>，耕地面积为0.12hm</w:t>
            </w:r>
            <w:r>
              <w:rPr>
                <w:rFonts w:ascii="Times New Roman" w:hAnsi="Times New Roman"/>
                <w:color w:val="auto"/>
                <w:sz w:val="24"/>
                <w:szCs w:val="24"/>
                <w:vertAlign w:val="superscript"/>
              </w:rPr>
              <w:t>2</w:t>
            </w:r>
            <w:r>
              <w:rPr>
                <w:rFonts w:ascii="Times New Roman" w:hAnsi="Times New Roman"/>
                <w:color w:val="auto"/>
                <w:sz w:val="24"/>
                <w:szCs w:val="24"/>
              </w:rPr>
              <w:t>。</w:t>
            </w:r>
            <w:bookmarkEnd w:id="2"/>
            <w:bookmarkEnd w:id="3"/>
            <w:r>
              <w:rPr>
                <w:rFonts w:ascii="Times New Roman" w:hAnsi="Times New Roman"/>
                <w:color w:val="auto"/>
                <w:sz w:val="24"/>
              </w:rPr>
              <w:t>各分区具体占地类型及面积见表2-</w:t>
            </w:r>
            <w:r>
              <w:rPr>
                <w:rFonts w:hint="eastAsia" w:ascii="Times New Roman" w:hAnsi="Times New Roman"/>
                <w:color w:val="auto"/>
                <w:sz w:val="24"/>
              </w:rPr>
              <w:t>5</w:t>
            </w:r>
            <w:r>
              <w:rPr>
                <w:rFonts w:ascii="Times New Roman" w:hAnsi="Times New Roman"/>
                <w:color w:val="auto"/>
                <w:sz w:val="24"/>
              </w:rPr>
              <w:t>。</w:t>
            </w:r>
          </w:p>
          <w:p w14:paraId="667BDEDE">
            <w:pPr>
              <w:adjustRightInd w:val="0"/>
              <w:snapToGrid w:val="0"/>
              <w:ind w:firstLine="482" w:firstLineChars="200"/>
              <w:jc w:val="center"/>
              <w:textAlignment w:val="baseline"/>
              <w:rPr>
                <w:rFonts w:ascii="Times New Roman" w:hAnsi="Times New Roman"/>
                <w:b/>
                <w:bCs/>
                <w:color w:val="auto"/>
                <w:sz w:val="24"/>
              </w:rPr>
            </w:pPr>
            <w:r>
              <w:rPr>
                <w:rFonts w:ascii="Times New Roman" w:hAnsi="Times New Roman"/>
                <w:b/>
                <w:bCs/>
                <w:color w:val="auto"/>
                <w:sz w:val="24"/>
              </w:rPr>
              <w:t>表2-</w:t>
            </w:r>
            <w:r>
              <w:rPr>
                <w:rFonts w:hint="eastAsia" w:ascii="Times New Roman" w:hAnsi="Times New Roman"/>
                <w:b/>
                <w:bCs/>
                <w:color w:val="auto"/>
                <w:sz w:val="24"/>
              </w:rPr>
              <w:t>5</w:t>
            </w:r>
            <w:r>
              <w:rPr>
                <w:rFonts w:ascii="Times New Roman" w:hAnsi="Times New Roman"/>
                <w:b/>
                <w:bCs/>
                <w:color w:val="auto"/>
                <w:sz w:val="24"/>
              </w:rPr>
              <w:t xml:space="preserve">  工程占地类型及面积统计表</w:t>
            </w:r>
          </w:p>
          <w:tbl>
            <w:tblPr>
              <w:tblStyle w:val="27"/>
              <w:tblW w:w="4998" w:type="pct"/>
              <w:tblInd w:w="1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998"/>
              <w:gridCol w:w="1273"/>
              <w:gridCol w:w="1279"/>
              <w:gridCol w:w="1279"/>
              <w:gridCol w:w="1282"/>
              <w:gridCol w:w="1279"/>
            </w:tblGrid>
            <w:tr w14:paraId="2671FD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90" w:type="pct"/>
                  <w:vMerge w:val="restart"/>
                  <w:tcBorders>
                    <w:tl2br w:val="nil"/>
                    <w:tr2bl w:val="nil"/>
                  </w:tcBorders>
                  <w:shd w:val="clear" w:color="auto" w:fill="auto"/>
                  <w:noWrap/>
                  <w:vAlign w:val="center"/>
                </w:tcPr>
                <w:p w14:paraId="3921E3A9">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防治分区</w:t>
                  </w:r>
                </w:p>
              </w:tc>
              <w:tc>
                <w:tcPr>
                  <w:tcW w:w="758" w:type="pct"/>
                  <w:vMerge w:val="restart"/>
                  <w:tcBorders>
                    <w:tl2br w:val="nil"/>
                    <w:tr2bl w:val="nil"/>
                  </w:tcBorders>
                  <w:shd w:val="clear" w:color="auto" w:fill="auto"/>
                  <w:vAlign w:val="center"/>
                </w:tcPr>
                <w:p w14:paraId="64278B48">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总面积（hm</w:t>
                  </w:r>
                  <w:r>
                    <w:rPr>
                      <w:rFonts w:ascii="Times New Roman" w:hAnsi="Times New Roman"/>
                      <w:b/>
                      <w:bCs/>
                      <w:color w:val="auto"/>
                      <w:kern w:val="0"/>
                      <w:szCs w:val="21"/>
                      <w:vertAlign w:val="superscript"/>
                      <w:lang w:bidi="ar"/>
                    </w:rPr>
                    <w:t>2</w:t>
                  </w:r>
                  <w:r>
                    <w:rPr>
                      <w:rFonts w:ascii="Times New Roman" w:hAnsi="Times New Roman"/>
                      <w:b/>
                      <w:bCs/>
                      <w:color w:val="auto"/>
                      <w:kern w:val="0"/>
                      <w:szCs w:val="21"/>
                      <w:lang w:bidi="ar"/>
                    </w:rPr>
                    <w:t>）</w:t>
                  </w:r>
                </w:p>
              </w:tc>
              <w:tc>
                <w:tcPr>
                  <w:tcW w:w="2288" w:type="pct"/>
                  <w:gridSpan w:val="3"/>
                  <w:tcBorders>
                    <w:tl2br w:val="nil"/>
                    <w:tr2bl w:val="nil"/>
                  </w:tcBorders>
                  <w:shd w:val="clear" w:color="auto" w:fill="auto"/>
                  <w:noWrap/>
                  <w:vAlign w:val="center"/>
                </w:tcPr>
                <w:p w14:paraId="5C172E88">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占地类型（hm</w:t>
                  </w:r>
                  <w:r>
                    <w:rPr>
                      <w:rFonts w:ascii="Times New Roman" w:hAnsi="Times New Roman"/>
                      <w:b/>
                      <w:bCs/>
                      <w:color w:val="auto"/>
                      <w:kern w:val="0"/>
                      <w:szCs w:val="21"/>
                      <w:vertAlign w:val="superscript"/>
                      <w:lang w:bidi="ar"/>
                    </w:rPr>
                    <w:t>2</w:t>
                  </w:r>
                  <w:r>
                    <w:rPr>
                      <w:rFonts w:ascii="Times New Roman" w:hAnsi="Times New Roman"/>
                      <w:b/>
                      <w:bCs/>
                      <w:color w:val="auto"/>
                      <w:kern w:val="0"/>
                      <w:szCs w:val="21"/>
                      <w:lang w:bidi="ar"/>
                    </w:rPr>
                    <w:t>）</w:t>
                  </w:r>
                </w:p>
              </w:tc>
              <w:tc>
                <w:tcPr>
                  <w:tcW w:w="762" w:type="pct"/>
                  <w:vMerge w:val="restart"/>
                  <w:tcBorders>
                    <w:tl2br w:val="nil"/>
                    <w:tr2bl w:val="nil"/>
                  </w:tcBorders>
                  <w:shd w:val="clear" w:color="auto" w:fill="auto"/>
                  <w:noWrap/>
                  <w:vAlign w:val="center"/>
                </w:tcPr>
                <w:p w14:paraId="00610E66">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占地性质</w:t>
                  </w:r>
                </w:p>
              </w:tc>
            </w:tr>
            <w:tr w14:paraId="4EF2D9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90" w:type="pct"/>
                  <w:vMerge w:val="continue"/>
                  <w:tcBorders>
                    <w:tl2br w:val="nil"/>
                    <w:tr2bl w:val="nil"/>
                  </w:tcBorders>
                  <w:shd w:val="clear" w:color="auto" w:fill="auto"/>
                  <w:noWrap/>
                  <w:vAlign w:val="center"/>
                </w:tcPr>
                <w:p w14:paraId="7E0D61CE">
                  <w:pPr>
                    <w:widowControl/>
                    <w:adjustRightInd w:val="0"/>
                    <w:snapToGrid w:val="0"/>
                    <w:jc w:val="center"/>
                    <w:rPr>
                      <w:rFonts w:ascii="Times New Roman" w:hAnsi="Times New Roman"/>
                      <w:b/>
                      <w:bCs/>
                      <w:color w:val="auto"/>
                      <w:szCs w:val="21"/>
                    </w:rPr>
                  </w:pPr>
                </w:p>
              </w:tc>
              <w:tc>
                <w:tcPr>
                  <w:tcW w:w="758" w:type="pct"/>
                  <w:vMerge w:val="continue"/>
                  <w:tcBorders>
                    <w:tl2br w:val="nil"/>
                    <w:tr2bl w:val="nil"/>
                  </w:tcBorders>
                  <w:shd w:val="clear" w:color="auto" w:fill="auto"/>
                  <w:vAlign w:val="center"/>
                </w:tcPr>
                <w:p w14:paraId="626E1717">
                  <w:pPr>
                    <w:widowControl/>
                    <w:adjustRightInd w:val="0"/>
                    <w:snapToGrid w:val="0"/>
                    <w:jc w:val="center"/>
                    <w:rPr>
                      <w:rFonts w:ascii="Times New Roman" w:hAnsi="Times New Roman"/>
                      <w:b/>
                      <w:bCs/>
                      <w:color w:val="auto"/>
                      <w:szCs w:val="21"/>
                    </w:rPr>
                  </w:pPr>
                </w:p>
              </w:tc>
              <w:tc>
                <w:tcPr>
                  <w:tcW w:w="762" w:type="pct"/>
                  <w:tcBorders>
                    <w:tl2br w:val="nil"/>
                    <w:tr2bl w:val="nil"/>
                  </w:tcBorders>
                  <w:shd w:val="clear" w:color="auto" w:fill="auto"/>
                  <w:noWrap/>
                  <w:vAlign w:val="center"/>
                </w:tcPr>
                <w:p w14:paraId="3478C5EB">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林地</w:t>
                  </w:r>
                </w:p>
              </w:tc>
              <w:tc>
                <w:tcPr>
                  <w:tcW w:w="762" w:type="pct"/>
                  <w:tcBorders>
                    <w:tl2br w:val="nil"/>
                    <w:tr2bl w:val="nil"/>
                  </w:tcBorders>
                  <w:shd w:val="clear" w:color="auto" w:fill="auto"/>
                  <w:noWrap/>
                  <w:vAlign w:val="center"/>
                </w:tcPr>
                <w:p w14:paraId="184D85D1">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草地</w:t>
                  </w:r>
                </w:p>
              </w:tc>
              <w:tc>
                <w:tcPr>
                  <w:tcW w:w="762" w:type="pct"/>
                  <w:tcBorders>
                    <w:tl2br w:val="nil"/>
                    <w:tr2bl w:val="nil"/>
                  </w:tcBorders>
                  <w:shd w:val="clear" w:color="auto" w:fill="auto"/>
                  <w:noWrap/>
                  <w:vAlign w:val="center"/>
                </w:tcPr>
                <w:p w14:paraId="7113544D">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耕地</w:t>
                  </w:r>
                </w:p>
              </w:tc>
              <w:tc>
                <w:tcPr>
                  <w:tcW w:w="762" w:type="pct"/>
                  <w:vMerge w:val="continue"/>
                  <w:tcBorders>
                    <w:tl2br w:val="nil"/>
                    <w:tr2bl w:val="nil"/>
                  </w:tcBorders>
                  <w:shd w:val="clear" w:color="auto" w:fill="auto"/>
                  <w:noWrap/>
                  <w:vAlign w:val="center"/>
                </w:tcPr>
                <w:p w14:paraId="0D9602B7">
                  <w:pPr>
                    <w:widowControl/>
                    <w:adjustRightInd w:val="0"/>
                    <w:snapToGrid w:val="0"/>
                    <w:jc w:val="center"/>
                    <w:rPr>
                      <w:rFonts w:ascii="Times New Roman" w:hAnsi="Times New Roman"/>
                      <w:b/>
                      <w:bCs/>
                      <w:color w:val="auto"/>
                      <w:szCs w:val="21"/>
                    </w:rPr>
                  </w:pPr>
                </w:p>
              </w:tc>
            </w:tr>
            <w:tr w14:paraId="7CA469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90" w:type="pct"/>
                  <w:tcBorders>
                    <w:tl2br w:val="nil"/>
                    <w:tr2bl w:val="nil"/>
                  </w:tcBorders>
                  <w:shd w:val="clear" w:color="auto" w:fill="auto"/>
                  <w:noWrap/>
                  <w:vAlign w:val="center"/>
                </w:tcPr>
                <w:p w14:paraId="55A05DAD">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塔基区</w:t>
                  </w:r>
                </w:p>
              </w:tc>
              <w:tc>
                <w:tcPr>
                  <w:tcW w:w="758" w:type="pct"/>
                  <w:tcBorders>
                    <w:tl2br w:val="nil"/>
                    <w:tr2bl w:val="nil"/>
                  </w:tcBorders>
                  <w:shd w:val="clear" w:color="auto" w:fill="auto"/>
                  <w:noWrap/>
                  <w:vAlign w:val="center"/>
                </w:tcPr>
                <w:p w14:paraId="04368F3E">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0.38 </w:t>
                  </w:r>
                </w:p>
              </w:tc>
              <w:tc>
                <w:tcPr>
                  <w:tcW w:w="762" w:type="pct"/>
                  <w:tcBorders>
                    <w:tl2br w:val="nil"/>
                    <w:tr2bl w:val="nil"/>
                  </w:tcBorders>
                  <w:shd w:val="clear" w:color="auto" w:fill="auto"/>
                  <w:noWrap/>
                  <w:vAlign w:val="center"/>
                </w:tcPr>
                <w:p w14:paraId="3C21E563">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0.28 </w:t>
                  </w:r>
                </w:p>
              </w:tc>
              <w:tc>
                <w:tcPr>
                  <w:tcW w:w="762" w:type="pct"/>
                  <w:tcBorders>
                    <w:tl2br w:val="nil"/>
                    <w:tr2bl w:val="nil"/>
                  </w:tcBorders>
                  <w:shd w:val="clear" w:color="auto" w:fill="auto"/>
                  <w:noWrap/>
                  <w:vAlign w:val="center"/>
                </w:tcPr>
                <w:p w14:paraId="7B69D2B7">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0.02 </w:t>
                  </w:r>
                </w:p>
              </w:tc>
              <w:tc>
                <w:tcPr>
                  <w:tcW w:w="762" w:type="pct"/>
                  <w:tcBorders>
                    <w:tl2br w:val="nil"/>
                    <w:tr2bl w:val="nil"/>
                  </w:tcBorders>
                  <w:shd w:val="clear" w:color="auto" w:fill="auto"/>
                  <w:noWrap/>
                  <w:vAlign w:val="center"/>
                </w:tcPr>
                <w:p w14:paraId="25C5A8D3">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0.08 </w:t>
                  </w:r>
                </w:p>
              </w:tc>
              <w:tc>
                <w:tcPr>
                  <w:tcW w:w="762" w:type="pct"/>
                  <w:tcBorders>
                    <w:tl2br w:val="nil"/>
                    <w:tr2bl w:val="nil"/>
                  </w:tcBorders>
                  <w:shd w:val="clear" w:color="auto" w:fill="auto"/>
                  <w:noWrap/>
                  <w:vAlign w:val="center"/>
                </w:tcPr>
                <w:p w14:paraId="2AEA6153">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永久</w:t>
                  </w:r>
                </w:p>
              </w:tc>
            </w:tr>
            <w:tr w14:paraId="672EBA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90" w:type="pct"/>
                  <w:tcBorders>
                    <w:tl2br w:val="nil"/>
                    <w:tr2bl w:val="nil"/>
                  </w:tcBorders>
                  <w:shd w:val="clear" w:color="auto" w:fill="auto"/>
                  <w:noWrap/>
                  <w:vAlign w:val="center"/>
                </w:tcPr>
                <w:p w14:paraId="4A66634A">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塔基施工场地区</w:t>
                  </w:r>
                </w:p>
              </w:tc>
              <w:tc>
                <w:tcPr>
                  <w:tcW w:w="758" w:type="pct"/>
                  <w:tcBorders>
                    <w:tl2br w:val="nil"/>
                    <w:tr2bl w:val="nil"/>
                  </w:tcBorders>
                  <w:shd w:val="clear" w:color="auto" w:fill="auto"/>
                  <w:noWrap/>
                  <w:vAlign w:val="center"/>
                </w:tcPr>
                <w:p w14:paraId="54FBD9C9">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0.20 </w:t>
                  </w:r>
                </w:p>
              </w:tc>
              <w:tc>
                <w:tcPr>
                  <w:tcW w:w="762" w:type="pct"/>
                  <w:tcBorders>
                    <w:tl2br w:val="nil"/>
                    <w:tr2bl w:val="nil"/>
                  </w:tcBorders>
                  <w:shd w:val="clear" w:color="auto" w:fill="auto"/>
                  <w:noWrap/>
                  <w:vAlign w:val="center"/>
                </w:tcPr>
                <w:p w14:paraId="5CDECDEF">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0.15 </w:t>
                  </w:r>
                </w:p>
              </w:tc>
              <w:tc>
                <w:tcPr>
                  <w:tcW w:w="762" w:type="pct"/>
                  <w:tcBorders>
                    <w:tl2br w:val="nil"/>
                    <w:tr2bl w:val="nil"/>
                  </w:tcBorders>
                  <w:shd w:val="clear" w:color="auto" w:fill="auto"/>
                  <w:noWrap/>
                  <w:vAlign w:val="center"/>
                </w:tcPr>
                <w:p w14:paraId="6A8F2276">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0.01 </w:t>
                  </w:r>
                </w:p>
              </w:tc>
              <w:tc>
                <w:tcPr>
                  <w:tcW w:w="762" w:type="pct"/>
                  <w:tcBorders>
                    <w:tl2br w:val="nil"/>
                    <w:tr2bl w:val="nil"/>
                  </w:tcBorders>
                  <w:shd w:val="clear" w:color="auto" w:fill="auto"/>
                  <w:noWrap/>
                  <w:vAlign w:val="center"/>
                </w:tcPr>
                <w:p w14:paraId="102A0481">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0.04 </w:t>
                  </w:r>
                </w:p>
              </w:tc>
              <w:tc>
                <w:tcPr>
                  <w:tcW w:w="762" w:type="pct"/>
                  <w:tcBorders>
                    <w:tl2br w:val="nil"/>
                    <w:tr2bl w:val="nil"/>
                  </w:tcBorders>
                  <w:shd w:val="clear" w:color="auto" w:fill="auto"/>
                  <w:noWrap/>
                  <w:vAlign w:val="center"/>
                </w:tcPr>
                <w:p w14:paraId="36FB711A">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临时</w:t>
                  </w:r>
                </w:p>
              </w:tc>
            </w:tr>
            <w:tr w14:paraId="6E5EB5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90" w:type="pct"/>
                  <w:tcBorders>
                    <w:tl2br w:val="nil"/>
                    <w:tr2bl w:val="nil"/>
                  </w:tcBorders>
                  <w:shd w:val="clear" w:color="auto" w:fill="auto"/>
                  <w:noWrap/>
                  <w:vAlign w:val="center"/>
                </w:tcPr>
                <w:p w14:paraId="06BC5C96">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跨越施工场地区</w:t>
                  </w:r>
                </w:p>
              </w:tc>
              <w:tc>
                <w:tcPr>
                  <w:tcW w:w="758" w:type="pct"/>
                  <w:tcBorders>
                    <w:tl2br w:val="nil"/>
                    <w:tr2bl w:val="nil"/>
                  </w:tcBorders>
                  <w:shd w:val="clear" w:color="auto" w:fill="auto"/>
                  <w:noWrap/>
                  <w:vAlign w:val="center"/>
                </w:tcPr>
                <w:p w14:paraId="0338A2E3">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0.03 </w:t>
                  </w:r>
                </w:p>
              </w:tc>
              <w:tc>
                <w:tcPr>
                  <w:tcW w:w="762" w:type="pct"/>
                  <w:tcBorders>
                    <w:tl2br w:val="nil"/>
                    <w:tr2bl w:val="nil"/>
                  </w:tcBorders>
                  <w:shd w:val="clear" w:color="auto" w:fill="auto"/>
                  <w:noWrap/>
                  <w:vAlign w:val="center"/>
                </w:tcPr>
                <w:p w14:paraId="2ECDA161">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21B4C196">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0.03 </w:t>
                  </w:r>
                </w:p>
              </w:tc>
              <w:tc>
                <w:tcPr>
                  <w:tcW w:w="762" w:type="pct"/>
                  <w:tcBorders>
                    <w:tl2br w:val="nil"/>
                    <w:tr2bl w:val="nil"/>
                  </w:tcBorders>
                  <w:shd w:val="clear" w:color="auto" w:fill="auto"/>
                  <w:noWrap/>
                  <w:vAlign w:val="center"/>
                </w:tcPr>
                <w:p w14:paraId="2E735C94">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1AB35F60">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临时</w:t>
                  </w:r>
                </w:p>
              </w:tc>
            </w:tr>
            <w:tr w14:paraId="1D0690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90" w:type="pct"/>
                  <w:tcBorders>
                    <w:tl2br w:val="nil"/>
                    <w:tr2bl w:val="nil"/>
                  </w:tcBorders>
                  <w:shd w:val="clear" w:color="auto" w:fill="auto"/>
                  <w:noWrap/>
                  <w:vAlign w:val="center"/>
                </w:tcPr>
                <w:p w14:paraId="42751218">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牵张场地区</w:t>
                  </w:r>
                </w:p>
              </w:tc>
              <w:tc>
                <w:tcPr>
                  <w:tcW w:w="758" w:type="pct"/>
                  <w:tcBorders>
                    <w:tl2br w:val="nil"/>
                    <w:tr2bl w:val="nil"/>
                  </w:tcBorders>
                  <w:shd w:val="clear" w:color="auto" w:fill="auto"/>
                  <w:noWrap/>
                  <w:vAlign w:val="center"/>
                </w:tcPr>
                <w:p w14:paraId="2043FEF5">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0.09 </w:t>
                  </w:r>
                </w:p>
              </w:tc>
              <w:tc>
                <w:tcPr>
                  <w:tcW w:w="762" w:type="pct"/>
                  <w:tcBorders>
                    <w:tl2br w:val="nil"/>
                    <w:tr2bl w:val="nil"/>
                  </w:tcBorders>
                  <w:shd w:val="clear" w:color="auto" w:fill="auto"/>
                  <w:noWrap/>
                  <w:vAlign w:val="center"/>
                </w:tcPr>
                <w:p w14:paraId="6B98C77B">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5F29A8A7">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0.09 </w:t>
                  </w:r>
                </w:p>
              </w:tc>
              <w:tc>
                <w:tcPr>
                  <w:tcW w:w="762" w:type="pct"/>
                  <w:tcBorders>
                    <w:tl2br w:val="nil"/>
                    <w:tr2bl w:val="nil"/>
                  </w:tcBorders>
                  <w:shd w:val="clear" w:color="auto" w:fill="auto"/>
                  <w:noWrap/>
                  <w:vAlign w:val="center"/>
                </w:tcPr>
                <w:p w14:paraId="5C37E8F5">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67F0D41F">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临时</w:t>
                  </w:r>
                </w:p>
              </w:tc>
            </w:tr>
            <w:tr w14:paraId="0FB4D7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90" w:type="pct"/>
                  <w:tcBorders>
                    <w:tl2br w:val="nil"/>
                    <w:tr2bl w:val="nil"/>
                  </w:tcBorders>
                  <w:shd w:val="clear" w:color="auto" w:fill="auto"/>
                  <w:noWrap/>
                  <w:vAlign w:val="center"/>
                </w:tcPr>
                <w:p w14:paraId="1FDA375C">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人行驼道区</w:t>
                  </w:r>
                </w:p>
              </w:tc>
              <w:tc>
                <w:tcPr>
                  <w:tcW w:w="758" w:type="pct"/>
                  <w:tcBorders>
                    <w:tl2br w:val="nil"/>
                    <w:tr2bl w:val="nil"/>
                  </w:tcBorders>
                  <w:shd w:val="clear" w:color="auto" w:fill="auto"/>
                  <w:noWrap/>
                  <w:vAlign w:val="center"/>
                </w:tcPr>
                <w:p w14:paraId="118A7B0C">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0.22 </w:t>
                  </w:r>
                </w:p>
              </w:tc>
              <w:tc>
                <w:tcPr>
                  <w:tcW w:w="762" w:type="pct"/>
                  <w:tcBorders>
                    <w:tl2br w:val="nil"/>
                    <w:tr2bl w:val="nil"/>
                  </w:tcBorders>
                  <w:shd w:val="clear" w:color="auto" w:fill="auto"/>
                  <w:noWrap/>
                  <w:vAlign w:val="center"/>
                </w:tcPr>
                <w:p w14:paraId="089F3ECC">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 xml:space="preserve">0.22 </w:t>
                  </w:r>
                </w:p>
              </w:tc>
              <w:tc>
                <w:tcPr>
                  <w:tcW w:w="762" w:type="pct"/>
                  <w:tcBorders>
                    <w:tl2br w:val="nil"/>
                    <w:tr2bl w:val="nil"/>
                  </w:tcBorders>
                  <w:shd w:val="clear" w:color="auto" w:fill="auto"/>
                  <w:noWrap/>
                  <w:vAlign w:val="center"/>
                </w:tcPr>
                <w:p w14:paraId="6038DDDE">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00A46B9D">
                  <w:pPr>
                    <w:widowControl/>
                    <w:adjustRightInd w:val="0"/>
                    <w:snapToGrid w:val="0"/>
                    <w:jc w:val="center"/>
                    <w:textAlignment w:val="center"/>
                    <w:rPr>
                      <w:rFonts w:ascii="Times New Roman" w:hAnsi="Times New Roman"/>
                      <w:color w:val="auto"/>
                      <w:szCs w:val="21"/>
                    </w:rPr>
                  </w:pPr>
                </w:p>
              </w:tc>
              <w:tc>
                <w:tcPr>
                  <w:tcW w:w="762" w:type="pct"/>
                  <w:tcBorders>
                    <w:tl2br w:val="nil"/>
                    <w:tr2bl w:val="nil"/>
                  </w:tcBorders>
                  <w:shd w:val="clear" w:color="auto" w:fill="auto"/>
                  <w:noWrap/>
                  <w:vAlign w:val="center"/>
                </w:tcPr>
                <w:p w14:paraId="3EC110F8">
                  <w:pPr>
                    <w:widowControl/>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临时</w:t>
                  </w:r>
                </w:p>
              </w:tc>
            </w:tr>
            <w:tr w14:paraId="4495DA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90" w:type="pct"/>
                  <w:tcBorders>
                    <w:tl2br w:val="nil"/>
                    <w:tr2bl w:val="nil"/>
                  </w:tcBorders>
                  <w:shd w:val="clear" w:color="auto" w:fill="auto"/>
                  <w:noWrap/>
                  <w:vAlign w:val="center"/>
                </w:tcPr>
                <w:p w14:paraId="27A92FA9">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合计</w:t>
                  </w:r>
                </w:p>
              </w:tc>
              <w:tc>
                <w:tcPr>
                  <w:tcW w:w="758" w:type="pct"/>
                  <w:tcBorders>
                    <w:tl2br w:val="nil"/>
                    <w:tr2bl w:val="nil"/>
                  </w:tcBorders>
                  <w:shd w:val="clear" w:color="auto" w:fill="auto"/>
                  <w:noWrap/>
                  <w:vAlign w:val="center"/>
                </w:tcPr>
                <w:p w14:paraId="20962842">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 xml:space="preserve">0.92 </w:t>
                  </w:r>
                </w:p>
              </w:tc>
              <w:tc>
                <w:tcPr>
                  <w:tcW w:w="762" w:type="pct"/>
                  <w:tcBorders>
                    <w:tl2br w:val="nil"/>
                    <w:tr2bl w:val="nil"/>
                  </w:tcBorders>
                  <w:shd w:val="clear" w:color="auto" w:fill="auto"/>
                  <w:noWrap/>
                  <w:vAlign w:val="center"/>
                </w:tcPr>
                <w:p w14:paraId="3B9338DB">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 xml:space="preserve">0.65 </w:t>
                  </w:r>
                </w:p>
              </w:tc>
              <w:tc>
                <w:tcPr>
                  <w:tcW w:w="762" w:type="pct"/>
                  <w:tcBorders>
                    <w:tl2br w:val="nil"/>
                    <w:tr2bl w:val="nil"/>
                  </w:tcBorders>
                  <w:shd w:val="clear" w:color="auto" w:fill="auto"/>
                  <w:noWrap/>
                  <w:vAlign w:val="center"/>
                </w:tcPr>
                <w:p w14:paraId="19F8EAF9">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 xml:space="preserve">0.15 </w:t>
                  </w:r>
                </w:p>
              </w:tc>
              <w:tc>
                <w:tcPr>
                  <w:tcW w:w="762" w:type="pct"/>
                  <w:tcBorders>
                    <w:tl2br w:val="nil"/>
                    <w:tr2bl w:val="nil"/>
                  </w:tcBorders>
                  <w:shd w:val="clear" w:color="auto" w:fill="auto"/>
                  <w:noWrap/>
                  <w:vAlign w:val="center"/>
                </w:tcPr>
                <w:p w14:paraId="7D5B1BE2">
                  <w:pPr>
                    <w:widowControl/>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 xml:space="preserve">0.12 </w:t>
                  </w:r>
                </w:p>
              </w:tc>
              <w:tc>
                <w:tcPr>
                  <w:tcW w:w="762" w:type="pct"/>
                  <w:tcBorders>
                    <w:tl2br w:val="nil"/>
                    <w:tr2bl w:val="nil"/>
                  </w:tcBorders>
                  <w:shd w:val="clear" w:color="auto" w:fill="auto"/>
                  <w:noWrap/>
                  <w:vAlign w:val="center"/>
                </w:tcPr>
                <w:p w14:paraId="2B49AD9B">
                  <w:pPr>
                    <w:widowControl/>
                    <w:adjustRightInd w:val="0"/>
                    <w:snapToGrid w:val="0"/>
                    <w:jc w:val="center"/>
                    <w:rPr>
                      <w:rFonts w:ascii="Times New Roman" w:hAnsi="Times New Roman"/>
                      <w:color w:val="auto"/>
                      <w:szCs w:val="21"/>
                    </w:rPr>
                  </w:pPr>
                </w:p>
              </w:tc>
            </w:tr>
          </w:tbl>
          <w:p w14:paraId="43EEBC8D">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2、输电线路总平面布置</w:t>
            </w:r>
          </w:p>
          <w:p w14:paraId="38C438D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新建线路自六合村一期光伏项目220kV升压站构架出线后沿王家村南侧山脊向西北方向走线，随后右转到达老屋基东侧山腰，继续向北方向走线至岔沟西侧山顶，右转后向东北方向走线，途经上白沙坡、老陷塘、红瓦房、叶家冲、张家冲、到坡、小海子、上干冲、中梁子等地后到达林家村西侧山顶，继续右转跨越国道到达山背后山腰，随后左转最终接入500kV乐业变220kV侧构架。主要</w:t>
            </w:r>
            <w:r>
              <w:rPr>
                <w:rFonts w:hint="eastAsia" w:ascii="Times New Roman" w:hAnsi="Times New Roman"/>
                <w:color w:val="auto"/>
                <w:sz w:val="24"/>
                <w:szCs w:val="24"/>
                <w:lang w:eastAsia="zh-CN"/>
              </w:rPr>
              <w:t>途经</w:t>
            </w:r>
            <w:r>
              <w:rPr>
                <w:rFonts w:ascii="Times New Roman" w:hAnsi="Times New Roman"/>
                <w:color w:val="auto"/>
                <w:sz w:val="24"/>
                <w:szCs w:val="24"/>
              </w:rPr>
              <w:t>村庄有：王家村、老屋基村、石灰窑村、岔河村、上白沙坡、红瓦房、叶家冲、倒坡、小海子等。线路路径全长22km，全线采用单、双回路架设，曲折系数1.14。平面布置见附图3。</w:t>
            </w:r>
          </w:p>
          <w:p w14:paraId="5AC4DB0E">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4、输电线路交叉跨越情况</w:t>
            </w:r>
          </w:p>
          <w:p w14:paraId="4D14913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本工程输电线路主要交叉跨越情况见表2-</w:t>
            </w:r>
            <w:r>
              <w:rPr>
                <w:rFonts w:hint="eastAsia" w:ascii="Times New Roman" w:hAnsi="Times New Roman"/>
                <w:color w:val="auto"/>
                <w:sz w:val="24"/>
                <w:szCs w:val="24"/>
              </w:rPr>
              <w:t>6</w:t>
            </w:r>
            <w:r>
              <w:rPr>
                <w:rFonts w:ascii="Times New Roman" w:hAnsi="Times New Roman"/>
                <w:color w:val="auto"/>
                <w:sz w:val="24"/>
                <w:szCs w:val="24"/>
              </w:rPr>
              <w:t>。</w:t>
            </w:r>
          </w:p>
          <w:p w14:paraId="29139864">
            <w:pPr>
              <w:autoSpaceDN w:val="0"/>
              <w:adjustRightInd w:val="0"/>
              <w:snapToGrid w:val="0"/>
              <w:jc w:val="center"/>
              <w:rPr>
                <w:rFonts w:ascii="Times New Roman" w:hAnsi="Times New Roman"/>
                <w:b/>
                <w:bCs/>
                <w:color w:val="auto"/>
                <w:sz w:val="24"/>
                <w:szCs w:val="24"/>
              </w:rPr>
            </w:pPr>
            <w:r>
              <w:rPr>
                <w:rFonts w:ascii="Times New Roman" w:hAnsi="Times New Roman"/>
                <w:b/>
                <w:bCs/>
                <w:color w:val="auto"/>
                <w:sz w:val="24"/>
                <w:szCs w:val="24"/>
              </w:rPr>
              <w:t>表2-</w:t>
            </w:r>
            <w:r>
              <w:rPr>
                <w:rFonts w:hint="eastAsia" w:ascii="Times New Roman" w:hAnsi="Times New Roman"/>
                <w:b/>
                <w:bCs/>
                <w:color w:val="auto"/>
                <w:sz w:val="24"/>
                <w:szCs w:val="24"/>
              </w:rPr>
              <w:t>6</w:t>
            </w:r>
            <w:r>
              <w:rPr>
                <w:rFonts w:ascii="Times New Roman" w:hAnsi="Times New Roman"/>
                <w:b/>
                <w:bCs/>
                <w:color w:val="auto"/>
                <w:sz w:val="24"/>
                <w:szCs w:val="24"/>
              </w:rPr>
              <w:t xml:space="preserve">  220kV线路重要穿、跨越表</w:t>
            </w:r>
          </w:p>
          <w:tbl>
            <w:tblPr>
              <w:tblStyle w:val="27"/>
              <w:tblW w:w="496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415"/>
              <w:gridCol w:w="1048"/>
              <w:gridCol w:w="3490"/>
              <w:gridCol w:w="1194"/>
              <w:gridCol w:w="646"/>
              <w:gridCol w:w="1548"/>
            </w:tblGrid>
            <w:tr w14:paraId="4D0E67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967" w:type="pct"/>
                  <w:gridSpan w:val="3"/>
                  <w:vAlign w:val="center"/>
                </w:tcPr>
                <w:p w14:paraId="6FC9EAA6">
                  <w:pPr>
                    <w:overflowPunct w:val="0"/>
                    <w:topLinePunct/>
                    <w:autoSpaceDE w:val="0"/>
                    <w:autoSpaceDN w:val="0"/>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重点线路交叉跨越情况表</w:t>
                  </w:r>
                </w:p>
              </w:tc>
              <w:tc>
                <w:tcPr>
                  <w:tcW w:w="716" w:type="pct"/>
                  <w:vAlign w:val="center"/>
                </w:tcPr>
                <w:p w14:paraId="303BD698">
                  <w:pPr>
                    <w:overflowPunct w:val="0"/>
                    <w:topLinePunct/>
                    <w:autoSpaceDE w:val="0"/>
                    <w:autoSpaceDN w:val="0"/>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szCs w:val="21"/>
                    </w:rPr>
                    <w:t>交叉跨越点距离（m）</w:t>
                  </w:r>
                </w:p>
              </w:tc>
              <w:tc>
                <w:tcPr>
                  <w:tcW w:w="387" w:type="pct"/>
                  <w:vAlign w:val="center"/>
                </w:tcPr>
                <w:p w14:paraId="02A45B77">
                  <w:pPr>
                    <w:overflowPunct w:val="0"/>
                    <w:topLinePunct/>
                    <w:autoSpaceDE w:val="0"/>
                    <w:autoSpaceDN w:val="0"/>
                    <w:adjustRightInd w:val="0"/>
                    <w:snapToGrid w:val="0"/>
                    <w:jc w:val="center"/>
                    <w:textAlignment w:val="center"/>
                    <w:rPr>
                      <w:rFonts w:ascii="Times New Roman" w:hAnsi="Times New Roman"/>
                      <w:b/>
                      <w:bCs/>
                      <w:color w:val="auto"/>
                      <w:szCs w:val="21"/>
                    </w:rPr>
                  </w:pPr>
                  <w:r>
                    <w:rPr>
                      <w:rFonts w:ascii="Times New Roman" w:hAnsi="Times New Roman"/>
                      <w:b/>
                      <w:bCs/>
                      <w:color w:val="auto"/>
                      <w:kern w:val="0"/>
                      <w:szCs w:val="21"/>
                      <w:lang w:bidi="ar"/>
                    </w:rPr>
                    <w:t>次数</w:t>
                  </w:r>
                </w:p>
              </w:tc>
              <w:tc>
                <w:tcPr>
                  <w:tcW w:w="928" w:type="pct"/>
                  <w:vAlign w:val="center"/>
                </w:tcPr>
                <w:p w14:paraId="76559A53">
                  <w:pPr>
                    <w:overflowPunct w:val="0"/>
                    <w:topLinePunct/>
                    <w:autoSpaceDE w:val="0"/>
                    <w:autoSpaceDN w:val="0"/>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备注</w:t>
                  </w:r>
                </w:p>
              </w:tc>
            </w:tr>
            <w:tr w14:paraId="489B3D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48" w:type="pct"/>
                  <w:vMerge w:val="restart"/>
                  <w:vAlign w:val="center"/>
                </w:tcPr>
                <w:p w14:paraId="3CB4DC2A">
                  <w:pPr>
                    <w:overflowPunct w:val="0"/>
                    <w:topLinePunct/>
                    <w:autoSpaceDE w:val="0"/>
                    <w:autoSpaceDN w:val="0"/>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220kV线路</w:t>
                  </w:r>
                </w:p>
              </w:tc>
              <w:tc>
                <w:tcPr>
                  <w:tcW w:w="628" w:type="pct"/>
                  <w:vAlign w:val="center"/>
                </w:tcPr>
                <w:p w14:paraId="016F0989">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国道</w:t>
                  </w:r>
                </w:p>
              </w:tc>
              <w:tc>
                <w:tcPr>
                  <w:tcW w:w="2090" w:type="pct"/>
                  <w:vAlign w:val="center"/>
                </w:tcPr>
                <w:p w14:paraId="1BCD6AD1">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G213国道</w:t>
                  </w:r>
                </w:p>
              </w:tc>
              <w:tc>
                <w:tcPr>
                  <w:tcW w:w="716" w:type="pct"/>
                  <w:vAlign w:val="center"/>
                </w:tcPr>
                <w:p w14:paraId="3287A78C">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58</w:t>
                  </w:r>
                </w:p>
              </w:tc>
              <w:tc>
                <w:tcPr>
                  <w:tcW w:w="387" w:type="pct"/>
                  <w:vAlign w:val="center"/>
                </w:tcPr>
                <w:p w14:paraId="1933801D">
                  <w:pPr>
                    <w:overflowPunct w:val="0"/>
                    <w:topLinePunct/>
                    <w:autoSpaceDE w:val="0"/>
                    <w:autoSpaceDN w:val="0"/>
                    <w:adjustRightInd w:val="0"/>
                    <w:snapToGrid w:val="0"/>
                    <w:jc w:val="center"/>
                    <w:textAlignment w:val="center"/>
                    <w:rPr>
                      <w:rFonts w:ascii="Times New Roman" w:hAnsi="Times New Roman"/>
                      <w:color w:val="auto"/>
                      <w:szCs w:val="21"/>
                    </w:rPr>
                  </w:pPr>
                  <w:r>
                    <w:rPr>
                      <w:rFonts w:ascii="Times New Roman" w:hAnsi="Times New Roman"/>
                      <w:color w:val="auto"/>
                      <w:kern w:val="0"/>
                      <w:szCs w:val="21"/>
                      <w:lang w:bidi="ar"/>
                    </w:rPr>
                    <w:t>1次</w:t>
                  </w:r>
                </w:p>
              </w:tc>
              <w:tc>
                <w:tcPr>
                  <w:tcW w:w="928" w:type="pct"/>
                  <w:vAlign w:val="center"/>
                </w:tcPr>
                <w:p w14:paraId="67C696FC">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szCs w:val="21"/>
                    </w:rPr>
                    <w:t>N57～N58</w:t>
                  </w:r>
                  <w:r>
                    <w:rPr>
                      <w:rFonts w:ascii="Times New Roman" w:hAnsi="Times New Roman"/>
                      <w:color w:val="auto"/>
                      <w:kern w:val="0"/>
                      <w:szCs w:val="21"/>
                      <w:lang w:bidi="ar"/>
                    </w:rPr>
                    <w:t>跨越</w:t>
                  </w:r>
                </w:p>
              </w:tc>
            </w:tr>
            <w:tr w14:paraId="70CA3B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48" w:type="pct"/>
                  <w:vMerge w:val="continue"/>
                  <w:vAlign w:val="center"/>
                </w:tcPr>
                <w:p w14:paraId="069F4B41">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p>
              </w:tc>
              <w:tc>
                <w:tcPr>
                  <w:tcW w:w="628" w:type="pct"/>
                  <w:vAlign w:val="center"/>
                </w:tcPr>
                <w:p w14:paraId="2816A54D">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公路</w:t>
                  </w:r>
                </w:p>
              </w:tc>
              <w:tc>
                <w:tcPr>
                  <w:tcW w:w="2090" w:type="pct"/>
                  <w:vAlign w:val="center"/>
                </w:tcPr>
                <w:p w14:paraId="07D046A7">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六合线</w:t>
                  </w:r>
                </w:p>
              </w:tc>
              <w:tc>
                <w:tcPr>
                  <w:tcW w:w="716" w:type="pct"/>
                  <w:vAlign w:val="center"/>
                </w:tcPr>
                <w:p w14:paraId="5C3339AD">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35</w:t>
                  </w:r>
                </w:p>
              </w:tc>
              <w:tc>
                <w:tcPr>
                  <w:tcW w:w="387" w:type="pct"/>
                  <w:vAlign w:val="center"/>
                </w:tcPr>
                <w:p w14:paraId="343886DA">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1次</w:t>
                  </w:r>
                </w:p>
              </w:tc>
              <w:tc>
                <w:tcPr>
                  <w:tcW w:w="928" w:type="pct"/>
                  <w:vAlign w:val="center"/>
                </w:tcPr>
                <w:p w14:paraId="779A2D56">
                  <w:pPr>
                    <w:overflowPunct w:val="0"/>
                    <w:topLinePunct/>
                    <w:autoSpaceDE w:val="0"/>
                    <w:autoSpaceDN w:val="0"/>
                    <w:adjustRightInd w:val="0"/>
                    <w:snapToGrid w:val="0"/>
                    <w:jc w:val="center"/>
                    <w:rPr>
                      <w:rFonts w:ascii="Times New Roman" w:hAnsi="Times New Roman"/>
                      <w:color w:val="auto"/>
                      <w:kern w:val="0"/>
                      <w:szCs w:val="21"/>
                      <w:lang w:bidi="ar"/>
                    </w:rPr>
                  </w:pPr>
                  <w:r>
                    <w:rPr>
                      <w:rFonts w:hint="eastAsia" w:ascii="Times New Roman" w:hAnsi="Times New Roman"/>
                      <w:color w:val="auto"/>
                      <w:szCs w:val="21"/>
                    </w:rPr>
                    <w:t>N4～N5跨越</w:t>
                  </w:r>
                </w:p>
              </w:tc>
            </w:tr>
            <w:tr w14:paraId="057193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48" w:type="pct"/>
                  <w:vMerge w:val="continue"/>
                  <w:vAlign w:val="center"/>
                </w:tcPr>
                <w:p w14:paraId="1963D467">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p>
              </w:tc>
              <w:tc>
                <w:tcPr>
                  <w:tcW w:w="628" w:type="pct"/>
                  <w:vAlign w:val="center"/>
                </w:tcPr>
                <w:p w14:paraId="25D8332F">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河流</w:t>
                  </w:r>
                </w:p>
              </w:tc>
              <w:tc>
                <w:tcPr>
                  <w:tcW w:w="2090" w:type="pct"/>
                  <w:vAlign w:val="center"/>
                </w:tcPr>
                <w:p w14:paraId="72305BA7">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六河</w:t>
                  </w:r>
                </w:p>
                <w:p w14:paraId="4438FDBE">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龚家冲小河</w:t>
                  </w:r>
                </w:p>
                <w:p w14:paraId="596B4766">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后河</w:t>
                  </w:r>
                </w:p>
                <w:p w14:paraId="039F0B0B">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西沙冲</w:t>
                  </w:r>
                </w:p>
                <w:p w14:paraId="0777698F">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卡子河</w:t>
                  </w:r>
                </w:p>
              </w:tc>
              <w:tc>
                <w:tcPr>
                  <w:tcW w:w="716" w:type="pct"/>
                  <w:vAlign w:val="center"/>
                </w:tcPr>
                <w:p w14:paraId="0B194E25">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40</w:t>
                  </w:r>
                </w:p>
                <w:p w14:paraId="64D7A7F2">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102</w:t>
                  </w:r>
                </w:p>
                <w:p w14:paraId="4052EC32">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113</w:t>
                  </w:r>
                </w:p>
                <w:p w14:paraId="483C089D">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201</w:t>
                  </w:r>
                </w:p>
                <w:p w14:paraId="42234FB1">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108</w:t>
                  </w:r>
                </w:p>
              </w:tc>
              <w:tc>
                <w:tcPr>
                  <w:tcW w:w="387" w:type="pct"/>
                  <w:vAlign w:val="center"/>
                </w:tcPr>
                <w:p w14:paraId="5FB51F47">
                  <w:pPr>
                    <w:overflowPunct w:val="0"/>
                    <w:topLinePunct/>
                    <w:autoSpaceDE w:val="0"/>
                    <w:autoSpaceDN w:val="0"/>
                    <w:adjustRightInd w:val="0"/>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5</w:t>
                  </w:r>
                  <w:r>
                    <w:rPr>
                      <w:rFonts w:ascii="Times New Roman" w:hAnsi="Times New Roman"/>
                      <w:color w:val="auto"/>
                      <w:kern w:val="0"/>
                      <w:szCs w:val="21"/>
                      <w:lang w:bidi="ar"/>
                    </w:rPr>
                    <w:t>次</w:t>
                  </w:r>
                </w:p>
              </w:tc>
              <w:tc>
                <w:tcPr>
                  <w:tcW w:w="928" w:type="pct"/>
                  <w:vAlign w:val="center"/>
                </w:tcPr>
                <w:p w14:paraId="427DC8CD">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N4～N5跨越</w:t>
                  </w:r>
                </w:p>
                <w:p w14:paraId="6E8D2A6D">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N2</w:t>
                  </w:r>
                  <w:r>
                    <w:rPr>
                      <w:rFonts w:hint="eastAsia" w:ascii="Times New Roman" w:hAnsi="Times New Roman"/>
                      <w:color w:val="auto"/>
                      <w:szCs w:val="21"/>
                    </w:rPr>
                    <w:t>3～</w:t>
                  </w:r>
                  <w:r>
                    <w:rPr>
                      <w:rFonts w:ascii="Times New Roman" w:hAnsi="Times New Roman"/>
                      <w:color w:val="auto"/>
                      <w:szCs w:val="21"/>
                    </w:rPr>
                    <w:t>N2</w:t>
                  </w:r>
                  <w:r>
                    <w:rPr>
                      <w:rFonts w:hint="eastAsia" w:ascii="Times New Roman" w:hAnsi="Times New Roman"/>
                      <w:color w:val="auto"/>
                      <w:szCs w:val="21"/>
                    </w:rPr>
                    <w:t>4跨越</w:t>
                  </w:r>
                </w:p>
                <w:p w14:paraId="38A17C27">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w:t>
                  </w:r>
                  <w:r>
                    <w:rPr>
                      <w:rFonts w:hint="eastAsia" w:ascii="Times New Roman" w:hAnsi="Times New Roman"/>
                      <w:color w:val="auto"/>
                      <w:szCs w:val="21"/>
                    </w:rPr>
                    <w:t>39～</w:t>
                  </w:r>
                  <w:r>
                    <w:rPr>
                      <w:rFonts w:ascii="Times New Roman" w:hAnsi="Times New Roman"/>
                      <w:color w:val="auto"/>
                      <w:szCs w:val="21"/>
                    </w:rPr>
                    <w:t>N</w:t>
                  </w:r>
                  <w:r>
                    <w:rPr>
                      <w:rFonts w:hint="eastAsia" w:ascii="Times New Roman" w:hAnsi="Times New Roman"/>
                      <w:color w:val="auto"/>
                      <w:szCs w:val="21"/>
                    </w:rPr>
                    <w:t>40跨越</w:t>
                  </w:r>
                </w:p>
                <w:p w14:paraId="2624B50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w:t>
                  </w:r>
                  <w:r>
                    <w:rPr>
                      <w:rFonts w:hint="eastAsia" w:ascii="Times New Roman" w:hAnsi="Times New Roman"/>
                      <w:color w:val="auto"/>
                      <w:szCs w:val="21"/>
                    </w:rPr>
                    <w:t>50～</w:t>
                  </w:r>
                  <w:r>
                    <w:rPr>
                      <w:rFonts w:ascii="Times New Roman" w:hAnsi="Times New Roman"/>
                      <w:color w:val="auto"/>
                      <w:szCs w:val="21"/>
                    </w:rPr>
                    <w:t>N5</w:t>
                  </w:r>
                  <w:r>
                    <w:rPr>
                      <w:rFonts w:hint="eastAsia" w:ascii="Times New Roman" w:hAnsi="Times New Roman"/>
                      <w:color w:val="auto"/>
                      <w:szCs w:val="21"/>
                    </w:rPr>
                    <w:t>1跨越</w:t>
                  </w:r>
                </w:p>
                <w:p w14:paraId="694133EA">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w:t>
                  </w:r>
                  <w:r>
                    <w:rPr>
                      <w:rFonts w:hint="eastAsia" w:ascii="Times New Roman" w:hAnsi="Times New Roman"/>
                      <w:color w:val="auto"/>
                      <w:szCs w:val="21"/>
                    </w:rPr>
                    <w:t>57～</w:t>
                  </w:r>
                  <w:r>
                    <w:rPr>
                      <w:rFonts w:ascii="Times New Roman" w:hAnsi="Times New Roman"/>
                      <w:color w:val="auto"/>
                      <w:szCs w:val="21"/>
                    </w:rPr>
                    <w:t>N5</w:t>
                  </w:r>
                  <w:r>
                    <w:rPr>
                      <w:rFonts w:hint="eastAsia" w:ascii="Times New Roman" w:hAnsi="Times New Roman"/>
                      <w:color w:val="auto"/>
                      <w:szCs w:val="21"/>
                    </w:rPr>
                    <w:t>8跨越</w:t>
                  </w:r>
                </w:p>
              </w:tc>
            </w:tr>
            <w:tr w14:paraId="69A192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48" w:type="pct"/>
                  <w:vMerge w:val="continue"/>
                  <w:vAlign w:val="center"/>
                </w:tcPr>
                <w:p w14:paraId="7136E94E">
                  <w:pPr>
                    <w:overflowPunct w:val="0"/>
                    <w:topLinePunct/>
                    <w:autoSpaceDE w:val="0"/>
                    <w:autoSpaceDN w:val="0"/>
                    <w:adjustRightInd w:val="0"/>
                    <w:snapToGrid w:val="0"/>
                    <w:jc w:val="center"/>
                    <w:rPr>
                      <w:rFonts w:ascii="Times New Roman" w:hAnsi="Times New Roman"/>
                      <w:color w:val="auto"/>
                      <w:szCs w:val="21"/>
                    </w:rPr>
                  </w:pPr>
                </w:p>
              </w:tc>
              <w:tc>
                <w:tcPr>
                  <w:tcW w:w="628" w:type="pct"/>
                  <w:vAlign w:val="center"/>
                </w:tcPr>
                <w:p w14:paraId="62A1480D">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35kV线</w:t>
                  </w:r>
                </w:p>
              </w:tc>
              <w:tc>
                <w:tcPr>
                  <w:tcW w:w="2090" w:type="pct"/>
                  <w:vAlign w:val="center"/>
                </w:tcPr>
                <w:p w14:paraId="6055F828">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跨越35kV高铁施工专线9#-10#</w:t>
                  </w:r>
                </w:p>
                <w:p w14:paraId="5D1E03C6">
                  <w:pPr>
                    <w:overflowPunct w:val="0"/>
                    <w:topLinePunct/>
                    <w:autoSpaceDE w:val="0"/>
                    <w:autoSpaceDN w:val="0"/>
                    <w:adjustRightInd w:val="0"/>
                    <w:snapToGrid w:val="0"/>
                    <w:jc w:val="center"/>
                    <w:rPr>
                      <w:rFonts w:ascii="Times New Roman" w:hAnsi="Times New Roman"/>
                      <w:color w:val="auto"/>
                      <w:szCs w:val="21"/>
                      <w:lang w:val="zh-CN"/>
                    </w:rPr>
                  </w:pPr>
                  <w:r>
                    <w:rPr>
                      <w:rFonts w:ascii="Times New Roman" w:hAnsi="Times New Roman"/>
                      <w:color w:val="auto"/>
                      <w:szCs w:val="21"/>
                    </w:rPr>
                    <w:t>跨越35kV高铁施工专线</w:t>
                  </w:r>
                </w:p>
                <w:p w14:paraId="6383BCB0">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跨越35kV高铁施工专线66#-67#</w:t>
                  </w:r>
                </w:p>
                <w:p w14:paraId="4FEA8C25">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跨越35kV错初线45#-46#</w:t>
                  </w:r>
                </w:p>
                <w:p w14:paraId="740F49F8">
                  <w:pPr>
                    <w:overflowPunct w:val="0"/>
                    <w:topLinePunct/>
                    <w:autoSpaceDE w:val="0"/>
                    <w:autoSpaceDN w:val="0"/>
                    <w:adjustRightInd w:val="0"/>
                    <w:snapToGrid w:val="0"/>
                    <w:jc w:val="center"/>
                    <w:rPr>
                      <w:rFonts w:ascii="Times New Roman" w:hAnsi="Times New Roman"/>
                      <w:color w:val="auto"/>
                      <w:szCs w:val="21"/>
                      <w:lang w:val="zh-CN"/>
                    </w:rPr>
                  </w:pPr>
                  <w:r>
                    <w:rPr>
                      <w:rFonts w:ascii="Times New Roman" w:hAnsi="Times New Roman"/>
                      <w:color w:val="auto"/>
                      <w:szCs w:val="21"/>
                    </w:rPr>
                    <w:t>跨越35kV罗布古线28#-29#</w:t>
                  </w:r>
                </w:p>
              </w:tc>
              <w:tc>
                <w:tcPr>
                  <w:tcW w:w="716" w:type="pct"/>
                  <w:vAlign w:val="center"/>
                </w:tcPr>
                <w:p w14:paraId="0995A9D4">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7.9</w:t>
                  </w:r>
                </w:p>
                <w:p w14:paraId="4DA0F1DF">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6.8</w:t>
                  </w:r>
                </w:p>
                <w:p w14:paraId="326BD945">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11.4</w:t>
                  </w:r>
                </w:p>
                <w:p w14:paraId="6E7AFD10">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9.4</w:t>
                  </w:r>
                </w:p>
                <w:p w14:paraId="7F4B3636">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7.6</w:t>
                  </w:r>
                </w:p>
              </w:tc>
              <w:tc>
                <w:tcPr>
                  <w:tcW w:w="387" w:type="pct"/>
                  <w:vAlign w:val="center"/>
                </w:tcPr>
                <w:p w14:paraId="036BA8F0">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5</w:t>
                  </w:r>
                  <w:r>
                    <w:rPr>
                      <w:rFonts w:ascii="Times New Roman" w:hAnsi="Times New Roman"/>
                      <w:color w:val="auto"/>
                      <w:kern w:val="0"/>
                      <w:szCs w:val="21"/>
                      <w:lang w:bidi="ar"/>
                    </w:rPr>
                    <w:t>次</w:t>
                  </w:r>
                </w:p>
              </w:tc>
              <w:tc>
                <w:tcPr>
                  <w:tcW w:w="928" w:type="pct"/>
                  <w:vAlign w:val="center"/>
                </w:tcPr>
                <w:p w14:paraId="543CA147">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N10-N11</w:t>
                  </w:r>
                  <w:r>
                    <w:rPr>
                      <w:rFonts w:ascii="Times New Roman" w:hAnsi="Times New Roman"/>
                      <w:color w:val="auto"/>
                      <w:szCs w:val="21"/>
                    </w:rPr>
                    <w:t>跨越</w:t>
                  </w:r>
                </w:p>
                <w:p w14:paraId="3504136F">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N23-N24</w:t>
                  </w:r>
                  <w:r>
                    <w:rPr>
                      <w:rFonts w:hint="eastAsia" w:ascii="Times New Roman" w:hAnsi="Times New Roman"/>
                      <w:color w:val="auto"/>
                      <w:szCs w:val="21"/>
                    </w:rPr>
                    <w:t>跨越</w:t>
                  </w:r>
                </w:p>
                <w:p w14:paraId="786A5FB7">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N24-N25</w:t>
                  </w:r>
                  <w:r>
                    <w:rPr>
                      <w:rFonts w:hint="eastAsia" w:ascii="Times New Roman" w:hAnsi="Times New Roman"/>
                      <w:color w:val="auto"/>
                      <w:szCs w:val="21"/>
                    </w:rPr>
                    <w:t>跨越</w:t>
                  </w:r>
                </w:p>
                <w:p w14:paraId="23E6D9E1">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N39-N40</w:t>
                  </w:r>
                  <w:r>
                    <w:rPr>
                      <w:rFonts w:hint="eastAsia" w:ascii="Times New Roman" w:hAnsi="Times New Roman"/>
                      <w:color w:val="auto"/>
                      <w:szCs w:val="21"/>
                    </w:rPr>
                    <w:t>跨越</w:t>
                  </w:r>
                </w:p>
                <w:p w14:paraId="6A4163E1">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N57-N58</w:t>
                  </w:r>
                  <w:r>
                    <w:rPr>
                      <w:rFonts w:hint="eastAsia" w:ascii="Times New Roman" w:hAnsi="Times New Roman"/>
                      <w:color w:val="auto"/>
                      <w:szCs w:val="21"/>
                    </w:rPr>
                    <w:t>跨越</w:t>
                  </w:r>
                </w:p>
              </w:tc>
            </w:tr>
            <w:tr w14:paraId="567278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248" w:type="pct"/>
                  <w:vMerge w:val="continue"/>
                  <w:vAlign w:val="center"/>
                </w:tcPr>
                <w:p w14:paraId="766E7703">
                  <w:pPr>
                    <w:overflowPunct w:val="0"/>
                    <w:topLinePunct/>
                    <w:autoSpaceDE w:val="0"/>
                    <w:autoSpaceDN w:val="0"/>
                    <w:adjustRightInd w:val="0"/>
                    <w:snapToGrid w:val="0"/>
                    <w:jc w:val="center"/>
                    <w:rPr>
                      <w:rFonts w:ascii="Times New Roman" w:hAnsi="Times New Roman"/>
                      <w:color w:val="auto"/>
                      <w:szCs w:val="21"/>
                    </w:rPr>
                  </w:pPr>
                </w:p>
              </w:tc>
              <w:tc>
                <w:tcPr>
                  <w:tcW w:w="628" w:type="pct"/>
                  <w:vAlign w:val="center"/>
                </w:tcPr>
                <w:p w14:paraId="06D89532">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10kV电力线</w:t>
                  </w:r>
                </w:p>
              </w:tc>
              <w:tc>
                <w:tcPr>
                  <w:tcW w:w="2090" w:type="pct"/>
                  <w:vAlign w:val="center"/>
                </w:tcPr>
                <w:p w14:paraId="3DE0503E">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10kV鲁珠线T彭家村支线14#-15#</w:t>
                  </w:r>
                </w:p>
                <w:p w14:paraId="61733363">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10kV耳落线T石灰窑支线23.8#-23.9#</w:t>
                  </w:r>
                </w:p>
                <w:p w14:paraId="1B87472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10kV半山线37#-38#</w:t>
                  </w:r>
                </w:p>
                <w:p w14:paraId="2FC0F251">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10kV乐业线T螃海冲支线19#-20#</w:t>
                  </w:r>
                </w:p>
                <w:p w14:paraId="181CD6C9">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10kV耳落线209#-210#</w:t>
                  </w:r>
                </w:p>
                <w:p w14:paraId="256889D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10kV衡山线T大营支线44#-45#</w:t>
                  </w:r>
                </w:p>
                <w:p w14:paraId="367C5552">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10kV卡罗线9#-10#</w:t>
                  </w:r>
                </w:p>
              </w:tc>
              <w:tc>
                <w:tcPr>
                  <w:tcW w:w="716" w:type="pct"/>
                  <w:vAlign w:val="center"/>
                </w:tcPr>
                <w:p w14:paraId="5AE1F351">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w:t>
                  </w:r>
                  <w:r>
                    <w:rPr>
                      <w:rFonts w:hint="eastAsia" w:ascii="Times New Roman" w:hAnsi="Times New Roman"/>
                      <w:color w:val="auto"/>
                      <w:kern w:val="0"/>
                      <w:szCs w:val="21"/>
                      <w:lang w:bidi="ar"/>
                    </w:rPr>
                    <w:t>1</w:t>
                  </w:r>
                  <w:r>
                    <w:rPr>
                      <w:rFonts w:ascii="Times New Roman" w:hAnsi="Times New Roman"/>
                      <w:color w:val="auto"/>
                      <w:kern w:val="0"/>
                      <w:szCs w:val="21"/>
                      <w:lang w:bidi="ar"/>
                    </w:rPr>
                    <w:t>.5</w:t>
                  </w:r>
                </w:p>
                <w:p w14:paraId="29406409">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13.6</w:t>
                  </w:r>
                </w:p>
                <w:p w14:paraId="264A7F8B">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10.2</w:t>
                  </w:r>
                </w:p>
                <w:p w14:paraId="130BBBE9">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13.6</w:t>
                  </w:r>
                </w:p>
                <w:p w14:paraId="443486E7">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13.8</w:t>
                  </w:r>
                </w:p>
                <w:p w14:paraId="2E281AAB">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14.5</w:t>
                  </w:r>
                </w:p>
                <w:p w14:paraId="5393E84A">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13.1</w:t>
                  </w:r>
                </w:p>
              </w:tc>
              <w:tc>
                <w:tcPr>
                  <w:tcW w:w="387" w:type="pct"/>
                  <w:vAlign w:val="center"/>
                </w:tcPr>
                <w:p w14:paraId="6C433460">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7</w:t>
                  </w:r>
                  <w:r>
                    <w:rPr>
                      <w:rFonts w:ascii="Times New Roman" w:hAnsi="Times New Roman"/>
                      <w:color w:val="auto"/>
                      <w:kern w:val="0"/>
                      <w:szCs w:val="21"/>
                      <w:lang w:bidi="ar"/>
                    </w:rPr>
                    <w:t>次</w:t>
                  </w:r>
                </w:p>
              </w:tc>
              <w:tc>
                <w:tcPr>
                  <w:tcW w:w="928" w:type="pct"/>
                  <w:vAlign w:val="center"/>
                </w:tcPr>
                <w:p w14:paraId="693D2A61">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N4-N5跨越</w:t>
                  </w:r>
                </w:p>
                <w:p w14:paraId="6A8FAD78">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N11-N12跨越</w:t>
                  </w:r>
                </w:p>
                <w:p w14:paraId="24FEB37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N17-N18跨越</w:t>
                  </w:r>
                </w:p>
                <w:p w14:paraId="5A37415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N34-N35跨越</w:t>
                  </w:r>
                </w:p>
                <w:p w14:paraId="14D22BB4">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N40-N41跨越</w:t>
                  </w:r>
                </w:p>
                <w:p w14:paraId="5DE3595A">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N50-N51跨越</w:t>
                  </w:r>
                </w:p>
                <w:p w14:paraId="75E7BE0A">
                  <w:pPr>
                    <w:overflowPunct w:val="0"/>
                    <w:topLinePunct/>
                    <w:autoSpaceDE w:val="0"/>
                    <w:autoSpaceDN w:val="0"/>
                    <w:adjustRightInd w:val="0"/>
                    <w:snapToGrid w:val="0"/>
                    <w:jc w:val="center"/>
                    <w:rPr>
                      <w:rFonts w:ascii="Times New Roman" w:hAnsi="Times New Roman" w:eastAsia="仿宋"/>
                      <w:color w:val="auto"/>
                      <w:szCs w:val="21"/>
                    </w:rPr>
                  </w:pPr>
                  <w:r>
                    <w:rPr>
                      <w:rFonts w:ascii="Times New Roman" w:hAnsi="Times New Roman"/>
                      <w:color w:val="auto"/>
                      <w:szCs w:val="21"/>
                    </w:rPr>
                    <w:t>N57-N58跨越</w:t>
                  </w:r>
                </w:p>
              </w:tc>
            </w:tr>
          </w:tbl>
          <w:p w14:paraId="00858B8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根据《110～750kV架空输电线路设计技术规范》（GB50545-2010）的相关要求，该项目输变电线路与既有输电线路交叉跨越的架设条件均能够满足设计规范的要求，标准值见下表中数值。</w:t>
            </w:r>
          </w:p>
          <w:p w14:paraId="1E45DF3B">
            <w:pPr>
              <w:autoSpaceDN w:val="0"/>
              <w:adjustRightInd w:val="0"/>
              <w:snapToGrid w:val="0"/>
              <w:jc w:val="center"/>
              <w:rPr>
                <w:rFonts w:ascii="Times New Roman" w:hAnsi="Times New Roman"/>
                <w:b/>
                <w:bCs/>
                <w:color w:val="auto"/>
                <w:sz w:val="24"/>
                <w:szCs w:val="24"/>
              </w:rPr>
            </w:pPr>
            <w:r>
              <w:rPr>
                <w:rFonts w:ascii="Times New Roman" w:hAnsi="Times New Roman"/>
                <w:b/>
                <w:bCs/>
                <w:color w:val="auto"/>
                <w:sz w:val="24"/>
                <w:szCs w:val="24"/>
              </w:rPr>
              <w:t>表2-</w:t>
            </w:r>
            <w:r>
              <w:rPr>
                <w:rFonts w:hint="eastAsia" w:ascii="Times New Roman" w:hAnsi="Times New Roman"/>
                <w:b/>
                <w:bCs/>
                <w:color w:val="auto"/>
                <w:sz w:val="24"/>
                <w:szCs w:val="24"/>
              </w:rPr>
              <w:t>7</w:t>
            </w:r>
            <w:r>
              <w:rPr>
                <w:rFonts w:ascii="Times New Roman" w:hAnsi="Times New Roman"/>
                <w:b/>
                <w:bCs/>
                <w:color w:val="auto"/>
                <w:sz w:val="24"/>
                <w:szCs w:val="24"/>
              </w:rPr>
              <w:t xml:space="preserve">  220kV线路对地距离的要求</w:t>
            </w:r>
          </w:p>
          <w:tbl>
            <w:tblPr>
              <w:tblStyle w:val="27"/>
              <w:tblW w:w="8390"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51"/>
              <w:gridCol w:w="1586"/>
              <w:gridCol w:w="685"/>
              <w:gridCol w:w="1225"/>
              <w:gridCol w:w="4543"/>
            </w:tblGrid>
            <w:tr w14:paraId="73F2B0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7991AE93">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1586" w:type="dxa"/>
                  <w:tcBorders>
                    <w:tl2br w:val="nil"/>
                    <w:tr2bl w:val="nil"/>
                  </w:tcBorders>
                  <w:vAlign w:val="center"/>
                </w:tcPr>
                <w:p w14:paraId="64E3486E">
                  <w:pPr>
                    <w:adjustRightInd w:val="0"/>
                    <w:snapToGrid w:val="0"/>
                    <w:jc w:val="center"/>
                    <w:rPr>
                      <w:rFonts w:ascii="Times New Roman" w:hAnsi="Times New Roman"/>
                      <w:b/>
                      <w:bCs/>
                      <w:color w:val="auto"/>
                      <w:szCs w:val="21"/>
                    </w:rPr>
                  </w:pPr>
                  <w:r>
                    <w:rPr>
                      <w:rFonts w:ascii="Times New Roman" w:hAnsi="Times New Roman"/>
                      <w:b/>
                      <w:bCs/>
                      <w:color w:val="auto"/>
                      <w:szCs w:val="21"/>
                    </w:rPr>
                    <w:t>线路经过区域/被跨越物名称</w:t>
                  </w:r>
                </w:p>
              </w:tc>
              <w:tc>
                <w:tcPr>
                  <w:tcW w:w="685" w:type="dxa"/>
                  <w:tcBorders>
                    <w:tl2br w:val="nil"/>
                    <w:tr2bl w:val="nil"/>
                  </w:tcBorders>
                  <w:vAlign w:val="center"/>
                </w:tcPr>
                <w:p w14:paraId="7E5E9254">
                  <w:pPr>
                    <w:adjustRightInd w:val="0"/>
                    <w:snapToGrid w:val="0"/>
                    <w:jc w:val="center"/>
                    <w:rPr>
                      <w:rFonts w:ascii="Times New Roman" w:hAnsi="Times New Roman"/>
                      <w:b/>
                      <w:bCs/>
                      <w:color w:val="auto"/>
                      <w:szCs w:val="21"/>
                    </w:rPr>
                  </w:pPr>
                  <w:r>
                    <w:rPr>
                      <w:rFonts w:ascii="Times New Roman" w:hAnsi="Times New Roman"/>
                      <w:b/>
                      <w:bCs/>
                      <w:color w:val="auto"/>
                      <w:szCs w:val="21"/>
                    </w:rPr>
                    <w:t>距离（m）</w:t>
                  </w:r>
                </w:p>
              </w:tc>
              <w:tc>
                <w:tcPr>
                  <w:tcW w:w="1225" w:type="dxa"/>
                  <w:tcBorders>
                    <w:tl2br w:val="nil"/>
                    <w:tr2bl w:val="nil"/>
                  </w:tcBorders>
                  <w:vAlign w:val="center"/>
                </w:tcPr>
                <w:p w14:paraId="0D208FB6">
                  <w:pPr>
                    <w:adjustRightInd w:val="0"/>
                    <w:snapToGrid w:val="0"/>
                    <w:jc w:val="center"/>
                    <w:rPr>
                      <w:rFonts w:ascii="Times New Roman" w:hAnsi="Times New Roman"/>
                      <w:b/>
                      <w:bCs/>
                      <w:color w:val="auto"/>
                      <w:szCs w:val="21"/>
                    </w:rPr>
                  </w:pPr>
                  <w:r>
                    <w:rPr>
                      <w:rFonts w:ascii="Times New Roman" w:hAnsi="Times New Roman"/>
                      <w:b/>
                      <w:bCs/>
                      <w:color w:val="auto"/>
                      <w:szCs w:val="21"/>
                    </w:rPr>
                    <w:t>项目设计最小值（m）</w:t>
                  </w:r>
                </w:p>
              </w:tc>
              <w:tc>
                <w:tcPr>
                  <w:tcW w:w="4543" w:type="dxa"/>
                  <w:tcBorders>
                    <w:tl2br w:val="nil"/>
                    <w:tr2bl w:val="nil"/>
                  </w:tcBorders>
                  <w:vAlign w:val="center"/>
                </w:tcPr>
                <w:p w14:paraId="353601E0">
                  <w:pPr>
                    <w:adjustRightInd w:val="0"/>
                    <w:snapToGrid w:val="0"/>
                    <w:jc w:val="center"/>
                    <w:rPr>
                      <w:rFonts w:ascii="Times New Roman" w:hAnsi="Times New Roman"/>
                      <w:b/>
                      <w:bCs/>
                      <w:color w:val="auto"/>
                      <w:szCs w:val="21"/>
                    </w:rPr>
                  </w:pPr>
                  <w:r>
                    <w:rPr>
                      <w:rFonts w:ascii="Times New Roman" w:hAnsi="Times New Roman"/>
                      <w:b/>
                      <w:bCs/>
                      <w:color w:val="auto"/>
                      <w:szCs w:val="21"/>
                    </w:rPr>
                    <w:t>备注</w:t>
                  </w:r>
                </w:p>
              </w:tc>
            </w:tr>
            <w:tr w14:paraId="4B642B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405D012B">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1586" w:type="dxa"/>
                  <w:tcBorders>
                    <w:tl2br w:val="nil"/>
                    <w:tr2bl w:val="nil"/>
                  </w:tcBorders>
                  <w:vAlign w:val="center"/>
                </w:tcPr>
                <w:p w14:paraId="4B02943B">
                  <w:pPr>
                    <w:adjustRightInd w:val="0"/>
                    <w:snapToGrid w:val="0"/>
                    <w:jc w:val="center"/>
                    <w:rPr>
                      <w:rFonts w:ascii="Times New Roman" w:hAnsi="Times New Roman"/>
                      <w:color w:val="auto"/>
                      <w:szCs w:val="21"/>
                    </w:rPr>
                  </w:pPr>
                  <w:r>
                    <w:rPr>
                      <w:rFonts w:ascii="Times New Roman" w:hAnsi="Times New Roman"/>
                      <w:color w:val="auto"/>
                      <w:szCs w:val="21"/>
                    </w:rPr>
                    <w:t>居民区</w:t>
                  </w:r>
                </w:p>
              </w:tc>
              <w:tc>
                <w:tcPr>
                  <w:tcW w:w="685" w:type="dxa"/>
                  <w:tcBorders>
                    <w:tl2br w:val="nil"/>
                    <w:tr2bl w:val="nil"/>
                  </w:tcBorders>
                  <w:vAlign w:val="center"/>
                </w:tcPr>
                <w:p w14:paraId="3CFD6B75">
                  <w:pPr>
                    <w:adjustRightInd w:val="0"/>
                    <w:snapToGrid w:val="0"/>
                    <w:jc w:val="center"/>
                    <w:rPr>
                      <w:rFonts w:ascii="Times New Roman" w:hAnsi="Times New Roman"/>
                      <w:color w:val="auto"/>
                      <w:szCs w:val="21"/>
                    </w:rPr>
                  </w:pPr>
                  <w:r>
                    <w:rPr>
                      <w:rFonts w:ascii="Times New Roman" w:hAnsi="Times New Roman"/>
                      <w:color w:val="auto"/>
                      <w:szCs w:val="21"/>
                    </w:rPr>
                    <w:t>7.5</w:t>
                  </w:r>
                </w:p>
              </w:tc>
              <w:tc>
                <w:tcPr>
                  <w:tcW w:w="1225" w:type="dxa"/>
                  <w:tcBorders>
                    <w:tl2br w:val="nil"/>
                    <w:tr2bl w:val="nil"/>
                  </w:tcBorders>
                  <w:vAlign w:val="center"/>
                </w:tcPr>
                <w:p w14:paraId="6110410B">
                  <w:pPr>
                    <w:adjustRightInd w:val="0"/>
                    <w:snapToGrid w:val="0"/>
                    <w:jc w:val="center"/>
                    <w:rPr>
                      <w:rFonts w:ascii="Times New Roman" w:hAnsi="Times New Roman"/>
                      <w:color w:val="auto"/>
                      <w:szCs w:val="21"/>
                    </w:rPr>
                  </w:pPr>
                  <w:r>
                    <w:rPr>
                      <w:rFonts w:hint="eastAsia" w:ascii="Times New Roman" w:hAnsi="Times New Roman"/>
                      <w:color w:val="auto"/>
                      <w:szCs w:val="21"/>
                    </w:rPr>
                    <w:t>13.8</w:t>
                  </w:r>
                </w:p>
              </w:tc>
              <w:tc>
                <w:tcPr>
                  <w:tcW w:w="4543" w:type="dxa"/>
                  <w:vMerge w:val="restart"/>
                  <w:tcBorders>
                    <w:tl2br w:val="nil"/>
                    <w:tr2bl w:val="nil"/>
                  </w:tcBorders>
                  <w:vAlign w:val="center"/>
                </w:tcPr>
                <w:p w14:paraId="479C1F28">
                  <w:pPr>
                    <w:adjustRightInd w:val="0"/>
                    <w:snapToGrid w:val="0"/>
                    <w:jc w:val="center"/>
                    <w:rPr>
                      <w:rFonts w:ascii="Times New Roman" w:hAnsi="Times New Roman"/>
                      <w:color w:val="auto"/>
                      <w:szCs w:val="21"/>
                    </w:rPr>
                  </w:pPr>
                  <w:r>
                    <w:rPr>
                      <w:rFonts w:ascii="Times New Roman" w:hAnsi="Times New Roman"/>
                      <w:color w:val="auto"/>
                      <w:szCs w:val="21"/>
                    </w:rPr>
                    <w:t>最大弧垂情况下，导线对地面的最小距离</w:t>
                  </w:r>
                </w:p>
              </w:tc>
            </w:tr>
            <w:tr w14:paraId="2E8A85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5CE20182">
                  <w:pPr>
                    <w:adjustRightInd w:val="0"/>
                    <w:snapToGrid w:val="0"/>
                    <w:jc w:val="center"/>
                    <w:rPr>
                      <w:rFonts w:ascii="Times New Roman" w:hAnsi="Times New Roman"/>
                      <w:color w:val="auto"/>
                      <w:szCs w:val="21"/>
                    </w:rPr>
                  </w:pPr>
                  <w:r>
                    <w:rPr>
                      <w:rFonts w:ascii="Times New Roman" w:hAnsi="Times New Roman"/>
                      <w:color w:val="auto"/>
                      <w:szCs w:val="21"/>
                    </w:rPr>
                    <w:t>2</w:t>
                  </w:r>
                </w:p>
              </w:tc>
              <w:tc>
                <w:tcPr>
                  <w:tcW w:w="1586" w:type="dxa"/>
                  <w:tcBorders>
                    <w:tl2br w:val="nil"/>
                    <w:tr2bl w:val="nil"/>
                  </w:tcBorders>
                  <w:vAlign w:val="center"/>
                </w:tcPr>
                <w:p w14:paraId="6560B210">
                  <w:pPr>
                    <w:adjustRightInd w:val="0"/>
                    <w:snapToGrid w:val="0"/>
                    <w:jc w:val="center"/>
                    <w:rPr>
                      <w:rFonts w:ascii="Times New Roman" w:hAnsi="Times New Roman"/>
                      <w:color w:val="auto"/>
                      <w:szCs w:val="21"/>
                    </w:rPr>
                  </w:pPr>
                  <w:r>
                    <w:rPr>
                      <w:rFonts w:ascii="Times New Roman" w:hAnsi="Times New Roman"/>
                      <w:color w:val="auto"/>
                      <w:szCs w:val="21"/>
                    </w:rPr>
                    <w:t>非居民区</w:t>
                  </w:r>
                </w:p>
              </w:tc>
              <w:tc>
                <w:tcPr>
                  <w:tcW w:w="685" w:type="dxa"/>
                  <w:tcBorders>
                    <w:tl2br w:val="nil"/>
                    <w:tr2bl w:val="nil"/>
                  </w:tcBorders>
                  <w:vAlign w:val="center"/>
                </w:tcPr>
                <w:p w14:paraId="499C07D9">
                  <w:pPr>
                    <w:adjustRightInd w:val="0"/>
                    <w:snapToGrid w:val="0"/>
                    <w:jc w:val="center"/>
                    <w:rPr>
                      <w:rFonts w:ascii="Times New Roman" w:hAnsi="Times New Roman"/>
                      <w:color w:val="auto"/>
                      <w:szCs w:val="21"/>
                    </w:rPr>
                  </w:pPr>
                  <w:r>
                    <w:rPr>
                      <w:rFonts w:ascii="Times New Roman" w:hAnsi="Times New Roman"/>
                      <w:color w:val="auto"/>
                      <w:szCs w:val="21"/>
                    </w:rPr>
                    <w:t>6.5</w:t>
                  </w:r>
                </w:p>
              </w:tc>
              <w:tc>
                <w:tcPr>
                  <w:tcW w:w="1225" w:type="dxa"/>
                  <w:tcBorders>
                    <w:tl2br w:val="nil"/>
                    <w:tr2bl w:val="nil"/>
                  </w:tcBorders>
                  <w:vAlign w:val="center"/>
                </w:tcPr>
                <w:p w14:paraId="01E5E93A">
                  <w:pPr>
                    <w:adjustRightInd w:val="0"/>
                    <w:snapToGrid w:val="0"/>
                    <w:jc w:val="center"/>
                    <w:rPr>
                      <w:rFonts w:ascii="Times New Roman" w:hAnsi="Times New Roman"/>
                      <w:color w:val="auto"/>
                      <w:szCs w:val="21"/>
                    </w:rPr>
                  </w:pPr>
                  <w:r>
                    <w:rPr>
                      <w:rFonts w:hint="eastAsia" w:ascii="Times New Roman" w:hAnsi="Times New Roman"/>
                      <w:color w:val="auto"/>
                      <w:szCs w:val="21"/>
                    </w:rPr>
                    <w:t>14.5</w:t>
                  </w:r>
                </w:p>
              </w:tc>
              <w:tc>
                <w:tcPr>
                  <w:tcW w:w="4543" w:type="dxa"/>
                  <w:vMerge w:val="continue"/>
                  <w:tcBorders>
                    <w:tl2br w:val="nil"/>
                    <w:tr2bl w:val="nil"/>
                  </w:tcBorders>
                  <w:vAlign w:val="center"/>
                </w:tcPr>
                <w:p w14:paraId="6C30FDEE">
                  <w:pPr>
                    <w:adjustRightInd w:val="0"/>
                    <w:snapToGrid w:val="0"/>
                    <w:jc w:val="center"/>
                    <w:rPr>
                      <w:rFonts w:ascii="Times New Roman" w:hAnsi="Times New Roman"/>
                      <w:color w:val="auto"/>
                      <w:szCs w:val="21"/>
                    </w:rPr>
                  </w:pPr>
                </w:p>
              </w:tc>
            </w:tr>
            <w:tr w14:paraId="6E0CC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133361C0">
                  <w:pPr>
                    <w:adjustRightInd w:val="0"/>
                    <w:snapToGrid w:val="0"/>
                    <w:jc w:val="center"/>
                    <w:rPr>
                      <w:rFonts w:ascii="Times New Roman" w:hAnsi="Times New Roman"/>
                      <w:color w:val="auto"/>
                      <w:szCs w:val="21"/>
                    </w:rPr>
                  </w:pPr>
                  <w:r>
                    <w:rPr>
                      <w:rFonts w:ascii="Times New Roman" w:hAnsi="Times New Roman"/>
                      <w:color w:val="auto"/>
                      <w:szCs w:val="21"/>
                    </w:rPr>
                    <w:t>3</w:t>
                  </w:r>
                </w:p>
              </w:tc>
              <w:tc>
                <w:tcPr>
                  <w:tcW w:w="1586" w:type="dxa"/>
                  <w:tcBorders>
                    <w:tl2br w:val="nil"/>
                    <w:tr2bl w:val="nil"/>
                  </w:tcBorders>
                  <w:vAlign w:val="center"/>
                </w:tcPr>
                <w:p w14:paraId="3539B434">
                  <w:pPr>
                    <w:adjustRightInd w:val="0"/>
                    <w:snapToGrid w:val="0"/>
                    <w:jc w:val="center"/>
                    <w:rPr>
                      <w:rFonts w:ascii="Times New Roman" w:hAnsi="Times New Roman"/>
                      <w:color w:val="auto"/>
                      <w:szCs w:val="21"/>
                    </w:rPr>
                  </w:pPr>
                  <w:r>
                    <w:rPr>
                      <w:rFonts w:ascii="Times New Roman" w:hAnsi="Times New Roman"/>
                      <w:color w:val="auto"/>
                      <w:szCs w:val="21"/>
                    </w:rPr>
                    <w:t>交通困难地区</w:t>
                  </w:r>
                </w:p>
              </w:tc>
              <w:tc>
                <w:tcPr>
                  <w:tcW w:w="685" w:type="dxa"/>
                  <w:tcBorders>
                    <w:tl2br w:val="nil"/>
                    <w:tr2bl w:val="nil"/>
                  </w:tcBorders>
                  <w:vAlign w:val="center"/>
                </w:tcPr>
                <w:p w14:paraId="01C3043D">
                  <w:pPr>
                    <w:adjustRightInd w:val="0"/>
                    <w:snapToGrid w:val="0"/>
                    <w:jc w:val="center"/>
                    <w:rPr>
                      <w:rFonts w:ascii="Times New Roman" w:hAnsi="Times New Roman"/>
                      <w:color w:val="auto"/>
                      <w:szCs w:val="21"/>
                    </w:rPr>
                  </w:pPr>
                  <w:r>
                    <w:rPr>
                      <w:rFonts w:ascii="Times New Roman" w:hAnsi="Times New Roman"/>
                      <w:color w:val="auto"/>
                      <w:szCs w:val="21"/>
                    </w:rPr>
                    <w:t>5.5</w:t>
                  </w:r>
                </w:p>
              </w:tc>
              <w:tc>
                <w:tcPr>
                  <w:tcW w:w="1225" w:type="dxa"/>
                  <w:tcBorders>
                    <w:tl2br w:val="nil"/>
                    <w:tr2bl w:val="nil"/>
                  </w:tcBorders>
                  <w:vAlign w:val="center"/>
                </w:tcPr>
                <w:p w14:paraId="3186475E">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vMerge w:val="continue"/>
                  <w:tcBorders>
                    <w:tl2br w:val="nil"/>
                    <w:tr2bl w:val="nil"/>
                  </w:tcBorders>
                  <w:vAlign w:val="center"/>
                </w:tcPr>
                <w:p w14:paraId="076CA544">
                  <w:pPr>
                    <w:adjustRightInd w:val="0"/>
                    <w:snapToGrid w:val="0"/>
                    <w:jc w:val="center"/>
                    <w:rPr>
                      <w:rFonts w:ascii="Times New Roman" w:hAnsi="Times New Roman"/>
                      <w:color w:val="auto"/>
                      <w:szCs w:val="21"/>
                    </w:rPr>
                  </w:pPr>
                </w:p>
              </w:tc>
            </w:tr>
            <w:tr w14:paraId="29C3E1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7BB1AA85">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1586" w:type="dxa"/>
                  <w:tcBorders>
                    <w:tl2br w:val="nil"/>
                    <w:tr2bl w:val="nil"/>
                  </w:tcBorders>
                  <w:vAlign w:val="center"/>
                </w:tcPr>
                <w:p w14:paraId="69E7AC52">
                  <w:pPr>
                    <w:adjustRightInd w:val="0"/>
                    <w:snapToGrid w:val="0"/>
                    <w:jc w:val="center"/>
                    <w:rPr>
                      <w:rFonts w:ascii="Times New Roman" w:hAnsi="Times New Roman"/>
                      <w:color w:val="auto"/>
                      <w:szCs w:val="21"/>
                    </w:rPr>
                  </w:pPr>
                  <w:r>
                    <w:rPr>
                      <w:rFonts w:ascii="Times New Roman" w:hAnsi="Times New Roman"/>
                      <w:color w:val="auto"/>
                      <w:szCs w:val="21"/>
                    </w:rPr>
                    <w:t>步行可以到达的山坡</w:t>
                  </w:r>
                </w:p>
              </w:tc>
              <w:tc>
                <w:tcPr>
                  <w:tcW w:w="685" w:type="dxa"/>
                  <w:tcBorders>
                    <w:tl2br w:val="nil"/>
                    <w:tr2bl w:val="nil"/>
                  </w:tcBorders>
                  <w:vAlign w:val="center"/>
                </w:tcPr>
                <w:p w14:paraId="77CAB74D">
                  <w:pPr>
                    <w:adjustRightInd w:val="0"/>
                    <w:snapToGrid w:val="0"/>
                    <w:jc w:val="center"/>
                    <w:rPr>
                      <w:rFonts w:ascii="Times New Roman" w:hAnsi="Times New Roman"/>
                      <w:color w:val="auto"/>
                      <w:szCs w:val="21"/>
                    </w:rPr>
                  </w:pPr>
                  <w:r>
                    <w:rPr>
                      <w:rFonts w:ascii="Times New Roman" w:hAnsi="Times New Roman"/>
                      <w:color w:val="auto"/>
                      <w:szCs w:val="21"/>
                    </w:rPr>
                    <w:t>5.5</w:t>
                  </w:r>
                </w:p>
              </w:tc>
              <w:tc>
                <w:tcPr>
                  <w:tcW w:w="1225" w:type="dxa"/>
                  <w:tcBorders>
                    <w:tl2br w:val="nil"/>
                    <w:tr2bl w:val="nil"/>
                  </w:tcBorders>
                  <w:vAlign w:val="center"/>
                </w:tcPr>
                <w:p w14:paraId="36E70C4B">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vMerge w:val="restart"/>
                  <w:tcBorders>
                    <w:tl2br w:val="nil"/>
                    <w:tr2bl w:val="nil"/>
                  </w:tcBorders>
                  <w:vAlign w:val="center"/>
                </w:tcPr>
                <w:p w14:paraId="58CF74E2">
                  <w:pPr>
                    <w:adjustRightInd w:val="0"/>
                    <w:snapToGrid w:val="0"/>
                    <w:jc w:val="center"/>
                    <w:rPr>
                      <w:rFonts w:ascii="Times New Roman" w:hAnsi="Times New Roman"/>
                      <w:color w:val="auto"/>
                      <w:szCs w:val="21"/>
                    </w:rPr>
                  </w:pPr>
                  <w:r>
                    <w:rPr>
                      <w:rFonts w:ascii="Times New Roman" w:hAnsi="Times New Roman"/>
                      <w:color w:val="auto"/>
                      <w:szCs w:val="21"/>
                    </w:rPr>
                    <w:t>最大风偏情况下，导线与山坡、峭壁和岩石的最小净空距离</w:t>
                  </w:r>
                </w:p>
              </w:tc>
            </w:tr>
            <w:tr w14:paraId="41F09E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5AB11486">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1586" w:type="dxa"/>
                  <w:tcBorders>
                    <w:tl2br w:val="nil"/>
                    <w:tr2bl w:val="nil"/>
                  </w:tcBorders>
                  <w:vAlign w:val="center"/>
                </w:tcPr>
                <w:p w14:paraId="566D2FE5">
                  <w:pPr>
                    <w:adjustRightInd w:val="0"/>
                    <w:snapToGrid w:val="0"/>
                    <w:jc w:val="center"/>
                    <w:rPr>
                      <w:rFonts w:ascii="Times New Roman" w:hAnsi="Times New Roman"/>
                      <w:color w:val="auto"/>
                      <w:szCs w:val="21"/>
                    </w:rPr>
                  </w:pPr>
                  <w:r>
                    <w:rPr>
                      <w:rFonts w:ascii="Times New Roman" w:hAnsi="Times New Roman"/>
                      <w:color w:val="auto"/>
                      <w:szCs w:val="21"/>
                    </w:rPr>
                    <w:t>步行不能到达的山坡、峭壁和岩石</w:t>
                  </w:r>
                </w:p>
              </w:tc>
              <w:tc>
                <w:tcPr>
                  <w:tcW w:w="685" w:type="dxa"/>
                  <w:tcBorders>
                    <w:tl2br w:val="nil"/>
                    <w:tr2bl w:val="nil"/>
                  </w:tcBorders>
                  <w:vAlign w:val="center"/>
                </w:tcPr>
                <w:p w14:paraId="35D34E84">
                  <w:pPr>
                    <w:adjustRightInd w:val="0"/>
                    <w:snapToGrid w:val="0"/>
                    <w:jc w:val="center"/>
                    <w:rPr>
                      <w:rFonts w:ascii="Times New Roman" w:hAnsi="Times New Roman"/>
                      <w:color w:val="auto"/>
                      <w:szCs w:val="21"/>
                    </w:rPr>
                  </w:pPr>
                  <w:r>
                    <w:rPr>
                      <w:rFonts w:ascii="Times New Roman" w:hAnsi="Times New Roman"/>
                      <w:color w:val="auto"/>
                      <w:szCs w:val="21"/>
                    </w:rPr>
                    <w:t>4.0</w:t>
                  </w:r>
                </w:p>
              </w:tc>
              <w:tc>
                <w:tcPr>
                  <w:tcW w:w="1225" w:type="dxa"/>
                  <w:tcBorders>
                    <w:tl2br w:val="nil"/>
                    <w:tr2bl w:val="nil"/>
                  </w:tcBorders>
                  <w:vAlign w:val="center"/>
                </w:tcPr>
                <w:p w14:paraId="0677EE21">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vMerge w:val="continue"/>
                  <w:tcBorders>
                    <w:tl2br w:val="nil"/>
                    <w:tr2bl w:val="nil"/>
                  </w:tcBorders>
                  <w:vAlign w:val="center"/>
                </w:tcPr>
                <w:p w14:paraId="41F7291A">
                  <w:pPr>
                    <w:adjustRightInd w:val="0"/>
                    <w:snapToGrid w:val="0"/>
                    <w:jc w:val="center"/>
                    <w:rPr>
                      <w:rFonts w:ascii="Times New Roman" w:hAnsi="Times New Roman"/>
                      <w:color w:val="auto"/>
                      <w:szCs w:val="21"/>
                    </w:rPr>
                  </w:pPr>
                </w:p>
              </w:tc>
            </w:tr>
            <w:tr w14:paraId="2C5417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restart"/>
                  <w:tcBorders>
                    <w:tl2br w:val="nil"/>
                    <w:tr2bl w:val="nil"/>
                  </w:tcBorders>
                  <w:vAlign w:val="center"/>
                </w:tcPr>
                <w:p w14:paraId="46F84068">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1586" w:type="dxa"/>
                  <w:vMerge w:val="restart"/>
                  <w:tcBorders>
                    <w:tl2br w:val="nil"/>
                    <w:tr2bl w:val="nil"/>
                  </w:tcBorders>
                  <w:vAlign w:val="center"/>
                </w:tcPr>
                <w:p w14:paraId="3CCBC1D4">
                  <w:pPr>
                    <w:adjustRightInd w:val="0"/>
                    <w:snapToGrid w:val="0"/>
                    <w:jc w:val="center"/>
                    <w:rPr>
                      <w:rFonts w:ascii="Times New Roman" w:hAnsi="Times New Roman"/>
                      <w:color w:val="auto"/>
                      <w:szCs w:val="21"/>
                    </w:rPr>
                  </w:pPr>
                  <w:r>
                    <w:rPr>
                      <w:rFonts w:ascii="Times New Roman" w:hAnsi="Times New Roman"/>
                      <w:color w:val="auto"/>
                      <w:szCs w:val="21"/>
                    </w:rPr>
                    <w:t>建筑物</w:t>
                  </w:r>
                </w:p>
              </w:tc>
              <w:tc>
                <w:tcPr>
                  <w:tcW w:w="685" w:type="dxa"/>
                  <w:tcBorders>
                    <w:tl2br w:val="nil"/>
                    <w:tr2bl w:val="nil"/>
                  </w:tcBorders>
                  <w:vAlign w:val="center"/>
                </w:tcPr>
                <w:p w14:paraId="6FD7B901">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1225" w:type="dxa"/>
                  <w:tcBorders>
                    <w:tl2br w:val="nil"/>
                    <w:tr2bl w:val="nil"/>
                  </w:tcBorders>
                  <w:vAlign w:val="center"/>
                </w:tcPr>
                <w:p w14:paraId="41E15725">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tcBorders>
                    <w:tl2br w:val="nil"/>
                    <w:tr2bl w:val="nil"/>
                  </w:tcBorders>
                  <w:vAlign w:val="center"/>
                </w:tcPr>
                <w:p w14:paraId="7CD902F9">
                  <w:pPr>
                    <w:adjustRightInd w:val="0"/>
                    <w:snapToGrid w:val="0"/>
                    <w:jc w:val="center"/>
                    <w:rPr>
                      <w:rFonts w:ascii="Times New Roman" w:hAnsi="Times New Roman"/>
                      <w:color w:val="auto"/>
                      <w:szCs w:val="21"/>
                    </w:rPr>
                  </w:pPr>
                  <w:r>
                    <w:rPr>
                      <w:rFonts w:ascii="Times New Roman" w:hAnsi="Times New Roman"/>
                      <w:color w:val="auto"/>
                      <w:szCs w:val="21"/>
                    </w:rPr>
                    <w:t>最大弧垂情况下，导线与建筑物之间的最小垂直距离</w:t>
                  </w:r>
                </w:p>
              </w:tc>
            </w:tr>
            <w:tr w14:paraId="59D442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continue"/>
                  <w:tcBorders>
                    <w:tl2br w:val="nil"/>
                    <w:tr2bl w:val="nil"/>
                  </w:tcBorders>
                  <w:vAlign w:val="center"/>
                </w:tcPr>
                <w:p w14:paraId="3109D19F">
                  <w:pPr>
                    <w:adjustRightInd w:val="0"/>
                    <w:snapToGrid w:val="0"/>
                    <w:jc w:val="center"/>
                    <w:rPr>
                      <w:rFonts w:ascii="Times New Roman" w:hAnsi="Times New Roman"/>
                      <w:color w:val="auto"/>
                      <w:szCs w:val="21"/>
                    </w:rPr>
                  </w:pPr>
                </w:p>
              </w:tc>
              <w:tc>
                <w:tcPr>
                  <w:tcW w:w="1586" w:type="dxa"/>
                  <w:vMerge w:val="continue"/>
                  <w:tcBorders>
                    <w:tl2br w:val="nil"/>
                    <w:tr2bl w:val="nil"/>
                  </w:tcBorders>
                  <w:vAlign w:val="center"/>
                </w:tcPr>
                <w:p w14:paraId="60BB840C">
                  <w:pPr>
                    <w:adjustRightInd w:val="0"/>
                    <w:snapToGrid w:val="0"/>
                    <w:jc w:val="center"/>
                    <w:rPr>
                      <w:rFonts w:ascii="Times New Roman" w:hAnsi="Times New Roman"/>
                      <w:color w:val="auto"/>
                      <w:szCs w:val="21"/>
                    </w:rPr>
                  </w:pPr>
                </w:p>
              </w:tc>
              <w:tc>
                <w:tcPr>
                  <w:tcW w:w="685" w:type="dxa"/>
                  <w:tcBorders>
                    <w:tl2br w:val="nil"/>
                    <w:tr2bl w:val="nil"/>
                  </w:tcBorders>
                  <w:vAlign w:val="center"/>
                </w:tcPr>
                <w:p w14:paraId="14C59E8C">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1225" w:type="dxa"/>
                  <w:tcBorders>
                    <w:tl2br w:val="nil"/>
                    <w:tr2bl w:val="nil"/>
                  </w:tcBorders>
                  <w:vAlign w:val="center"/>
                </w:tcPr>
                <w:p w14:paraId="7C6020B2">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tcBorders>
                    <w:tl2br w:val="nil"/>
                    <w:tr2bl w:val="nil"/>
                  </w:tcBorders>
                  <w:vAlign w:val="center"/>
                </w:tcPr>
                <w:p w14:paraId="0ED34394">
                  <w:pPr>
                    <w:adjustRightInd w:val="0"/>
                    <w:snapToGrid w:val="0"/>
                    <w:jc w:val="center"/>
                    <w:rPr>
                      <w:rFonts w:ascii="Times New Roman" w:hAnsi="Times New Roman"/>
                      <w:color w:val="auto"/>
                      <w:szCs w:val="21"/>
                    </w:rPr>
                  </w:pPr>
                  <w:r>
                    <w:rPr>
                      <w:rFonts w:ascii="Times New Roman" w:hAnsi="Times New Roman"/>
                      <w:color w:val="auto"/>
                      <w:szCs w:val="21"/>
                    </w:rPr>
                    <w:t>最大风偏情况下，边导线与建筑物之间的最小净空距离</w:t>
                  </w:r>
                </w:p>
              </w:tc>
            </w:tr>
            <w:tr w14:paraId="627AFB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continue"/>
                  <w:tcBorders>
                    <w:tl2br w:val="nil"/>
                    <w:tr2bl w:val="nil"/>
                  </w:tcBorders>
                  <w:vAlign w:val="center"/>
                </w:tcPr>
                <w:p w14:paraId="3F05629B">
                  <w:pPr>
                    <w:adjustRightInd w:val="0"/>
                    <w:snapToGrid w:val="0"/>
                    <w:jc w:val="center"/>
                    <w:rPr>
                      <w:rFonts w:ascii="Times New Roman" w:hAnsi="Times New Roman"/>
                      <w:color w:val="auto"/>
                      <w:szCs w:val="21"/>
                    </w:rPr>
                  </w:pPr>
                </w:p>
              </w:tc>
              <w:tc>
                <w:tcPr>
                  <w:tcW w:w="1586" w:type="dxa"/>
                  <w:vMerge w:val="continue"/>
                  <w:tcBorders>
                    <w:tl2br w:val="nil"/>
                    <w:tr2bl w:val="nil"/>
                  </w:tcBorders>
                  <w:vAlign w:val="center"/>
                </w:tcPr>
                <w:p w14:paraId="4CA4BCAF">
                  <w:pPr>
                    <w:adjustRightInd w:val="0"/>
                    <w:snapToGrid w:val="0"/>
                    <w:jc w:val="center"/>
                    <w:rPr>
                      <w:rFonts w:ascii="Times New Roman" w:hAnsi="Times New Roman"/>
                      <w:color w:val="auto"/>
                      <w:szCs w:val="21"/>
                    </w:rPr>
                  </w:pPr>
                </w:p>
              </w:tc>
              <w:tc>
                <w:tcPr>
                  <w:tcW w:w="685" w:type="dxa"/>
                  <w:tcBorders>
                    <w:tl2br w:val="nil"/>
                    <w:tr2bl w:val="nil"/>
                  </w:tcBorders>
                  <w:vAlign w:val="center"/>
                </w:tcPr>
                <w:p w14:paraId="66E76063">
                  <w:pPr>
                    <w:adjustRightInd w:val="0"/>
                    <w:snapToGrid w:val="0"/>
                    <w:jc w:val="center"/>
                    <w:rPr>
                      <w:rFonts w:ascii="Times New Roman" w:hAnsi="Times New Roman"/>
                      <w:color w:val="auto"/>
                      <w:szCs w:val="21"/>
                    </w:rPr>
                  </w:pPr>
                  <w:r>
                    <w:rPr>
                      <w:rFonts w:ascii="Times New Roman" w:hAnsi="Times New Roman"/>
                      <w:color w:val="auto"/>
                      <w:szCs w:val="21"/>
                    </w:rPr>
                    <w:t>3</w:t>
                  </w:r>
                </w:p>
              </w:tc>
              <w:tc>
                <w:tcPr>
                  <w:tcW w:w="1225" w:type="dxa"/>
                  <w:tcBorders>
                    <w:tl2br w:val="nil"/>
                    <w:tr2bl w:val="nil"/>
                  </w:tcBorders>
                  <w:vAlign w:val="center"/>
                </w:tcPr>
                <w:p w14:paraId="5569957F">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tcBorders>
                    <w:tl2br w:val="nil"/>
                    <w:tr2bl w:val="nil"/>
                  </w:tcBorders>
                  <w:vAlign w:val="center"/>
                </w:tcPr>
                <w:p w14:paraId="4E9919AE">
                  <w:pPr>
                    <w:adjustRightInd w:val="0"/>
                    <w:snapToGrid w:val="0"/>
                    <w:jc w:val="center"/>
                    <w:rPr>
                      <w:rFonts w:ascii="Times New Roman" w:hAnsi="Times New Roman"/>
                      <w:color w:val="auto"/>
                      <w:szCs w:val="21"/>
                    </w:rPr>
                  </w:pPr>
                  <w:r>
                    <w:rPr>
                      <w:rFonts w:ascii="Times New Roman" w:hAnsi="Times New Roman"/>
                      <w:color w:val="auto"/>
                      <w:szCs w:val="21"/>
                    </w:rPr>
                    <w:t>无风情况下，边导线与建筑物之间的水平距离</w:t>
                  </w:r>
                </w:p>
              </w:tc>
            </w:tr>
            <w:tr w14:paraId="3F831F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restart"/>
                  <w:tcBorders>
                    <w:tl2br w:val="nil"/>
                    <w:tr2bl w:val="nil"/>
                  </w:tcBorders>
                  <w:vAlign w:val="center"/>
                </w:tcPr>
                <w:p w14:paraId="2307CA09">
                  <w:pPr>
                    <w:adjustRightInd w:val="0"/>
                    <w:snapToGrid w:val="0"/>
                    <w:jc w:val="center"/>
                    <w:rPr>
                      <w:rFonts w:ascii="Times New Roman" w:hAnsi="Times New Roman"/>
                      <w:color w:val="auto"/>
                      <w:szCs w:val="21"/>
                    </w:rPr>
                  </w:pPr>
                  <w:r>
                    <w:rPr>
                      <w:rFonts w:ascii="Times New Roman" w:hAnsi="Times New Roman"/>
                      <w:color w:val="auto"/>
                      <w:szCs w:val="21"/>
                    </w:rPr>
                    <w:t>7</w:t>
                  </w:r>
                </w:p>
              </w:tc>
              <w:tc>
                <w:tcPr>
                  <w:tcW w:w="1586" w:type="dxa"/>
                  <w:vMerge w:val="restart"/>
                  <w:tcBorders>
                    <w:tl2br w:val="nil"/>
                    <w:tr2bl w:val="nil"/>
                  </w:tcBorders>
                  <w:vAlign w:val="center"/>
                </w:tcPr>
                <w:p w14:paraId="7CDE87EB">
                  <w:pPr>
                    <w:adjustRightInd w:val="0"/>
                    <w:snapToGrid w:val="0"/>
                    <w:jc w:val="center"/>
                    <w:rPr>
                      <w:rFonts w:ascii="Times New Roman" w:hAnsi="Times New Roman"/>
                      <w:color w:val="auto"/>
                      <w:szCs w:val="21"/>
                    </w:rPr>
                  </w:pPr>
                  <w:r>
                    <w:rPr>
                      <w:rFonts w:ascii="Times New Roman" w:hAnsi="Times New Roman"/>
                      <w:color w:val="auto"/>
                      <w:szCs w:val="21"/>
                    </w:rPr>
                    <w:t>树木</w:t>
                  </w:r>
                </w:p>
              </w:tc>
              <w:tc>
                <w:tcPr>
                  <w:tcW w:w="685" w:type="dxa"/>
                  <w:tcBorders>
                    <w:tl2br w:val="nil"/>
                    <w:tr2bl w:val="nil"/>
                  </w:tcBorders>
                  <w:vAlign w:val="center"/>
                </w:tcPr>
                <w:p w14:paraId="00113B9C">
                  <w:pPr>
                    <w:adjustRightInd w:val="0"/>
                    <w:snapToGrid w:val="0"/>
                    <w:jc w:val="center"/>
                    <w:rPr>
                      <w:rFonts w:ascii="Times New Roman" w:hAnsi="Times New Roman"/>
                      <w:color w:val="auto"/>
                      <w:szCs w:val="21"/>
                    </w:rPr>
                  </w:pPr>
                  <w:r>
                    <w:rPr>
                      <w:rFonts w:ascii="Times New Roman" w:hAnsi="Times New Roman"/>
                      <w:color w:val="auto"/>
                      <w:szCs w:val="21"/>
                    </w:rPr>
                    <w:t>4.5</w:t>
                  </w:r>
                </w:p>
              </w:tc>
              <w:tc>
                <w:tcPr>
                  <w:tcW w:w="1225" w:type="dxa"/>
                  <w:tcBorders>
                    <w:tl2br w:val="nil"/>
                    <w:tr2bl w:val="nil"/>
                  </w:tcBorders>
                  <w:vAlign w:val="center"/>
                </w:tcPr>
                <w:p w14:paraId="30287F41">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4543" w:type="dxa"/>
                  <w:tcBorders>
                    <w:tl2br w:val="nil"/>
                    <w:tr2bl w:val="nil"/>
                  </w:tcBorders>
                  <w:vAlign w:val="center"/>
                </w:tcPr>
                <w:p w14:paraId="1CA6A135">
                  <w:pPr>
                    <w:adjustRightInd w:val="0"/>
                    <w:snapToGrid w:val="0"/>
                    <w:jc w:val="center"/>
                    <w:rPr>
                      <w:rFonts w:ascii="Times New Roman" w:hAnsi="Times New Roman"/>
                      <w:color w:val="auto"/>
                      <w:szCs w:val="21"/>
                    </w:rPr>
                  </w:pPr>
                  <w:r>
                    <w:rPr>
                      <w:rFonts w:ascii="Times New Roman" w:hAnsi="Times New Roman"/>
                      <w:color w:val="auto"/>
                      <w:szCs w:val="21"/>
                    </w:rPr>
                    <w:t>当跨越时，导线与树木之间（考虑自然生长高度）的最小垂直距离</w:t>
                  </w:r>
                </w:p>
              </w:tc>
            </w:tr>
            <w:tr w14:paraId="26453E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continue"/>
                  <w:tcBorders>
                    <w:tl2br w:val="nil"/>
                    <w:tr2bl w:val="nil"/>
                  </w:tcBorders>
                  <w:vAlign w:val="center"/>
                </w:tcPr>
                <w:p w14:paraId="244A5943">
                  <w:pPr>
                    <w:adjustRightInd w:val="0"/>
                    <w:snapToGrid w:val="0"/>
                    <w:jc w:val="center"/>
                    <w:rPr>
                      <w:rFonts w:ascii="Times New Roman" w:hAnsi="Times New Roman"/>
                      <w:color w:val="auto"/>
                      <w:szCs w:val="21"/>
                    </w:rPr>
                  </w:pPr>
                </w:p>
              </w:tc>
              <w:tc>
                <w:tcPr>
                  <w:tcW w:w="1586" w:type="dxa"/>
                  <w:vMerge w:val="continue"/>
                  <w:tcBorders>
                    <w:tl2br w:val="nil"/>
                    <w:tr2bl w:val="nil"/>
                  </w:tcBorders>
                  <w:vAlign w:val="center"/>
                </w:tcPr>
                <w:p w14:paraId="534F33A2">
                  <w:pPr>
                    <w:adjustRightInd w:val="0"/>
                    <w:snapToGrid w:val="0"/>
                    <w:jc w:val="center"/>
                    <w:rPr>
                      <w:rFonts w:ascii="Times New Roman" w:hAnsi="Times New Roman"/>
                      <w:color w:val="auto"/>
                      <w:szCs w:val="21"/>
                    </w:rPr>
                  </w:pPr>
                </w:p>
              </w:tc>
              <w:tc>
                <w:tcPr>
                  <w:tcW w:w="685" w:type="dxa"/>
                  <w:tcBorders>
                    <w:tl2br w:val="nil"/>
                    <w:tr2bl w:val="nil"/>
                  </w:tcBorders>
                  <w:vAlign w:val="center"/>
                </w:tcPr>
                <w:p w14:paraId="207CB4F5">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1225" w:type="dxa"/>
                  <w:tcBorders>
                    <w:tl2br w:val="nil"/>
                    <w:tr2bl w:val="nil"/>
                  </w:tcBorders>
                  <w:vAlign w:val="center"/>
                </w:tcPr>
                <w:p w14:paraId="6B36CC14">
                  <w:pPr>
                    <w:adjustRightInd w:val="0"/>
                    <w:snapToGrid w:val="0"/>
                    <w:jc w:val="center"/>
                    <w:rPr>
                      <w:rFonts w:ascii="Times New Roman" w:hAnsi="Times New Roman"/>
                      <w:color w:val="auto"/>
                      <w:szCs w:val="21"/>
                    </w:rPr>
                  </w:pPr>
                  <w:r>
                    <w:rPr>
                      <w:rFonts w:ascii="Times New Roman" w:hAnsi="Times New Roman"/>
                      <w:color w:val="auto"/>
                      <w:szCs w:val="21"/>
                    </w:rPr>
                    <w:t>5</w:t>
                  </w:r>
                </w:p>
              </w:tc>
              <w:tc>
                <w:tcPr>
                  <w:tcW w:w="4543" w:type="dxa"/>
                  <w:tcBorders>
                    <w:tl2br w:val="nil"/>
                    <w:tr2bl w:val="nil"/>
                  </w:tcBorders>
                  <w:vAlign w:val="center"/>
                </w:tcPr>
                <w:p w14:paraId="30401A7F">
                  <w:pPr>
                    <w:adjustRightInd w:val="0"/>
                    <w:snapToGrid w:val="0"/>
                    <w:jc w:val="center"/>
                    <w:rPr>
                      <w:rFonts w:ascii="Times New Roman" w:hAnsi="Times New Roman"/>
                      <w:color w:val="auto"/>
                      <w:szCs w:val="21"/>
                    </w:rPr>
                  </w:pPr>
                  <w:r>
                    <w:rPr>
                      <w:rFonts w:ascii="Times New Roman" w:hAnsi="Times New Roman"/>
                      <w:color w:val="auto"/>
                      <w:szCs w:val="21"/>
                    </w:rPr>
                    <w:t>最大风偏情况下，输电线路通过公园、绿化区或防护林带，导线与树木之间的最小净空距离</w:t>
                  </w:r>
                </w:p>
              </w:tc>
            </w:tr>
            <w:tr w14:paraId="320D0E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496C1541">
                  <w:pPr>
                    <w:adjustRightInd w:val="0"/>
                    <w:snapToGrid w:val="0"/>
                    <w:jc w:val="center"/>
                    <w:rPr>
                      <w:rFonts w:ascii="Times New Roman" w:hAnsi="Times New Roman"/>
                      <w:color w:val="auto"/>
                      <w:szCs w:val="21"/>
                    </w:rPr>
                  </w:pPr>
                  <w:r>
                    <w:rPr>
                      <w:rFonts w:ascii="Times New Roman" w:hAnsi="Times New Roman"/>
                      <w:color w:val="auto"/>
                      <w:szCs w:val="21"/>
                    </w:rPr>
                    <w:t>8</w:t>
                  </w:r>
                </w:p>
              </w:tc>
              <w:tc>
                <w:tcPr>
                  <w:tcW w:w="1586" w:type="dxa"/>
                  <w:tcBorders>
                    <w:tl2br w:val="nil"/>
                    <w:tr2bl w:val="nil"/>
                  </w:tcBorders>
                  <w:vAlign w:val="center"/>
                </w:tcPr>
                <w:p w14:paraId="52784617">
                  <w:pPr>
                    <w:adjustRightInd w:val="0"/>
                    <w:snapToGrid w:val="0"/>
                    <w:jc w:val="center"/>
                    <w:rPr>
                      <w:rFonts w:ascii="Times New Roman" w:hAnsi="Times New Roman"/>
                      <w:color w:val="auto"/>
                      <w:szCs w:val="21"/>
                    </w:rPr>
                  </w:pPr>
                  <w:r>
                    <w:rPr>
                      <w:rFonts w:ascii="Times New Roman" w:hAnsi="Times New Roman"/>
                      <w:color w:val="auto"/>
                      <w:szCs w:val="21"/>
                    </w:rPr>
                    <w:t>果树、经济作物、城市绿化灌木及街道树</w:t>
                  </w:r>
                </w:p>
              </w:tc>
              <w:tc>
                <w:tcPr>
                  <w:tcW w:w="685" w:type="dxa"/>
                  <w:tcBorders>
                    <w:tl2br w:val="nil"/>
                    <w:tr2bl w:val="nil"/>
                  </w:tcBorders>
                  <w:vAlign w:val="center"/>
                </w:tcPr>
                <w:p w14:paraId="6B25B446">
                  <w:pPr>
                    <w:adjustRightInd w:val="0"/>
                    <w:snapToGrid w:val="0"/>
                    <w:jc w:val="center"/>
                    <w:rPr>
                      <w:rFonts w:ascii="Times New Roman" w:hAnsi="Times New Roman"/>
                      <w:color w:val="auto"/>
                      <w:szCs w:val="21"/>
                    </w:rPr>
                  </w:pPr>
                  <w:r>
                    <w:rPr>
                      <w:rFonts w:ascii="Times New Roman" w:hAnsi="Times New Roman"/>
                      <w:color w:val="auto"/>
                      <w:szCs w:val="21"/>
                    </w:rPr>
                    <w:t>3.5</w:t>
                  </w:r>
                </w:p>
              </w:tc>
              <w:tc>
                <w:tcPr>
                  <w:tcW w:w="1225" w:type="dxa"/>
                  <w:tcBorders>
                    <w:tl2br w:val="nil"/>
                    <w:tr2bl w:val="nil"/>
                  </w:tcBorders>
                  <w:vAlign w:val="center"/>
                </w:tcPr>
                <w:p w14:paraId="2081CC0E">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4543" w:type="dxa"/>
                  <w:tcBorders>
                    <w:tl2br w:val="nil"/>
                    <w:tr2bl w:val="nil"/>
                  </w:tcBorders>
                  <w:vAlign w:val="center"/>
                </w:tcPr>
                <w:p w14:paraId="2E7DFAD8">
                  <w:pPr>
                    <w:adjustRightInd w:val="0"/>
                    <w:snapToGrid w:val="0"/>
                    <w:jc w:val="center"/>
                    <w:rPr>
                      <w:rFonts w:ascii="Times New Roman" w:hAnsi="Times New Roman"/>
                      <w:color w:val="auto"/>
                      <w:szCs w:val="21"/>
                    </w:rPr>
                  </w:pPr>
                  <w:r>
                    <w:rPr>
                      <w:rFonts w:ascii="Times New Roman" w:hAnsi="Times New Roman"/>
                      <w:color w:val="auto"/>
                      <w:szCs w:val="21"/>
                    </w:rPr>
                    <w:t>输电线路通过果树、经济作物、城市绿化灌木及街道树时，与树木之间的最小垂直距离</w:t>
                  </w:r>
                </w:p>
              </w:tc>
            </w:tr>
            <w:tr w14:paraId="67F982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39EF6342">
                  <w:pPr>
                    <w:adjustRightInd w:val="0"/>
                    <w:snapToGrid w:val="0"/>
                    <w:jc w:val="center"/>
                    <w:rPr>
                      <w:rFonts w:ascii="Times New Roman" w:hAnsi="Times New Roman"/>
                      <w:color w:val="auto"/>
                      <w:szCs w:val="21"/>
                    </w:rPr>
                  </w:pPr>
                  <w:r>
                    <w:rPr>
                      <w:rFonts w:ascii="Times New Roman" w:hAnsi="Times New Roman"/>
                      <w:color w:val="auto"/>
                      <w:szCs w:val="21"/>
                    </w:rPr>
                    <w:t>9</w:t>
                  </w:r>
                </w:p>
              </w:tc>
              <w:tc>
                <w:tcPr>
                  <w:tcW w:w="1586" w:type="dxa"/>
                  <w:tcBorders>
                    <w:tl2br w:val="nil"/>
                    <w:tr2bl w:val="nil"/>
                  </w:tcBorders>
                  <w:vAlign w:val="center"/>
                </w:tcPr>
                <w:p w14:paraId="2FBFB7E4">
                  <w:pPr>
                    <w:adjustRightInd w:val="0"/>
                    <w:snapToGrid w:val="0"/>
                    <w:jc w:val="center"/>
                    <w:rPr>
                      <w:rFonts w:ascii="Times New Roman" w:hAnsi="Times New Roman"/>
                      <w:color w:val="auto"/>
                      <w:szCs w:val="21"/>
                    </w:rPr>
                  </w:pPr>
                  <w:r>
                    <w:rPr>
                      <w:rFonts w:ascii="Times New Roman" w:hAnsi="Times New Roman"/>
                      <w:color w:val="auto"/>
                      <w:szCs w:val="21"/>
                    </w:rPr>
                    <w:t>公路（</w:t>
                  </w:r>
                  <w:r>
                    <w:rPr>
                      <w:rFonts w:hint="eastAsia" w:ascii="Times New Roman" w:hAnsi="Times New Roman"/>
                      <w:color w:val="auto"/>
                      <w:szCs w:val="21"/>
                    </w:rPr>
                    <w:t>国道</w:t>
                  </w:r>
                  <w:r>
                    <w:rPr>
                      <w:rFonts w:ascii="Times New Roman" w:hAnsi="Times New Roman"/>
                      <w:color w:val="auto"/>
                      <w:szCs w:val="21"/>
                    </w:rPr>
                    <w:t>、一级~四级公路）</w:t>
                  </w:r>
                </w:p>
              </w:tc>
              <w:tc>
                <w:tcPr>
                  <w:tcW w:w="685" w:type="dxa"/>
                  <w:tcBorders>
                    <w:tl2br w:val="nil"/>
                    <w:tr2bl w:val="nil"/>
                  </w:tcBorders>
                  <w:vAlign w:val="center"/>
                </w:tcPr>
                <w:p w14:paraId="68FE624B">
                  <w:pPr>
                    <w:adjustRightInd w:val="0"/>
                    <w:snapToGrid w:val="0"/>
                    <w:jc w:val="center"/>
                    <w:rPr>
                      <w:rFonts w:ascii="Times New Roman" w:hAnsi="Times New Roman"/>
                      <w:color w:val="auto"/>
                      <w:szCs w:val="21"/>
                    </w:rPr>
                  </w:pPr>
                  <w:r>
                    <w:rPr>
                      <w:rFonts w:ascii="Times New Roman" w:hAnsi="Times New Roman"/>
                      <w:color w:val="auto"/>
                      <w:szCs w:val="21"/>
                    </w:rPr>
                    <w:t>7.5</w:t>
                  </w:r>
                </w:p>
              </w:tc>
              <w:tc>
                <w:tcPr>
                  <w:tcW w:w="1225" w:type="dxa"/>
                  <w:tcBorders>
                    <w:tl2br w:val="nil"/>
                    <w:tr2bl w:val="nil"/>
                  </w:tcBorders>
                  <w:vAlign w:val="center"/>
                </w:tcPr>
                <w:p w14:paraId="020DC77E">
                  <w:pPr>
                    <w:adjustRightInd w:val="0"/>
                    <w:snapToGrid w:val="0"/>
                    <w:jc w:val="center"/>
                    <w:rPr>
                      <w:rFonts w:ascii="Times New Roman" w:hAnsi="Times New Roman"/>
                      <w:color w:val="auto"/>
                      <w:szCs w:val="21"/>
                    </w:rPr>
                  </w:pPr>
                  <w:r>
                    <w:rPr>
                      <w:rFonts w:hint="eastAsia" w:ascii="Times New Roman" w:hAnsi="Times New Roman"/>
                      <w:color w:val="auto"/>
                      <w:szCs w:val="21"/>
                    </w:rPr>
                    <w:t>35</w:t>
                  </w:r>
                </w:p>
              </w:tc>
              <w:tc>
                <w:tcPr>
                  <w:tcW w:w="4543" w:type="dxa"/>
                  <w:tcBorders>
                    <w:tl2br w:val="nil"/>
                    <w:tr2bl w:val="nil"/>
                  </w:tcBorders>
                  <w:vAlign w:val="center"/>
                </w:tcPr>
                <w:p w14:paraId="65AAE3FE">
                  <w:pPr>
                    <w:adjustRightInd w:val="0"/>
                    <w:snapToGrid w:val="0"/>
                    <w:jc w:val="center"/>
                    <w:rPr>
                      <w:rFonts w:ascii="Times New Roman" w:hAnsi="Times New Roman"/>
                      <w:color w:val="auto"/>
                      <w:szCs w:val="21"/>
                    </w:rPr>
                  </w:pPr>
                  <w:r>
                    <w:rPr>
                      <w:rFonts w:ascii="Times New Roman" w:hAnsi="Times New Roman"/>
                      <w:color w:val="auto"/>
                      <w:szCs w:val="21"/>
                    </w:rPr>
                    <w:t>至路面</w:t>
                  </w:r>
                </w:p>
              </w:tc>
            </w:tr>
            <w:tr w14:paraId="47DA55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restart"/>
                  <w:tcBorders>
                    <w:tl2br w:val="nil"/>
                    <w:tr2bl w:val="nil"/>
                  </w:tcBorders>
                  <w:vAlign w:val="center"/>
                </w:tcPr>
                <w:p w14:paraId="6A0EA4A8">
                  <w:pPr>
                    <w:adjustRightInd w:val="0"/>
                    <w:snapToGrid w:val="0"/>
                    <w:jc w:val="center"/>
                    <w:rPr>
                      <w:rFonts w:ascii="Times New Roman" w:hAnsi="Times New Roman"/>
                      <w:color w:val="auto"/>
                      <w:szCs w:val="21"/>
                    </w:rPr>
                  </w:pPr>
                  <w:r>
                    <w:rPr>
                      <w:rFonts w:ascii="Times New Roman" w:hAnsi="Times New Roman"/>
                      <w:color w:val="auto"/>
                      <w:szCs w:val="21"/>
                    </w:rPr>
                    <w:t>10</w:t>
                  </w:r>
                </w:p>
              </w:tc>
              <w:tc>
                <w:tcPr>
                  <w:tcW w:w="1586" w:type="dxa"/>
                  <w:vMerge w:val="restart"/>
                  <w:tcBorders>
                    <w:tl2br w:val="nil"/>
                    <w:tr2bl w:val="nil"/>
                  </w:tcBorders>
                  <w:vAlign w:val="center"/>
                </w:tcPr>
                <w:p w14:paraId="4ECFBF49">
                  <w:pPr>
                    <w:adjustRightInd w:val="0"/>
                    <w:snapToGrid w:val="0"/>
                    <w:jc w:val="center"/>
                    <w:rPr>
                      <w:rFonts w:ascii="Times New Roman" w:hAnsi="Times New Roman"/>
                      <w:color w:val="auto"/>
                      <w:szCs w:val="21"/>
                    </w:rPr>
                  </w:pPr>
                  <w:r>
                    <w:rPr>
                      <w:rFonts w:ascii="Times New Roman" w:hAnsi="Times New Roman"/>
                      <w:color w:val="auto"/>
                      <w:szCs w:val="21"/>
                    </w:rPr>
                    <w:t>通航河流</w:t>
                  </w:r>
                </w:p>
              </w:tc>
              <w:tc>
                <w:tcPr>
                  <w:tcW w:w="685" w:type="dxa"/>
                  <w:tcBorders>
                    <w:tl2br w:val="nil"/>
                    <w:tr2bl w:val="nil"/>
                  </w:tcBorders>
                  <w:vAlign w:val="center"/>
                </w:tcPr>
                <w:p w14:paraId="12EA2FD6">
                  <w:pPr>
                    <w:adjustRightInd w:val="0"/>
                    <w:snapToGrid w:val="0"/>
                    <w:jc w:val="center"/>
                    <w:rPr>
                      <w:rFonts w:ascii="Times New Roman" w:hAnsi="Times New Roman"/>
                      <w:color w:val="auto"/>
                      <w:szCs w:val="21"/>
                    </w:rPr>
                  </w:pPr>
                  <w:r>
                    <w:rPr>
                      <w:rFonts w:ascii="Times New Roman" w:hAnsi="Times New Roman"/>
                      <w:color w:val="auto"/>
                      <w:szCs w:val="21"/>
                    </w:rPr>
                    <w:t>7</w:t>
                  </w:r>
                </w:p>
              </w:tc>
              <w:tc>
                <w:tcPr>
                  <w:tcW w:w="1225" w:type="dxa"/>
                  <w:tcBorders>
                    <w:tl2br w:val="nil"/>
                    <w:tr2bl w:val="nil"/>
                  </w:tcBorders>
                  <w:vAlign w:val="center"/>
                </w:tcPr>
                <w:p w14:paraId="3D39CFD4">
                  <w:pPr>
                    <w:adjustRightInd w:val="0"/>
                    <w:snapToGrid w:val="0"/>
                    <w:jc w:val="center"/>
                    <w:rPr>
                      <w:rFonts w:ascii="Times New Roman" w:hAnsi="Times New Roman"/>
                      <w:color w:val="auto"/>
                      <w:szCs w:val="21"/>
                    </w:rPr>
                  </w:pPr>
                  <w:r>
                    <w:rPr>
                      <w:rFonts w:ascii="Times New Roman" w:hAnsi="Times New Roman"/>
                      <w:color w:val="auto"/>
                      <w:szCs w:val="21"/>
                    </w:rPr>
                    <w:t>8</w:t>
                  </w:r>
                </w:p>
              </w:tc>
              <w:tc>
                <w:tcPr>
                  <w:tcW w:w="4543" w:type="dxa"/>
                  <w:tcBorders>
                    <w:tl2br w:val="nil"/>
                    <w:tr2bl w:val="nil"/>
                  </w:tcBorders>
                  <w:vAlign w:val="center"/>
                </w:tcPr>
                <w:p w14:paraId="6DE6BC7F">
                  <w:pPr>
                    <w:adjustRightInd w:val="0"/>
                    <w:snapToGrid w:val="0"/>
                    <w:jc w:val="center"/>
                    <w:rPr>
                      <w:rFonts w:ascii="Times New Roman" w:hAnsi="Times New Roman"/>
                      <w:color w:val="auto"/>
                      <w:szCs w:val="21"/>
                    </w:rPr>
                  </w:pPr>
                  <w:r>
                    <w:rPr>
                      <w:rFonts w:ascii="Times New Roman" w:hAnsi="Times New Roman"/>
                      <w:color w:val="auto"/>
                      <w:szCs w:val="21"/>
                    </w:rPr>
                    <w:t>至5年一遇洪水位</w:t>
                  </w:r>
                </w:p>
              </w:tc>
            </w:tr>
            <w:tr w14:paraId="511A78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continue"/>
                  <w:tcBorders>
                    <w:tl2br w:val="nil"/>
                    <w:tr2bl w:val="nil"/>
                  </w:tcBorders>
                  <w:vAlign w:val="center"/>
                </w:tcPr>
                <w:p w14:paraId="1DFF1E10">
                  <w:pPr>
                    <w:adjustRightInd w:val="0"/>
                    <w:snapToGrid w:val="0"/>
                    <w:jc w:val="center"/>
                    <w:rPr>
                      <w:rFonts w:ascii="Times New Roman" w:hAnsi="Times New Roman"/>
                      <w:color w:val="auto"/>
                      <w:szCs w:val="21"/>
                    </w:rPr>
                  </w:pPr>
                </w:p>
              </w:tc>
              <w:tc>
                <w:tcPr>
                  <w:tcW w:w="1586" w:type="dxa"/>
                  <w:vMerge w:val="continue"/>
                  <w:tcBorders>
                    <w:tl2br w:val="nil"/>
                    <w:tr2bl w:val="nil"/>
                  </w:tcBorders>
                  <w:vAlign w:val="center"/>
                </w:tcPr>
                <w:p w14:paraId="5F3102F5">
                  <w:pPr>
                    <w:adjustRightInd w:val="0"/>
                    <w:snapToGrid w:val="0"/>
                    <w:jc w:val="center"/>
                    <w:rPr>
                      <w:rFonts w:ascii="Times New Roman" w:hAnsi="Times New Roman"/>
                      <w:color w:val="auto"/>
                      <w:szCs w:val="21"/>
                    </w:rPr>
                  </w:pPr>
                </w:p>
              </w:tc>
              <w:tc>
                <w:tcPr>
                  <w:tcW w:w="685" w:type="dxa"/>
                  <w:tcBorders>
                    <w:tl2br w:val="nil"/>
                    <w:tr2bl w:val="nil"/>
                  </w:tcBorders>
                  <w:vAlign w:val="center"/>
                </w:tcPr>
                <w:p w14:paraId="764B6537">
                  <w:pPr>
                    <w:adjustRightInd w:val="0"/>
                    <w:snapToGrid w:val="0"/>
                    <w:jc w:val="center"/>
                    <w:rPr>
                      <w:rFonts w:ascii="Times New Roman" w:hAnsi="Times New Roman"/>
                      <w:color w:val="auto"/>
                      <w:szCs w:val="21"/>
                    </w:rPr>
                  </w:pPr>
                  <w:r>
                    <w:rPr>
                      <w:rFonts w:ascii="Times New Roman" w:hAnsi="Times New Roman"/>
                      <w:color w:val="auto"/>
                      <w:szCs w:val="21"/>
                    </w:rPr>
                    <w:t>3</w:t>
                  </w:r>
                </w:p>
              </w:tc>
              <w:tc>
                <w:tcPr>
                  <w:tcW w:w="1225" w:type="dxa"/>
                  <w:tcBorders>
                    <w:tl2br w:val="nil"/>
                    <w:tr2bl w:val="nil"/>
                  </w:tcBorders>
                  <w:vAlign w:val="center"/>
                </w:tcPr>
                <w:p w14:paraId="4576E49E">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4543" w:type="dxa"/>
                  <w:tcBorders>
                    <w:tl2br w:val="nil"/>
                    <w:tr2bl w:val="nil"/>
                  </w:tcBorders>
                  <w:vAlign w:val="center"/>
                </w:tcPr>
                <w:p w14:paraId="7D2D6221">
                  <w:pPr>
                    <w:adjustRightInd w:val="0"/>
                    <w:snapToGrid w:val="0"/>
                    <w:jc w:val="center"/>
                    <w:rPr>
                      <w:rFonts w:ascii="Times New Roman" w:hAnsi="Times New Roman"/>
                      <w:color w:val="auto"/>
                      <w:szCs w:val="21"/>
                    </w:rPr>
                  </w:pPr>
                  <w:r>
                    <w:rPr>
                      <w:rFonts w:ascii="Times New Roman" w:hAnsi="Times New Roman"/>
                      <w:color w:val="auto"/>
                      <w:szCs w:val="21"/>
                    </w:rPr>
                    <w:t>至最高航行水位的最高船桅顶</w:t>
                  </w:r>
                </w:p>
              </w:tc>
            </w:tr>
            <w:tr w14:paraId="009E31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restart"/>
                  <w:tcBorders>
                    <w:tl2br w:val="nil"/>
                    <w:tr2bl w:val="nil"/>
                  </w:tcBorders>
                  <w:vAlign w:val="center"/>
                </w:tcPr>
                <w:p w14:paraId="7F9E46DB">
                  <w:pPr>
                    <w:adjustRightInd w:val="0"/>
                    <w:snapToGrid w:val="0"/>
                    <w:jc w:val="center"/>
                    <w:rPr>
                      <w:rFonts w:ascii="Times New Roman" w:hAnsi="Times New Roman"/>
                      <w:color w:val="auto"/>
                      <w:szCs w:val="21"/>
                    </w:rPr>
                  </w:pPr>
                  <w:r>
                    <w:rPr>
                      <w:rFonts w:ascii="Times New Roman" w:hAnsi="Times New Roman"/>
                      <w:color w:val="auto"/>
                      <w:szCs w:val="21"/>
                    </w:rPr>
                    <w:t>11</w:t>
                  </w:r>
                </w:p>
              </w:tc>
              <w:tc>
                <w:tcPr>
                  <w:tcW w:w="1586" w:type="dxa"/>
                  <w:vMerge w:val="restart"/>
                  <w:tcBorders>
                    <w:tl2br w:val="nil"/>
                    <w:tr2bl w:val="nil"/>
                  </w:tcBorders>
                  <w:vAlign w:val="center"/>
                </w:tcPr>
                <w:p w14:paraId="76113E2F">
                  <w:pPr>
                    <w:adjustRightInd w:val="0"/>
                    <w:snapToGrid w:val="0"/>
                    <w:jc w:val="center"/>
                    <w:rPr>
                      <w:rFonts w:ascii="Times New Roman" w:hAnsi="Times New Roman"/>
                      <w:color w:val="auto"/>
                      <w:szCs w:val="21"/>
                    </w:rPr>
                  </w:pPr>
                  <w:r>
                    <w:rPr>
                      <w:rFonts w:ascii="Times New Roman" w:hAnsi="Times New Roman"/>
                      <w:color w:val="auto"/>
                      <w:szCs w:val="21"/>
                    </w:rPr>
                    <w:t>不通航河流</w:t>
                  </w:r>
                </w:p>
              </w:tc>
              <w:tc>
                <w:tcPr>
                  <w:tcW w:w="685" w:type="dxa"/>
                  <w:tcBorders>
                    <w:tl2br w:val="nil"/>
                    <w:tr2bl w:val="nil"/>
                  </w:tcBorders>
                  <w:vAlign w:val="center"/>
                </w:tcPr>
                <w:p w14:paraId="0E8B9061">
                  <w:pPr>
                    <w:adjustRightInd w:val="0"/>
                    <w:snapToGrid w:val="0"/>
                    <w:jc w:val="center"/>
                    <w:rPr>
                      <w:rFonts w:ascii="Times New Roman" w:hAnsi="Times New Roman"/>
                      <w:color w:val="auto"/>
                      <w:szCs w:val="21"/>
                    </w:rPr>
                  </w:pPr>
                  <w:r>
                    <w:rPr>
                      <w:rFonts w:ascii="Times New Roman" w:hAnsi="Times New Roman"/>
                      <w:color w:val="auto"/>
                      <w:szCs w:val="21"/>
                    </w:rPr>
                    <w:t>3.0</w:t>
                  </w:r>
                </w:p>
              </w:tc>
              <w:tc>
                <w:tcPr>
                  <w:tcW w:w="1225" w:type="dxa"/>
                  <w:tcBorders>
                    <w:tl2br w:val="nil"/>
                    <w:tr2bl w:val="nil"/>
                  </w:tcBorders>
                  <w:vAlign w:val="center"/>
                </w:tcPr>
                <w:p w14:paraId="1B2EA418">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4543" w:type="dxa"/>
                  <w:tcBorders>
                    <w:tl2br w:val="nil"/>
                    <w:tr2bl w:val="nil"/>
                  </w:tcBorders>
                  <w:vAlign w:val="center"/>
                </w:tcPr>
                <w:p w14:paraId="6759F1CD">
                  <w:pPr>
                    <w:adjustRightInd w:val="0"/>
                    <w:snapToGrid w:val="0"/>
                    <w:jc w:val="center"/>
                    <w:rPr>
                      <w:rFonts w:ascii="Times New Roman" w:hAnsi="Times New Roman"/>
                      <w:color w:val="auto"/>
                      <w:szCs w:val="21"/>
                    </w:rPr>
                  </w:pPr>
                  <w:r>
                    <w:rPr>
                      <w:rFonts w:ascii="Times New Roman" w:hAnsi="Times New Roman"/>
                      <w:color w:val="auto"/>
                      <w:szCs w:val="21"/>
                    </w:rPr>
                    <w:t>至百年一遇洪水位</w:t>
                  </w:r>
                </w:p>
              </w:tc>
            </w:tr>
            <w:tr w14:paraId="0B7EAB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vMerge w:val="continue"/>
                  <w:tcBorders>
                    <w:tl2br w:val="nil"/>
                    <w:tr2bl w:val="nil"/>
                  </w:tcBorders>
                  <w:vAlign w:val="center"/>
                </w:tcPr>
                <w:p w14:paraId="4FDBB270">
                  <w:pPr>
                    <w:adjustRightInd w:val="0"/>
                    <w:snapToGrid w:val="0"/>
                    <w:jc w:val="center"/>
                    <w:rPr>
                      <w:rFonts w:ascii="Times New Roman" w:hAnsi="Times New Roman"/>
                      <w:color w:val="auto"/>
                      <w:szCs w:val="21"/>
                    </w:rPr>
                  </w:pPr>
                </w:p>
              </w:tc>
              <w:tc>
                <w:tcPr>
                  <w:tcW w:w="1586" w:type="dxa"/>
                  <w:vMerge w:val="continue"/>
                  <w:tcBorders>
                    <w:tl2br w:val="nil"/>
                    <w:tr2bl w:val="nil"/>
                  </w:tcBorders>
                  <w:vAlign w:val="center"/>
                </w:tcPr>
                <w:p w14:paraId="3A594C3B">
                  <w:pPr>
                    <w:adjustRightInd w:val="0"/>
                    <w:snapToGrid w:val="0"/>
                    <w:jc w:val="center"/>
                    <w:rPr>
                      <w:rFonts w:ascii="Times New Roman" w:hAnsi="Times New Roman"/>
                      <w:color w:val="auto"/>
                      <w:szCs w:val="21"/>
                    </w:rPr>
                  </w:pPr>
                </w:p>
              </w:tc>
              <w:tc>
                <w:tcPr>
                  <w:tcW w:w="685" w:type="dxa"/>
                  <w:tcBorders>
                    <w:tl2br w:val="nil"/>
                    <w:tr2bl w:val="nil"/>
                  </w:tcBorders>
                  <w:vAlign w:val="center"/>
                </w:tcPr>
                <w:p w14:paraId="0ECE34B3">
                  <w:pPr>
                    <w:adjustRightInd w:val="0"/>
                    <w:snapToGrid w:val="0"/>
                    <w:jc w:val="center"/>
                    <w:rPr>
                      <w:rFonts w:ascii="Times New Roman" w:hAnsi="Times New Roman"/>
                      <w:color w:val="auto"/>
                      <w:szCs w:val="21"/>
                    </w:rPr>
                  </w:pPr>
                  <w:r>
                    <w:rPr>
                      <w:rFonts w:ascii="Times New Roman" w:hAnsi="Times New Roman"/>
                      <w:color w:val="auto"/>
                      <w:szCs w:val="21"/>
                    </w:rPr>
                    <w:t>6.0</w:t>
                  </w:r>
                </w:p>
              </w:tc>
              <w:tc>
                <w:tcPr>
                  <w:tcW w:w="1225" w:type="dxa"/>
                  <w:tcBorders>
                    <w:tl2br w:val="nil"/>
                    <w:tr2bl w:val="nil"/>
                  </w:tcBorders>
                  <w:vAlign w:val="center"/>
                </w:tcPr>
                <w:p w14:paraId="17C87286">
                  <w:pPr>
                    <w:adjustRightInd w:val="0"/>
                    <w:snapToGrid w:val="0"/>
                    <w:jc w:val="center"/>
                    <w:rPr>
                      <w:rFonts w:ascii="Times New Roman" w:hAnsi="Times New Roman"/>
                      <w:color w:val="auto"/>
                      <w:szCs w:val="21"/>
                    </w:rPr>
                  </w:pPr>
                  <w:r>
                    <w:rPr>
                      <w:rFonts w:ascii="Times New Roman" w:hAnsi="Times New Roman"/>
                      <w:color w:val="auto"/>
                      <w:szCs w:val="21"/>
                    </w:rPr>
                    <w:t>7</w:t>
                  </w:r>
                </w:p>
              </w:tc>
              <w:tc>
                <w:tcPr>
                  <w:tcW w:w="4543" w:type="dxa"/>
                  <w:tcBorders>
                    <w:tl2br w:val="nil"/>
                    <w:tr2bl w:val="nil"/>
                  </w:tcBorders>
                  <w:vAlign w:val="center"/>
                </w:tcPr>
                <w:p w14:paraId="7FDE3AB2">
                  <w:pPr>
                    <w:adjustRightInd w:val="0"/>
                    <w:snapToGrid w:val="0"/>
                    <w:jc w:val="center"/>
                    <w:rPr>
                      <w:rFonts w:ascii="Times New Roman" w:hAnsi="Times New Roman"/>
                      <w:color w:val="auto"/>
                      <w:szCs w:val="21"/>
                    </w:rPr>
                  </w:pPr>
                  <w:r>
                    <w:rPr>
                      <w:rFonts w:ascii="Times New Roman" w:hAnsi="Times New Roman"/>
                      <w:color w:val="auto"/>
                      <w:szCs w:val="21"/>
                    </w:rPr>
                    <w:t>冬季至冰面</w:t>
                  </w:r>
                </w:p>
              </w:tc>
            </w:tr>
            <w:tr w14:paraId="519FA3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15849DD2">
                  <w:pPr>
                    <w:adjustRightInd w:val="0"/>
                    <w:snapToGrid w:val="0"/>
                    <w:jc w:val="center"/>
                    <w:rPr>
                      <w:rFonts w:ascii="Times New Roman" w:hAnsi="Times New Roman"/>
                      <w:color w:val="auto"/>
                      <w:szCs w:val="21"/>
                    </w:rPr>
                  </w:pPr>
                  <w:r>
                    <w:rPr>
                      <w:rFonts w:ascii="Times New Roman" w:hAnsi="Times New Roman"/>
                      <w:color w:val="auto"/>
                      <w:szCs w:val="21"/>
                    </w:rPr>
                    <w:t>12</w:t>
                  </w:r>
                </w:p>
              </w:tc>
              <w:tc>
                <w:tcPr>
                  <w:tcW w:w="1586" w:type="dxa"/>
                  <w:tcBorders>
                    <w:tl2br w:val="nil"/>
                    <w:tr2bl w:val="nil"/>
                  </w:tcBorders>
                  <w:vAlign w:val="center"/>
                </w:tcPr>
                <w:p w14:paraId="1BA72D80">
                  <w:pPr>
                    <w:adjustRightInd w:val="0"/>
                    <w:snapToGrid w:val="0"/>
                    <w:jc w:val="center"/>
                    <w:rPr>
                      <w:rFonts w:ascii="Times New Roman" w:hAnsi="Times New Roman"/>
                      <w:color w:val="auto"/>
                      <w:szCs w:val="21"/>
                    </w:rPr>
                  </w:pPr>
                  <w:r>
                    <w:rPr>
                      <w:rFonts w:ascii="Times New Roman" w:hAnsi="Times New Roman"/>
                      <w:color w:val="auto"/>
                      <w:szCs w:val="21"/>
                    </w:rPr>
                    <w:t>弱电线路</w:t>
                  </w:r>
                </w:p>
              </w:tc>
              <w:tc>
                <w:tcPr>
                  <w:tcW w:w="685" w:type="dxa"/>
                  <w:tcBorders>
                    <w:tl2br w:val="nil"/>
                    <w:tr2bl w:val="nil"/>
                  </w:tcBorders>
                  <w:vAlign w:val="center"/>
                </w:tcPr>
                <w:p w14:paraId="7789416B">
                  <w:pPr>
                    <w:adjustRightInd w:val="0"/>
                    <w:snapToGrid w:val="0"/>
                    <w:jc w:val="center"/>
                    <w:rPr>
                      <w:rFonts w:ascii="Times New Roman" w:hAnsi="Times New Roman"/>
                      <w:color w:val="auto"/>
                      <w:szCs w:val="21"/>
                    </w:rPr>
                  </w:pPr>
                  <w:r>
                    <w:rPr>
                      <w:rFonts w:ascii="Times New Roman" w:hAnsi="Times New Roman"/>
                      <w:color w:val="auto"/>
                      <w:szCs w:val="21"/>
                    </w:rPr>
                    <w:t>3.5</w:t>
                  </w:r>
                </w:p>
              </w:tc>
              <w:tc>
                <w:tcPr>
                  <w:tcW w:w="1225" w:type="dxa"/>
                  <w:tcBorders>
                    <w:tl2br w:val="nil"/>
                    <w:tr2bl w:val="nil"/>
                  </w:tcBorders>
                  <w:vAlign w:val="center"/>
                </w:tcPr>
                <w:p w14:paraId="679F8F5E">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4543" w:type="dxa"/>
                  <w:tcBorders>
                    <w:tl2br w:val="nil"/>
                    <w:tr2bl w:val="nil"/>
                  </w:tcBorders>
                  <w:vAlign w:val="center"/>
                </w:tcPr>
                <w:p w14:paraId="6F4BFFC2">
                  <w:pPr>
                    <w:adjustRightInd w:val="0"/>
                    <w:snapToGrid w:val="0"/>
                    <w:jc w:val="center"/>
                    <w:rPr>
                      <w:rFonts w:ascii="Times New Roman" w:hAnsi="Times New Roman"/>
                      <w:color w:val="auto"/>
                      <w:szCs w:val="21"/>
                    </w:rPr>
                  </w:pPr>
                  <w:r>
                    <w:rPr>
                      <w:rFonts w:ascii="Times New Roman" w:hAnsi="Times New Roman"/>
                      <w:color w:val="auto"/>
                      <w:szCs w:val="21"/>
                    </w:rPr>
                    <w:t>至被跨越弱电线路，电力线路架设在弱电线路上方。</w:t>
                  </w:r>
                </w:p>
              </w:tc>
            </w:tr>
            <w:tr w14:paraId="189E67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746064AE">
                  <w:pPr>
                    <w:adjustRightInd w:val="0"/>
                    <w:snapToGrid w:val="0"/>
                    <w:jc w:val="center"/>
                    <w:rPr>
                      <w:rFonts w:ascii="Times New Roman" w:hAnsi="Times New Roman"/>
                      <w:color w:val="auto"/>
                      <w:szCs w:val="21"/>
                    </w:rPr>
                  </w:pPr>
                  <w:r>
                    <w:rPr>
                      <w:rFonts w:ascii="Times New Roman" w:hAnsi="Times New Roman"/>
                      <w:color w:val="auto"/>
                      <w:szCs w:val="21"/>
                    </w:rPr>
                    <w:t>13</w:t>
                  </w:r>
                </w:p>
              </w:tc>
              <w:tc>
                <w:tcPr>
                  <w:tcW w:w="1586" w:type="dxa"/>
                  <w:tcBorders>
                    <w:tl2br w:val="nil"/>
                    <w:tr2bl w:val="nil"/>
                  </w:tcBorders>
                  <w:vAlign w:val="center"/>
                </w:tcPr>
                <w:p w14:paraId="31036025">
                  <w:pPr>
                    <w:adjustRightInd w:val="0"/>
                    <w:snapToGrid w:val="0"/>
                    <w:jc w:val="center"/>
                    <w:rPr>
                      <w:rFonts w:ascii="Times New Roman" w:hAnsi="Times New Roman"/>
                      <w:color w:val="auto"/>
                      <w:szCs w:val="21"/>
                    </w:rPr>
                  </w:pPr>
                  <w:r>
                    <w:rPr>
                      <w:rFonts w:ascii="Times New Roman" w:hAnsi="Times New Roman"/>
                      <w:color w:val="auto"/>
                      <w:szCs w:val="21"/>
                    </w:rPr>
                    <w:t>电力线路</w:t>
                  </w:r>
                </w:p>
              </w:tc>
              <w:tc>
                <w:tcPr>
                  <w:tcW w:w="685" w:type="dxa"/>
                  <w:tcBorders>
                    <w:tl2br w:val="nil"/>
                    <w:tr2bl w:val="nil"/>
                  </w:tcBorders>
                  <w:vAlign w:val="center"/>
                </w:tcPr>
                <w:p w14:paraId="698C4BDF">
                  <w:pPr>
                    <w:adjustRightInd w:val="0"/>
                    <w:snapToGrid w:val="0"/>
                    <w:jc w:val="center"/>
                    <w:rPr>
                      <w:rFonts w:ascii="Times New Roman" w:hAnsi="Times New Roman"/>
                      <w:color w:val="auto"/>
                      <w:szCs w:val="21"/>
                    </w:rPr>
                  </w:pPr>
                  <w:r>
                    <w:rPr>
                      <w:rFonts w:ascii="Times New Roman" w:hAnsi="Times New Roman"/>
                      <w:color w:val="auto"/>
                      <w:szCs w:val="21"/>
                    </w:rPr>
                    <w:t>3.5</w:t>
                  </w:r>
                </w:p>
              </w:tc>
              <w:tc>
                <w:tcPr>
                  <w:tcW w:w="1225" w:type="dxa"/>
                  <w:tcBorders>
                    <w:tl2br w:val="nil"/>
                    <w:tr2bl w:val="nil"/>
                  </w:tcBorders>
                  <w:vAlign w:val="center"/>
                </w:tcPr>
                <w:p w14:paraId="4647A173">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4543" w:type="dxa"/>
                  <w:tcBorders>
                    <w:tl2br w:val="nil"/>
                    <w:tr2bl w:val="nil"/>
                  </w:tcBorders>
                  <w:vAlign w:val="center"/>
                </w:tcPr>
                <w:p w14:paraId="450980C9">
                  <w:pPr>
                    <w:adjustRightInd w:val="0"/>
                    <w:snapToGrid w:val="0"/>
                    <w:jc w:val="center"/>
                    <w:rPr>
                      <w:rFonts w:ascii="Times New Roman" w:hAnsi="Times New Roman"/>
                      <w:color w:val="auto"/>
                      <w:szCs w:val="21"/>
                    </w:rPr>
                  </w:pPr>
                  <w:r>
                    <w:rPr>
                      <w:rFonts w:ascii="Times New Roman" w:hAnsi="Times New Roman"/>
                      <w:color w:val="auto"/>
                      <w:szCs w:val="21"/>
                    </w:rPr>
                    <w:t>至被跨越电力线路，电压等级较高的线路架设在电压等级较低的线路上方。</w:t>
                  </w:r>
                </w:p>
              </w:tc>
            </w:tr>
            <w:tr w14:paraId="4C6532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51" w:type="dxa"/>
                  <w:tcBorders>
                    <w:tl2br w:val="nil"/>
                    <w:tr2bl w:val="nil"/>
                  </w:tcBorders>
                  <w:vAlign w:val="center"/>
                </w:tcPr>
                <w:p w14:paraId="1002DEF4">
                  <w:pPr>
                    <w:adjustRightInd w:val="0"/>
                    <w:snapToGrid w:val="0"/>
                    <w:jc w:val="center"/>
                    <w:rPr>
                      <w:rFonts w:ascii="Times New Roman" w:hAnsi="Times New Roman"/>
                      <w:color w:val="auto"/>
                      <w:szCs w:val="21"/>
                    </w:rPr>
                  </w:pPr>
                  <w:r>
                    <w:rPr>
                      <w:rFonts w:ascii="Times New Roman" w:hAnsi="Times New Roman"/>
                      <w:color w:val="auto"/>
                      <w:szCs w:val="21"/>
                    </w:rPr>
                    <w:t>14</w:t>
                  </w:r>
                </w:p>
              </w:tc>
              <w:tc>
                <w:tcPr>
                  <w:tcW w:w="1586" w:type="dxa"/>
                  <w:tcBorders>
                    <w:tl2br w:val="nil"/>
                    <w:tr2bl w:val="nil"/>
                  </w:tcBorders>
                  <w:vAlign w:val="center"/>
                </w:tcPr>
                <w:p w14:paraId="592FF86D">
                  <w:pPr>
                    <w:adjustRightInd w:val="0"/>
                    <w:snapToGrid w:val="0"/>
                    <w:jc w:val="center"/>
                    <w:rPr>
                      <w:rFonts w:ascii="Times New Roman" w:hAnsi="Times New Roman"/>
                      <w:color w:val="auto"/>
                      <w:szCs w:val="21"/>
                    </w:rPr>
                  </w:pPr>
                  <w:r>
                    <w:rPr>
                      <w:rFonts w:ascii="Times New Roman" w:hAnsi="Times New Roman"/>
                      <w:color w:val="auto"/>
                      <w:szCs w:val="21"/>
                    </w:rPr>
                    <w:t>特殊管道（架设在地面上输送易燃、易爆品的管道）</w:t>
                  </w:r>
                </w:p>
              </w:tc>
              <w:tc>
                <w:tcPr>
                  <w:tcW w:w="685" w:type="dxa"/>
                  <w:tcBorders>
                    <w:tl2br w:val="nil"/>
                    <w:tr2bl w:val="nil"/>
                  </w:tcBorders>
                  <w:vAlign w:val="center"/>
                </w:tcPr>
                <w:p w14:paraId="205A59DF">
                  <w:pPr>
                    <w:adjustRightInd w:val="0"/>
                    <w:snapToGrid w:val="0"/>
                    <w:jc w:val="center"/>
                    <w:rPr>
                      <w:rFonts w:ascii="Times New Roman" w:hAnsi="Times New Roman"/>
                      <w:color w:val="auto"/>
                      <w:szCs w:val="21"/>
                    </w:rPr>
                  </w:pPr>
                  <w:r>
                    <w:rPr>
                      <w:rFonts w:ascii="Times New Roman" w:hAnsi="Times New Roman"/>
                      <w:color w:val="auto"/>
                      <w:szCs w:val="21"/>
                    </w:rPr>
                    <w:t>4.5</w:t>
                  </w:r>
                </w:p>
              </w:tc>
              <w:tc>
                <w:tcPr>
                  <w:tcW w:w="1225" w:type="dxa"/>
                  <w:tcBorders>
                    <w:tl2br w:val="nil"/>
                    <w:tr2bl w:val="nil"/>
                  </w:tcBorders>
                  <w:vAlign w:val="center"/>
                </w:tcPr>
                <w:p w14:paraId="4536858C">
                  <w:pPr>
                    <w:adjustRightInd w:val="0"/>
                    <w:snapToGrid w:val="0"/>
                    <w:jc w:val="center"/>
                    <w:rPr>
                      <w:rFonts w:ascii="Times New Roman" w:hAnsi="Times New Roman"/>
                      <w:color w:val="auto"/>
                      <w:szCs w:val="21"/>
                    </w:rPr>
                  </w:pPr>
                  <w:r>
                    <w:rPr>
                      <w:rFonts w:ascii="Times New Roman" w:hAnsi="Times New Roman"/>
                      <w:color w:val="auto"/>
                      <w:szCs w:val="21"/>
                    </w:rPr>
                    <w:t>6</w:t>
                  </w:r>
                </w:p>
              </w:tc>
              <w:tc>
                <w:tcPr>
                  <w:tcW w:w="4543" w:type="dxa"/>
                  <w:tcBorders>
                    <w:tl2br w:val="nil"/>
                    <w:tr2bl w:val="nil"/>
                  </w:tcBorders>
                  <w:vAlign w:val="center"/>
                </w:tcPr>
                <w:p w14:paraId="57AE14EA">
                  <w:pPr>
                    <w:adjustRightInd w:val="0"/>
                    <w:snapToGrid w:val="0"/>
                    <w:jc w:val="center"/>
                    <w:rPr>
                      <w:rFonts w:ascii="Times New Roman" w:hAnsi="Times New Roman"/>
                      <w:color w:val="auto"/>
                      <w:szCs w:val="21"/>
                    </w:rPr>
                  </w:pPr>
                  <w:r>
                    <w:rPr>
                      <w:rFonts w:ascii="Times New Roman" w:hAnsi="Times New Roman"/>
                      <w:color w:val="auto"/>
                      <w:szCs w:val="21"/>
                    </w:rPr>
                    <w:t>交叉点不应选在管道的检查井（孔）处；与管道平行、交叉时，管道应接地。</w:t>
                  </w:r>
                </w:p>
              </w:tc>
            </w:tr>
          </w:tbl>
          <w:p w14:paraId="6155A5E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线路在跨越高速、国道及河流时净空高度应满足7</w:t>
            </w:r>
            <w:r>
              <w:rPr>
                <w:rFonts w:hint="eastAsia" w:ascii="Times New Roman" w:hAnsi="Times New Roman"/>
                <w:color w:val="auto"/>
                <w:sz w:val="24"/>
                <w:szCs w:val="24"/>
              </w:rPr>
              <w:t>.5</w:t>
            </w:r>
            <w:r>
              <w:rPr>
                <w:rFonts w:ascii="Times New Roman" w:hAnsi="Times New Roman"/>
                <w:color w:val="auto"/>
                <w:sz w:val="24"/>
                <w:szCs w:val="24"/>
              </w:rPr>
              <w:t>m要求。架线的垂直距离和水平距离均满足《110～750kV架空输电线路设计技术规范》（GB50545-2010）的相关要求。</w:t>
            </w:r>
          </w:p>
          <w:p w14:paraId="2DCAA2AE">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4、项目拆迁及安置</w:t>
            </w:r>
          </w:p>
          <w:p w14:paraId="51CFA82E">
            <w:pPr>
              <w:adjustRightInd w:val="0"/>
              <w:snapToGrid w:val="0"/>
              <w:spacing w:line="440" w:lineRule="exact"/>
              <w:ind w:firstLine="480" w:firstLineChars="200"/>
              <w:rPr>
                <w:rFonts w:ascii="Times New Roman" w:hAnsi="Times New Roman"/>
                <w:color w:val="auto"/>
              </w:rPr>
            </w:pPr>
            <w:r>
              <w:rPr>
                <w:rFonts w:ascii="Times New Roman" w:hAnsi="Times New Roman"/>
                <w:color w:val="auto"/>
                <w:sz w:val="24"/>
                <w:szCs w:val="24"/>
              </w:rPr>
              <w:t>本工程位于</w:t>
            </w:r>
            <w:r>
              <w:rPr>
                <w:rFonts w:hint="eastAsia" w:ascii="Times New Roman" w:hAnsi="Times New Roman"/>
                <w:color w:val="auto"/>
                <w:sz w:val="24"/>
                <w:szCs w:val="24"/>
              </w:rPr>
              <w:t>会泽县乐业镇境</w:t>
            </w:r>
            <w:r>
              <w:rPr>
                <w:rFonts w:ascii="Times New Roman" w:hAnsi="Times New Roman"/>
                <w:color w:val="auto"/>
                <w:sz w:val="24"/>
                <w:szCs w:val="24"/>
              </w:rPr>
              <w:t>内，输电线路的建设不涉及构筑物拆迁，无民房拆迁。</w:t>
            </w:r>
          </w:p>
        </w:tc>
      </w:tr>
      <w:tr w14:paraId="3B6E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dxa"/>
            <w:shd w:val="clear" w:color="auto" w:fill="auto"/>
          </w:tcPr>
          <w:p w14:paraId="424D0421">
            <w:pPr>
              <w:spacing w:line="360" w:lineRule="auto"/>
              <w:jc w:val="center"/>
              <w:rPr>
                <w:rFonts w:ascii="Times New Roman" w:hAnsi="Times New Roman"/>
                <w:b/>
                <w:color w:val="auto"/>
                <w:sz w:val="24"/>
                <w:szCs w:val="24"/>
              </w:rPr>
            </w:pPr>
          </w:p>
          <w:p w14:paraId="1FA43351">
            <w:pPr>
              <w:spacing w:line="360" w:lineRule="auto"/>
              <w:jc w:val="center"/>
              <w:rPr>
                <w:rFonts w:ascii="Times New Roman" w:hAnsi="Times New Roman"/>
                <w:b/>
                <w:color w:val="auto"/>
                <w:sz w:val="24"/>
                <w:szCs w:val="24"/>
              </w:rPr>
            </w:pPr>
          </w:p>
          <w:p w14:paraId="79516F48">
            <w:pPr>
              <w:spacing w:line="360" w:lineRule="auto"/>
              <w:jc w:val="center"/>
              <w:rPr>
                <w:rFonts w:ascii="Times New Roman" w:hAnsi="Times New Roman"/>
                <w:b/>
                <w:color w:val="auto"/>
                <w:sz w:val="24"/>
                <w:szCs w:val="24"/>
              </w:rPr>
            </w:pPr>
          </w:p>
          <w:p w14:paraId="44271A96">
            <w:pPr>
              <w:spacing w:line="360" w:lineRule="auto"/>
              <w:jc w:val="center"/>
              <w:rPr>
                <w:rFonts w:ascii="Times New Roman" w:hAnsi="Times New Roman"/>
                <w:b/>
                <w:color w:val="auto"/>
                <w:sz w:val="24"/>
                <w:szCs w:val="24"/>
              </w:rPr>
            </w:pPr>
          </w:p>
          <w:p w14:paraId="2B33C908">
            <w:pPr>
              <w:spacing w:line="360" w:lineRule="auto"/>
              <w:jc w:val="center"/>
              <w:rPr>
                <w:rFonts w:ascii="Times New Roman" w:hAnsi="Times New Roman"/>
                <w:b/>
                <w:color w:val="auto"/>
                <w:sz w:val="24"/>
                <w:szCs w:val="24"/>
              </w:rPr>
            </w:pPr>
          </w:p>
          <w:p w14:paraId="7CB3F7E4">
            <w:pPr>
              <w:spacing w:line="360" w:lineRule="auto"/>
              <w:jc w:val="center"/>
              <w:rPr>
                <w:rFonts w:ascii="Times New Roman" w:hAnsi="Times New Roman"/>
                <w:b/>
                <w:color w:val="auto"/>
                <w:sz w:val="24"/>
                <w:szCs w:val="24"/>
              </w:rPr>
            </w:pPr>
          </w:p>
          <w:p w14:paraId="1F39EAAE">
            <w:pPr>
              <w:pStyle w:val="15"/>
              <w:rPr>
                <w:rFonts w:ascii="Times New Roman" w:hAnsi="Times New Roman"/>
                <w:color w:val="auto"/>
              </w:rPr>
            </w:pPr>
          </w:p>
          <w:p w14:paraId="0BECCAA3">
            <w:pPr>
              <w:spacing w:line="360" w:lineRule="auto"/>
              <w:jc w:val="center"/>
              <w:rPr>
                <w:rFonts w:ascii="Times New Roman" w:hAnsi="Times New Roman"/>
                <w:b/>
                <w:color w:val="auto"/>
                <w:sz w:val="24"/>
                <w:szCs w:val="24"/>
              </w:rPr>
            </w:pPr>
          </w:p>
          <w:p w14:paraId="16269640">
            <w:pPr>
              <w:spacing w:line="360" w:lineRule="auto"/>
              <w:rPr>
                <w:rFonts w:ascii="Times New Roman" w:hAnsi="Times New Roman"/>
                <w:b/>
                <w:color w:val="auto"/>
                <w:sz w:val="24"/>
                <w:szCs w:val="24"/>
              </w:rPr>
            </w:pPr>
            <w:r>
              <w:rPr>
                <w:rFonts w:ascii="Times New Roman" w:hAnsi="Times New Roman"/>
                <w:b/>
                <w:color w:val="auto"/>
                <w:sz w:val="24"/>
                <w:szCs w:val="24"/>
              </w:rPr>
              <w:t>施工方案</w:t>
            </w:r>
          </w:p>
          <w:p w14:paraId="615ED038">
            <w:pPr>
              <w:spacing w:line="360" w:lineRule="auto"/>
              <w:jc w:val="center"/>
              <w:rPr>
                <w:rFonts w:ascii="Times New Roman" w:hAnsi="Times New Roman"/>
                <w:b/>
                <w:color w:val="auto"/>
                <w:sz w:val="24"/>
                <w:szCs w:val="24"/>
              </w:rPr>
            </w:pPr>
          </w:p>
          <w:p w14:paraId="0D66CC50">
            <w:pPr>
              <w:spacing w:line="360" w:lineRule="auto"/>
              <w:jc w:val="center"/>
              <w:rPr>
                <w:rFonts w:ascii="Times New Roman" w:hAnsi="Times New Roman"/>
                <w:b/>
                <w:color w:val="auto"/>
                <w:sz w:val="24"/>
                <w:szCs w:val="24"/>
              </w:rPr>
            </w:pPr>
          </w:p>
          <w:p w14:paraId="3BB8D5FB">
            <w:pPr>
              <w:spacing w:line="360" w:lineRule="auto"/>
              <w:jc w:val="center"/>
              <w:rPr>
                <w:rFonts w:ascii="Times New Roman" w:hAnsi="Times New Roman"/>
                <w:b/>
                <w:color w:val="auto"/>
                <w:sz w:val="24"/>
                <w:szCs w:val="24"/>
              </w:rPr>
            </w:pPr>
          </w:p>
          <w:p w14:paraId="3CF5CB83">
            <w:pPr>
              <w:spacing w:line="360" w:lineRule="auto"/>
              <w:jc w:val="center"/>
              <w:rPr>
                <w:rFonts w:ascii="Times New Roman" w:hAnsi="Times New Roman"/>
                <w:b/>
                <w:color w:val="auto"/>
                <w:sz w:val="24"/>
                <w:szCs w:val="24"/>
              </w:rPr>
            </w:pPr>
          </w:p>
          <w:p w14:paraId="3C8D2573">
            <w:pPr>
              <w:spacing w:line="360" w:lineRule="auto"/>
              <w:jc w:val="center"/>
              <w:rPr>
                <w:rFonts w:ascii="Times New Roman" w:hAnsi="Times New Roman"/>
                <w:b/>
                <w:color w:val="auto"/>
                <w:sz w:val="24"/>
                <w:szCs w:val="24"/>
              </w:rPr>
            </w:pPr>
          </w:p>
          <w:p w14:paraId="0DE283D9">
            <w:pPr>
              <w:spacing w:line="360" w:lineRule="auto"/>
              <w:jc w:val="center"/>
              <w:rPr>
                <w:rFonts w:ascii="Times New Roman" w:hAnsi="Times New Roman"/>
                <w:b/>
                <w:color w:val="auto"/>
                <w:sz w:val="24"/>
                <w:szCs w:val="24"/>
              </w:rPr>
            </w:pPr>
          </w:p>
          <w:p w14:paraId="45E8D1DB">
            <w:pPr>
              <w:spacing w:line="360" w:lineRule="auto"/>
              <w:jc w:val="center"/>
              <w:rPr>
                <w:rFonts w:ascii="Times New Roman" w:hAnsi="Times New Roman"/>
                <w:b/>
                <w:color w:val="auto"/>
                <w:sz w:val="24"/>
                <w:szCs w:val="24"/>
              </w:rPr>
            </w:pPr>
          </w:p>
          <w:p w14:paraId="0FC796FA">
            <w:pPr>
              <w:spacing w:line="360" w:lineRule="auto"/>
              <w:jc w:val="center"/>
              <w:rPr>
                <w:rFonts w:ascii="Times New Roman" w:hAnsi="Times New Roman"/>
                <w:b/>
                <w:color w:val="auto"/>
                <w:sz w:val="24"/>
                <w:szCs w:val="24"/>
              </w:rPr>
            </w:pPr>
          </w:p>
          <w:p w14:paraId="76F7B52E">
            <w:pPr>
              <w:spacing w:line="360" w:lineRule="auto"/>
              <w:jc w:val="center"/>
              <w:rPr>
                <w:rFonts w:ascii="Times New Roman" w:hAnsi="Times New Roman"/>
                <w:b/>
                <w:color w:val="auto"/>
                <w:sz w:val="24"/>
                <w:szCs w:val="24"/>
              </w:rPr>
            </w:pPr>
          </w:p>
          <w:p w14:paraId="17EEA70A">
            <w:pPr>
              <w:spacing w:line="360" w:lineRule="auto"/>
              <w:jc w:val="center"/>
              <w:rPr>
                <w:rFonts w:ascii="Times New Roman" w:hAnsi="Times New Roman"/>
                <w:b/>
                <w:color w:val="auto"/>
                <w:sz w:val="24"/>
                <w:szCs w:val="24"/>
              </w:rPr>
            </w:pPr>
          </w:p>
          <w:p w14:paraId="398AF1E4">
            <w:pPr>
              <w:spacing w:line="360" w:lineRule="auto"/>
              <w:jc w:val="center"/>
              <w:rPr>
                <w:rFonts w:ascii="Times New Roman" w:hAnsi="Times New Roman"/>
                <w:b/>
                <w:color w:val="auto"/>
                <w:sz w:val="24"/>
                <w:szCs w:val="24"/>
              </w:rPr>
            </w:pPr>
          </w:p>
          <w:p w14:paraId="226E87B4">
            <w:pPr>
              <w:spacing w:line="360" w:lineRule="auto"/>
              <w:jc w:val="center"/>
              <w:rPr>
                <w:rFonts w:ascii="Times New Roman" w:hAnsi="Times New Roman"/>
                <w:b/>
                <w:color w:val="auto"/>
                <w:sz w:val="24"/>
                <w:szCs w:val="24"/>
              </w:rPr>
            </w:pPr>
          </w:p>
          <w:p w14:paraId="0558CFFF">
            <w:pPr>
              <w:pStyle w:val="3"/>
              <w:jc w:val="both"/>
              <w:rPr>
                <w:rFonts w:ascii="Times New Roman" w:hAnsi="Times New Roman"/>
                <w:color w:val="auto"/>
                <w:sz w:val="24"/>
                <w:szCs w:val="24"/>
              </w:rPr>
            </w:pPr>
          </w:p>
          <w:p w14:paraId="3B3027AE">
            <w:pPr>
              <w:rPr>
                <w:rFonts w:ascii="Times New Roman" w:hAnsi="Times New Roman"/>
                <w:b/>
                <w:color w:val="auto"/>
                <w:sz w:val="24"/>
                <w:szCs w:val="24"/>
              </w:rPr>
            </w:pPr>
          </w:p>
          <w:p w14:paraId="416F00F9">
            <w:pPr>
              <w:pStyle w:val="3"/>
              <w:rPr>
                <w:rFonts w:ascii="Times New Roman" w:hAnsi="Times New Roman"/>
                <w:color w:val="auto"/>
              </w:rPr>
            </w:pPr>
          </w:p>
          <w:p w14:paraId="5A85243A">
            <w:pPr>
              <w:spacing w:line="360" w:lineRule="auto"/>
              <w:jc w:val="center"/>
              <w:rPr>
                <w:rFonts w:ascii="Times New Roman" w:hAnsi="Times New Roman"/>
                <w:b/>
                <w:color w:val="auto"/>
                <w:sz w:val="24"/>
                <w:szCs w:val="24"/>
              </w:rPr>
            </w:pPr>
          </w:p>
          <w:p w14:paraId="40CBA1C2">
            <w:pPr>
              <w:spacing w:line="360" w:lineRule="auto"/>
              <w:jc w:val="center"/>
              <w:rPr>
                <w:rFonts w:ascii="Times New Roman" w:hAnsi="Times New Roman"/>
                <w:b/>
                <w:color w:val="auto"/>
                <w:sz w:val="24"/>
                <w:szCs w:val="24"/>
              </w:rPr>
            </w:pPr>
          </w:p>
          <w:p w14:paraId="5F095D67">
            <w:pPr>
              <w:spacing w:line="360" w:lineRule="auto"/>
              <w:rPr>
                <w:rFonts w:ascii="Times New Roman" w:hAnsi="Times New Roman"/>
                <w:b/>
                <w:color w:val="auto"/>
                <w:sz w:val="24"/>
                <w:szCs w:val="24"/>
              </w:rPr>
            </w:pPr>
          </w:p>
        </w:tc>
        <w:tc>
          <w:tcPr>
            <w:tcW w:w="8609" w:type="dxa"/>
            <w:shd w:val="clear" w:color="auto" w:fill="auto"/>
          </w:tcPr>
          <w:p w14:paraId="05510EAA">
            <w:pPr>
              <w:keepNext/>
              <w:keepLines/>
              <w:adjustRightInd w:val="0"/>
              <w:snapToGrid w:val="0"/>
              <w:spacing w:line="440" w:lineRule="exact"/>
              <w:outlineLvl w:val="3"/>
              <w:rPr>
                <w:rFonts w:ascii="Times New Roman" w:hAnsi="Times New Roman"/>
                <w:b/>
                <w:bCs/>
                <w:color w:val="auto"/>
                <w:sz w:val="24"/>
                <w:szCs w:val="24"/>
              </w:rPr>
            </w:pPr>
            <w:r>
              <w:rPr>
                <w:rFonts w:ascii="Times New Roman" w:hAnsi="Times New Roman"/>
                <w:b/>
                <w:color w:val="auto"/>
                <w:sz w:val="24"/>
                <w:szCs w:val="24"/>
              </w:rPr>
              <w:t>1、</w:t>
            </w:r>
            <w:r>
              <w:rPr>
                <w:rFonts w:ascii="Times New Roman" w:hAnsi="Times New Roman"/>
                <w:b/>
                <w:bCs/>
                <w:color w:val="auto"/>
                <w:sz w:val="24"/>
                <w:szCs w:val="24"/>
              </w:rPr>
              <w:t>施工组织</w:t>
            </w:r>
          </w:p>
          <w:p w14:paraId="11AC45D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（1）施工交通</w:t>
            </w:r>
          </w:p>
          <w:p w14:paraId="1900C1F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ascii="Times New Roman" w:hAnsi="Times New Roman"/>
                <w:color w:val="auto"/>
                <w:sz w:val="24"/>
                <w:szCs w:val="24"/>
              </w:rPr>
              <w:t>，已建有乡村道路，交通较为便利，满足对外运输需要。线路施工过程利用</w:t>
            </w:r>
            <w:r>
              <w:rPr>
                <w:rFonts w:hint="eastAsia" w:ascii="Times New Roman" w:hAnsi="Times New Roman"/>
                <w:color w:val="auto"/>
                <w:sz w:val="24"/>
                <w:szCs w:val="24"/>
              </w:rPr>
              <w:t>已有</w:t>
            </w:r>
            <w:r>
              <w:rPr>
                <w:rFonts w:ascii="Times New Roman" w:hAnsi="Times New Roman"/>
                <w:color w:val="auto"/>
                <w:sz w:val="24"/>
                <w:szCs w:val="24"/>
              </w:rPr>
              <w:t>的乡村路、机耕道、便道进行施工材料和设备的运送，在车辆无法到达地区，通过人工、马驮或简易运输将设备运至施工现场。</w:t>
            </w:r>
          </w:p>
          <w:p w14:paraId="4D1D1D2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塔基施工区可利用现有村道、机耕道等将铁塔组件及其基础施工材料运抵铁塔附近或铁塔附近的山脚处，再通过人抬的方式运至铁塔下部施工场地内，需人抬道路约</w:t>
            </w:r>
            <w:r>
              <w:rPr>
                <w:rFonts w:hint="eastAsia" w:ascii="Times New Roman" w:hAnsi="Times New Roman"/>
                <w:color w:val="auto"/>
                <w:sz w:val="24"/>
                <w:szCs w:val="24"/>
              </w:rPr>
              <w:t>1450</w:t>
            </w:r>
            <w:r>
              <w:rPr>
                <w:rFonts w:ascii="Times New Roman" w:hAnsi="Times New Roman"/>
                <w:color w:val="auto"/>
                <w:sz w:val="24"/>
                <w:szCs w:val="24"/>
              </w:rPr>
              <w:t>m，宽</w:t>
            </w:r>
            <w:r>
              <w:rPr>
                <w:rFonts w:hint="eastAsia" w:ascii="Times New Roman" w:hAnsi="Times New Roman"/>
                <w:color w:val="auto"/>
                <w:sz w:val="24"/>
                <w:szCs w:val="24"/>
              </w:rPr>
              <w:t>1.5</w:t>
            </w:r>
            <w:r>
              <w:rPr>
                <w:rFonts w:ascii="Times New Roman" w:hAnsi="Times New Roman"/>
                <w:color w:val="auto"/>
                <w:sz w:val="24"/>
                <w:szCs w:val="24"/>
              </w:rPr>
              <w:t>m，总占地面积为0.</w:t>
            </w:r>
            <w:r>
              <w:rPr>
                <w:rFonts w:hint="eastAsia" w:ascii="Times New Roman" w:hAnsi="Times New Roman"/>
                <w:color w:val="auto"/>
                <w:sz w:val="24"/>
                <w:szCs w:val="24"/>
              </w:rPr>
              <w:t>22</w:t>
            </w:r>
            <w:r>
              <w:rPr>
                <w:rFonts w:ascii="Times New Roman" w:hAnsi="Times New Roman"/>
                <w:color w:val="auto"/>
                <w:sz w:val="24"/>
                <w:szCs w:val="24"/>
              </w:rPr>
              <w:t>hm</w:t>
            </w:r>
            <w:r>
              <w:rPr>
                <w:rFonts w:ascii="Times New Roman" w:hAnsi="Times New Roman"/>
                <w:color w:val="auto"/>
                <w:sz w:val="24"/>
                <w:szCs w:val="24"/>
                <w:vertAlign w:val="superscript"/>
              </w:rPr>
              <w:t>2</w:t>
            </w:r>
            <w:r>
              <w:rPr>
                <w:rFonts w:ascii="Times New Roman" w:hAnsi="Times New Roman"/>
                <w:color w:val="auto"/>
                <w:sz w:val="24"/>
                <w:szCs w:val="24"/>
              </w:rPr>
              <w:t>。人抬道路不进行表土剥离，施工结束后撒草恢复。</w:t>
            </w:r>
          </w:p>
          <w:p w14:paraId="70F462D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（2）施工队伍</w:t>
            </w:r>
          </w:p>
          <w:p w14:paraId="6A81C89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本期工程施工量较小，施工队伍30人，其中5名管理人员，其余为施工人员，施工人员均为当地</w:t>
            </w:r>
            <w:r>
              <w:rPr>
                <w:rFonts w:hint="eastAsia" w:ascii="Times New Roman" w:hAnsi="Times New Roman"/>
                <w:color w:val="auto"/>
                <w:sz w:val="24"/>
                <w:szCs w:val="24"/>
              </w:rPr>
              <w:t>村民</w:t>
            </w:r>
            <w:r>
              <w:rPr>
                <w:rFonts w:ascii="Times New Roman" w:hAnsi="Times New Roman"/>
                <w:color w:val="auto"/>
                <w:sz w:val="24"/>
                <w:szCs w:val="24"/>
              </w:rPr>
              <w:t>。</w:t>
            </w:r>
          </w:p>
          <w:p w14:paraId="0FF9696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（3）施工用水及施工电源</w:t>
            </w:r>
          </w:p>
          <w:p w14:paraId="6E4E5E4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本期施工用水和用电利用附近现有资源及设施。</w:t>
            </w:r>
          </w:p>
          <w:p w14:paraId="4F82AD6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（4）建筑材料供应</w:t>
            </w:r>
          </w:p>
          <w:p w14:paraId="6343B89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根据主体工程设计，本项目无需外借土方，施工建设所需要的建筑材料在当地外购。</w:t>
            </w:r>
          </w:p>
          <w:p w14:paraId="380C4C39">
            <w:pPr>
              <w:keepNext/>
              <w:keepLines/>
              <w:adjustRightInd w:val="0"/>
              <w:snapToGrid w:val="0"/>
              <w:spacing w:line="440" w:lineRule="exact"/>
              <w:outlineLvl w:val="3"/>
              <w:rPr>
                <w:rFonts w:ascii="Times New Roman" w:hAnsi="Times New Roman"/>
                <w:b/>
                <w:color w:val="auto"/>
                <w:sz w:val="24"/>
                <w:szCs w:val="24"/>
              </w:rPr>
            </w:pPr>
            <w:r>
              <w:rPr>
                <w:rFonts w:ascii="Times New Roman" w:hAnsi="Times New Roman"/>
                <w:b/>
                <w:color w:val="auto"/>
                <w:sz w:val="24"/>
                <w:szCs w:val="24"/>
              </w:rPr>
              <w:t>2、施工三场</w:t>
            </w:r>
          </w:p>
          <w:p w14:paraId="4AD4ED5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（1）施工营地及堆料场</w:t>
            </w:r>
          </w:p>
          <w:p w14:paraId="65A2EDA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输电线路施工点分散，每个施工点需要堆放的材料不多，因此，施工材料运至施工点附近后，就近安放于较宽阔的路边，由人工运输至施工点逐一进行安装，施工材料堆放时间不长，尽量做到当日安装，若遇需隔天安装的，对施工材料进行篷布覆盖，输电线路不单独另设堆料场。输电线路施工人员生活依托线路沿线村庄居民生活设施，不新建施工营地。</w:t>
            </w:r>
          </w:p>
          <w:p w14:paraId="368372C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（2）堆料场</w:t>
            </w:r>
          </w:p>
          <w:p w14:paraId="6BD76A6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输电线路施工点分散，每个施工点需要堆放的材料不多，因此，施工材料运至施工点附近后，就近安放于较宽阔的路边，由人工运输至施工点逐一进行安装，施工材料堆放时间不长，尽量做到当日安装，若遇需隔天安装的，对施工材料进行篷布覆盖，输电线路不单独另设堆料场。</w:t>
            </w:r>
          </w:p>
          <w:p w14:paraId="421AB68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沿线交通情况，工程沿线拟租用已有库房或场地作为堆料场，具体地点由施工单位选定，便于塔材、钢材、线材、水泥、金具和绝缘子的集散。如线路沿线无可供租用的场地，可将材料堆放于塔基施工场地和牵张场的材料堆放区。</w:t>
            </w:r>
          </w:p>
          <w:p w14:paraId="15D95EA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（3）弃渣（土）场</w:t>
            </w:r>
          </w:p>
          <w:p w14:paraId="4F108E3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输电线路建设开挖区主要是杆塔基础，开挖区呈点状分布，开挖面积较小，产生的开挖土石方量较小，因此，输电线路施工期不设弃渣场，开挖土石方临时堆存在塔基开挖处，等塔基浇筑结束后及时填筑在塔基周围低洼处，或用作塔基护坡；塔基的施工为逐个开挖回填。</w:t>
            </w:r>
          </w:p>
          <w:p w14:paraId="492DEA7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（4）牵张场</w:t>
            </w:r>
          </w:p>
          <w:p w14:paraId="0188C06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导线采用张力放线。张力放线可以防止导线磨损，针对采用张力放线的线路要设置张力场和牵引场（即牵张场）。牵张场设置原则为：每5～7km设置一处，或者控制在塔位不超过15基的线路范围内，要求地形平坦开阔，适合大型机械作业。根据线路路径特点及牵张场设置要求，牵张场选择地形平缓的场地。张力放线后尽快进行架设，一般以张力放线施工阶段做紧线段，以直线塔为紧线塔，紧线完毕后尽快进行附件安装。</w:t>
            </w:r>
          </w:p>
          <w:p w14:paraId="764B16B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主体资料、现场调查及咨询业主，牵张场一般选择地形平缓的场地进行施工，尽量避免占用林地及农田，施工过程中不破坏原始地貌，牵张场均采取直接铺设钢板或苫布铺垫的方式，使用完毕后恢复原始功能。本项目输电线路施工期间设置牵张场</w:t>
            </w:r>
            <w:r>
              <w:rPr>
                <w:rFonts w:hint="eastAsia" w:ascii="Times New Roman" w:hAnsi="Times New Roman"/>
                <w:color w:val="auto"/>
                <w:sz w:val="24"/>
                <w:szCs w:val="24"/>
              </w:rPr>
              <w:t>4</w:t>
            </w:r>
            <w:r>
              <w:rPr>
                <w:rFonts w:ascii="Times New Roman" w:hAnsi="Times New Roman"/>
                <w:color w:val="auto"/>
                <w:sz w:val="24"/>
                <w:szCs w:val="24"/>
              </w:rPr>
              <w:t>处，每处占地面积约2</w:t>
            </w:r>
            <w:r>
              <w:rPr>
                <w:rFonts w:hint="eastAsia" w:ascii="Times New Roman" w:hAnsi="Times New Roman"/>
                <w:color w:val="auto"/>
                <w:sz w:val="24"/>
                <w:szCs w:val="24"/>
              </w:rPr>
              <w:t>25</w:t>
            </w:r>
            <w:r>
              <w:rPr>
                <w:rFonts w:ascii="Times New Roman" w:hAnsi="Times New Roman"/>
                <w:color w:val="auto"/>
                <w:sz w:val="24"/>
                <w:szCs w:val="24"/>
              </w:rPr>
              <w:t>m</w:t>
            </w:r>
            <w:r>
              <w:rPr>
                <w:rFonts w:ascii="Times New Roman" w:hAnsi="Times New Roman"/>
                <w:color w:val="auto"/>
                <w:sz w:val="24"/>
                <w:szCs w:val="24"/>
                <w:vertAlign w:val="superscript"/>
              </w:rPr>
              <w:t>2</w:t>
            </w:r>
            <w:r>
              <w:rPr>
                <w:rFonts w:ascii="Times New Roman" w:hAnsi="Times New Roman"/>
                <w:color w:val="auto"/>
                <w:sz w:val="24"/>
                <w:szCs w:val="24"/>
              </w:rPr>
              <w:t>，牵张场占地面积约</w:t>
            </w:r>
            <w:r>
              <w:rPr>
                <w:rFonts w:hint="eastAsia" w:ascii="Times New Roman" w:hAnsi="Times New Roman"/>
                <w:color w:val="auto"/>
                <w:sz w:val="24"/>
                <w:szCs w:val="24"/>
              </w:rPr>
              <w:t>0.09h</w:t>
            </w:r>
            <w:r>
              <w:rPr>
                <w:rFonts w:ascii="Times New Roman" w:hAnsi="Times New Roman"/>
                <w:color w:val="auto"/>
                <w:sz w:val="24"/>
                <w:szCs w:val="24"/>
              </w:rPr>
              <w:t>m</w:t>
            </w:r>
            <w:r>
              <w:rPr>
                <w:rFonts w:ascii="Times New Roman" w:hAnsi="Times New Roman"/>
                <w:color w:val="auto"/>
                <w:sz w:val="24"/>
                <w:szCs w:val="24"/>
                <w:vertAlign w:val="superscript"/>
              </w:rPr>
              <w:t>2</w:t>
            </w:r>
            <w:r>
              <w:rPr>
                <w:rFonts w:ascii="Times New Roman" w:hAnsi="Times New Roman"/>
                <w:color w:val="auto"/>
                <w:sz w:val="24"/>
                <w:szCs w:val="24"/>
              </w:rPr>
              <w:t>。根据调查及咨询情况，牵张场用于摆放牵引机械，不进行地表扰动。</w:t>
            </w:r>
          </w:p>
          <w:p w14:paraId="39B2A998">
            <w:pPr>
              <w:keepNext/>
              <w:keepLines/>
              <w:adjustRightInd w:val="0"/>
              <w:snapToGrid w:val="0"/>
              <w:spacing w:line="440" w:lineRule="exact"/>
              <w:outlineLvl w:val="3"/>
              <w:rPr>
                <w:rFonts w:ascii="Times New Roman" w:hAnsi="Times New Roman"/>
                <w:b/>
                <w:bCs/>
                <w:color w:val="auto"/>
                <w:sz w:val="24"/>
                <w:szCs w:val="24"/>
              </w:rPr>
            </w:pPr>
            <w:r>
              <w:rPr>
                <w:rFonts w:ascii="Times New Roman" w:hAnsi="Times New Roman"/>
                <w:b/>
                <w:bCs/>
                <w:color w:val="auto"/>
                <w:sz w:val="24"/>
                <w:szCs w:val="24"/>
              </w:rPr>
              <w:t>3、劳动定员及建设工期</w:t>
            </w:r>
          </w:p>
          <w:p w14:paraId="16210610">
            <w:pPr>
              <w:adjustRightInd w:val="0"/>
              <w:snapToGrid w:val="0"/>
              <w:spacing w:line="440" w:lineRule="exact"/>
              <w:ind w:left="150" w:firstLine="480"/>
              <w:rPr>
                <w:rFonts w:ascii="Times New Roman" w:hAnsi="Times New Roman"/>
                <w:color w:val="auto"/>
                <w:sz w:val="24"/>
                <w:szCs w:val="24"/>
              </w:rPr>
            </w:pPr>
            <w:r>
              <w:rPr>
                <w:rFonts w:ascii="Times New Roman" w:hAnsi="Times New Roman"/>
                <w:color w:val="auto"/>
                <w:sz w:val="24"/>
                <w:szCs w:val="24"/>
              </w:rPr>
              <w:t>（1）劳动定员</w:t>
            </w:r>
          </w:p>
          <w:p w14:paraId="0BF23F2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施工期：施工人员30人，其中5名管理人员，其余为施工人员，施工人员均为当地村民，人员均不在施工营地食宿。</w:t>
            </w:r>
          </w:p>
          <w:p w14:paraId="676C61A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运营期：不设置人员。</w:t>
            </w:r>
          </w:p>
          <w:p w14:paraId="43EB11E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（2）建设进度计划</w:t>
            </w:r>
          </w:p>
          <w:p w14:paraId="2C1A49F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本项目计划2026年10月开始施工，施工期为</w:t>
            </w:r>
            <w:r>
              <w:rPr>
                <w:rFonts w:hint="eastAsia" w:ascii="Times New Roman" w:hAnsi="Times New Roman"/>
                <w:color w:val="auto"/>
                <w:sz w:val="24"/>
                <w:szCs w:val="24"/>
              </w:rPr>
              <w:t>8</w:t>
            </w:r>
            <w:r>
              <w:rPr>
                <w:rFonts w:ascii="Times New Roman" w:hAnsi="Times New Roman"/>
                <w:color w:val="auto"/>
                <w:sz w:val="24"/>
                <w:szCs w:val="24"/>
              </w:rPr>
              <w:t>个月，目前项目未开工建设，</w:t>
            </w:r>
            <w:r>
              <w:rPr>
                <w:rFonts w:hint="eastAsia" w:ascii="Times New Roman" w:hAnsi="Times New Roman"/>
                <w:color w:val="auto"/>
                <w:sz w:val="24"/>
                <w:szCs w:val="24"/>
              </w:rPr>
              <w:t>正在</w:t>
            </w:r>
            <w:r>
              <w:rPr>
                <w:rFonts w:ascii="Times New Roman" w:hAnsi="Times New Roman"/>
                <w:color w:val="auto"/>
                <w:sz w:val="24"/>
                <w:szCs w:val="24"/>
              </w:rPr>
              <w:t>办理环评审批手续，工程施工进度表2-</w:t>
            </w:r>
            <w:r>
              <w:rPr>
                <w:rFonts w:hint="eastAsia" w:ascii="Times New Roman" w:hAnsi="Times New Roman"/>
                <w:color w:val="auto"/>
                <w:sz w:val="24"/>
                <w:szCs w:val="24"/>
              </w:rPr>
              <w:t>8</w:t>
            </w:r>
            <w:r>
              <w:rPr>
                <w:rFonts w:ascii="Times New Roman" w:hAnsi="Times New Roman"/>
                <w:color w:val="auto"/>
                <w:sz w:val="24"/>
                <w:szCs w:val="24"/>
              </w:rPr>
              <w:t>。</w:t>
            </w:r>
          </w:p>
          <w:p w14:paraId="079394E5">
            <w:pPr>
              <w:tabs>
                <w:tab w:val="left" w:pos="3540"/>
              </w:tabs>
              <w:adjustRightInd w:val="0"/>
              <w:snapToGrid w:val="0"/>
              <w:jc w:val="center"/>
              <w:rPr>
                <w:rFonts w:ascii="Times New Roman" w:hAnsi="Times New Roman"/>
                <w:b/>
                <w:bCs/>
                <w:color w:val="auto"/>
                <w:position w:val="-3"/>
                <w:sz w:val="24"/>
                <w:szCs w:val="24"/>
              </w:rPr>
            </w:pPr>
            <w:bookmarkStart w:id="4" w:name="_Toc18333_WPSOffice_Level2"/>
            <w:bookmarkStart w:id="5" w:name="_Toc20455_WPSOffice_Level2"/>
            <w:bookmarkStart w:id="6" w:name="_Toc23993_WPSOffice_Level2"/>
            <w:bookmarkStart w:id="7" w:name="_Toc16299_WPSOffice_Level2"/>
          </w:p>
          <w:p w14:paraId="43C3CFB6">
            <w:pPr>
              <w:tabs>
                <w:tab w:val="left" w:pos="3540"/>
              </w:tabs>
              <w:adjustRightInd w:val="0"/>
              <w:snapToGrid w:val="0"/>
              <w:jc w:val="center"/>
              <w:rPr>
                <w:rFonts w:ascii="Times New Roman" w:hAnsi="Times New Roman"/>
                <w:b/>
                <w:bCs/>
                <w:color w:val="auto"/>
                <w:position w:val="-3"/>
                <w:sz w:val="24"/>
                <w:szCs w:val="24"/>
              </w:rPr>
            </w:pPr>
            <w:r>
              <w:rPr>
                <w:rFonts w:ascii="Times New Roman" w:hAnsi="Times New Roman"/>
                <w:b/>
                <w:bCs/>
                <w:color w:val="auto"/>
                <w:position w:val="-3"/>
                <w:sz w:val="24"/>
                <w:szCs w:val="24"/>
              </w:rPr>
              <w:t>表2-</w:t>
            </w:r>
            <w:r>
              <w:rPr>
                <w:rFonts w:hint="eastAsia" w:ascii="Times New Roman" w:hAnsi="Times New Roman"/>
                <w:b/>
                <w:bCs/>
                <w:color w:val="auto"/>
                <w:position w:val="-3"/>
                <w:sz w:val="24"/>
                <w:szCs w:val="24"/>
              </w:rPr>
              <w:t>8</w:t>
            </w:r>
            <w:r>
              <w:rPr>
                <w:rFonts w:ascii="Times New Roman" w:hAnsi="Times New Roman"/>
                <w:b/>
                <w:bCs/>
                <w:color w:val="auto"/>
                <w:spacing w:val="-1"/>
                <w:position w:val="-3"/>
                <w:sz w:val="24"/>
                <w:szCs w:val="24"/>
              </w:rPr>
              <w:t xml:space="preserve">  </w:t>
            </w:r>
            <w:r>
              <w:rPr>
                <w:rFonts w:ascii="Times New Roman" w:hAnsi="Times New Roman"/>
                <w:b/>
                <w:bCs/>
                <w:color w:val="auto"/>
                <w:position w:val="-3"/>
                <w:sz w:val="24"/>
                <w:szCs w:val="24"/>
              </w:rPr>
              <w:t>主</w:t>
            </w:r>
            <w:r>
              <w:rPr>
                <w:rFonts w:ascii="Times New Roman" w:hAnsi="Times New Roman"/>
                <w:b/>
                <w:bCs/>
                <w:color w:val="auto"/>
                <w:spacing w:val="2"/>
                <w:position w:val="-3"/>
                <w:sz w:val="24"/>
                <w:szCs w:val="24"/>
              </w:rPr>
              <w:t>体</w:t>
            </w:r>
            <w:r>
              <w:rPr>
                <w:rFonts w:ascii="Times New Roman" w:hAnsi="Times New Roman"/>
                <w:b/>
                <w:bCs/>
                <w:color w:val="auto"/>
                <w:position w:val="-3"/>
                <w:sz w:val="24"/>
                <w:szCs w:val="24"/>
              </w:rPr>
              <w:t>工</w:t>
            </w:r>
            <w:r>
              <w:rPr>
                <w:rFonts w:ascii="Times New Roman" w:hAnsi="Times New Roman"/>
                <w:b/>
                <w:bCs/>
                <w:color w:val="auto"/>
                <w:spacing w:val="2"/>
                <w:position w:val="-3"/>
                <w:sz w:val="24"/>
                <w:szCs w:val="24"/>
              </w:rPr>
              <w:t>程</w:t>
            </w:r>
            <w:r>
              <w:rPr>
                <w:rFonts w:ascii="Times New Roman" w:hAnsi="Times New Roman"/>
                <w:b/>
                <w:bCs/>
                <w:color w:val="auto"/>
                <w:position w:val="-3"/>
                <w:sz w:val="24"/>
                <w:szCs w:val="24"/>
              </w:rPr>
              <w:t>计划</w:t>
            </w:r>
            <w:r>
              <w:rPr>
                <w:rFonts w:ascii="Times New Roman" w:hAnsi="Times New Roman"/>
                <w:b/>
                <w:bCs/>
                <w:color w:val="auto"/>
                <w:spacing w:val="2"/>
                <w:position w:val="-3"/>
                <w:sz w:val="24"/>
                <w:szCs w:val="24"/>
              </w:rPr>
              <w:t>施</w:t>
            </w:r>
            <w:r>
              <w:rPr>
                <w:rFonts w:ascii="Times New Roman" w:hAnsi="Times New Roman"/>
                <w:b/>
                <w:bCs/>
                <w:color w:val="auto"/>
                <w:position w:val="-3"/>
                <w:sz w:val="24"/>
                <w:szCs w:val="24"/>
              </w:rPr>
              <w:t>工</w:t>
            </w:r>
            <w:r>
              <w:rPr>
                <w:rFonts w:ascii="Times New Roman" w:hAnsi="Times New Roman"/>
                <w:b/>
                <w:bCs/>
                <w:color w:val="auto"/>
                <w:spacing w:val="2"/>
                <w:position w:val="-3"/>
                <w:sz w:val="24"/>
                <w:szCs w:val="24"/>
              </w:rPr>
              <w:t>进</w:t>
            </w:r>
            <w:r>
              <w:rPr>
                <w:rFonts w:ascii="Times New Roman" w:hAnsi="Times New Roman"/>
                <w:b/>
                <w:bCs/>
                <w:color w:val="auto"/>
                <w:position w:val="-3"/>
                <w:sz w:val="24"/>
                <w:szCs w:val="24"/>
              </w:rPr>
              <w:t>度安</w:t>
            </w:r>
            <w:r>
              <w:rPr>
                <w:rFonts w:ascii="Times New Roman" w:hAnsi="Times New Roman"/>
                <w:b/>
                <w:bCs/>
                <w:color w:val="auto"/>
                <w:spacing w:val="2"/>
                <w:position w:val="-3"/>
                <w:sz w:val="24"/>
                <w:szCs w:val="24"/>
              </w:rPr>
              <w:t>排</w:t>
            </w:r>
            <w:r>
              <w:rPr>
                <w:rFonts w:ascii="Times New Roman" w:hAnsi="Times New Roman"/>
                <w:b/>
                <w:bCs/>
                <w:color w:val="auto"/>
                <w:position w:val="-3"/>
                <w:sz w:val="24"/>
                <w:szCs w:val="24"/>
              </w:rPr>
              <w:t>表</w:t>
            </w:r>
            <w:bookmarkEnd w:id="4"/>
            <w:bookmarkEnd w:id="5"/>
            <w:bookmarkEnd w:id="6"/>
            <w:bookmarkEnd w:id="7"/>
          </w:p>
          <w:tbl>
            <w:tblPr>
              <w:tblStyle w:val="27"/>
              <w:tblW w:w="8389" w:type="dxa"/>
              <w:tblInd w:w="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3047"/>
              <w:gridCol w:w="4107"/>
            </w:tblGrid>
            <w:tr w14:paraId="1AD70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tcBorders>
                    <w:tl2br w:val="nil"/>
                    <w:tr2bl w:val="nil"/>
                  </w:tcBorders>
                  <w:vAlign w:val="center"/>
                </w:tcPr>
                <w:p w14:paraId="4A044DA3">
                  <w:pPr>
                    <w:pStyle w:val="25"/>
                    <w:adjustRightInd w:val="0"/>
                    <w:snapToGrid w:val="0"/>
                    <w:spacing w:after="0"/>
                    <w:ind w:firstLine="0" w:firstLineChars="0"/>
                    <w:jc w:val="center"/>
                    <w:rPr>
                      <w:b/>
                      <w:bCs/>
                      <w:color w:val="auto"/>
                      <w:szCs w:val="21"/>
                    </w:rPr>
                  </w:pPr>
                  <w:r>
                    <w:rPr>
                      <w:b/>
                      <w:bCs/>
                      <w:color w:val="auto"/>
                      <w:szCs w:val="21"/>
                    </w:rPr>
                    <w:t>建设内容</w:t>
                  </w:r>
                </w:p>
              </w:tc>
              <w:tc>
                <w:tcPr>
                  <w:tcW w:w="3047" w:type="dxa"/>
                  <w:tcBorders>
                    <w:tl2br w:val="nil"/>
                    <w:tr2bl w:val="nil"/>
                  </w:tcBorders>
                  <w:vAlign w:val="center"/>
                </w:tcPr>
                <w:p w14:paraId="22233BDC">
                  <w:pPr>
                    <w:pStyle w:val="25"/>
                    <w:adjustRightInd w:val="0"/>
                    <w:snapToGrid w:val="0"/>
                    <w:spacing w:after="0"/>
                    <w:ind w:firstLine="0" w:firstLineChars="0"/>
                    <w:jc w:val="center"/>
                    <w:rPr>
                      <w:b/>
                      <w:bCs/>
                      <w:color w:val="auto"/>
                      <w:szCs w:val="21"/>
                    </w:rPr>
                  </w:pPr>
                  <w:r>
                    <w:rPr>
                      <w:b/>
                      <w:bCs/>
                      <w:color w:val="auto"/>
                      <w:szCs w:val="21"/>
                    </w:rPr>
                    <w:t>时间</w:t>
                  </w:r>
                </w:p>
              </w:tc>
              <w:tc>
                <w:tcPr>
                  <w:tcW w:w="4107" w:type="dxa"/>
                  <w:tcBorders>
                    <w:tl2br w:val="nil"/>
                    <w:tr2bl w:val="nil"/>
                  </w:tcBorders>
                  <w:vAlign w:val="center"/>
                </w:tcPr>
                <w:p w14:paraId="3CBC3200">
                  <w:pPr>
                    <w:pStyle w:val="25"/>
                    <w:adjustRightInd w:val="0"/>
                    <w:snapToGrid w:val="0"/>
                    <w:spacing w:after="0"/>
                    <w:ind w:firstLine="0" w:firstLineChars="0"/>
                    <w:jc w:val="center"/>
                    <w:rPr>
                      <w:b/>
                      <w:bCs/>
                      <w:color w:val="auto"/>
                      <w:szCs w:val="21"/>
                    </w:rPr>
                  </w:pPr>
                  <w:r>
                    <w:rPr>
                      <w:b/>
                      <w:bCs/>
                      <w:color w:val="auto"/>
                      <w:szCs w:val="21"/>
                    </w:rPr>
                    <w:t>工程内容</w:t>
                  </w:r>
                </w:p>
              </w:tc>
            </w:tr>
            <w:tr w14:paraId="280BA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vMerge w:val="restart"/>
                  <w:tcBorders>
                    <w:tl2br w:val="nil"/>
                    <w:tr2bl w:val="nil"/>
                  </w:tcBorders>
                  <w:vAlign w:val="center"/>
                </w:tcPr>
                <w:p w14:paraId="45C0E085">
                  <w:pPr>
                    <w:pStyle w:val="25"/>
                    <w:adjustRightInd w:val="0"/>
                    <w:snapToGrid w:val="0"/>
                    <w:spacing w:after="0"/>
                    <w:ind w:firstLine="0" w:firstLineChars="0"/>
                    <w:jc w:val="center"/>
                    <w:rPr>
                      <w:color w:val="auto"/>
                      <w:szCs w:val="21"/>
                    </w:rPr>
                  </w:pPr>
                  <w:r>
                    <w:rPr>
                      <w:color w:val="auto"/>
                      <w:szCs w:val="21"/>
                    </w:rPr>
                    <w:t>主体工程</w:t>
                  </w:r>
                </w:p>
              </w:tc>
              <w:tc>
                <w:tcPr>
                  <w:tcW w:w="3047" w:type="dxa"/>
                  <w:tcBorders>
                    <w:tl2br w:val="nil"/>
                    <w:tr2bl w:val="nil"/>
                  </w:tcBorders>
                  <w:vAlign w:val="center"/>
                </w:tcPr>
                <w:p w14:paraId="13721F77">
                  <w:pPr>
                    <w:pStyle w:val="25"/>
                    <w:adjustRightInd w:val="0"/>
                    <w:snapToGrid w:val="0"/>
                    <w:spacing w:after="0"/>
                    <w:ind w:firstLine="0" w:firstLineChars="0"/>
                    <w:jc w:val="center"/>
                    <w:rPr>
                      <w:color w:val="auto"/>
                      <w:szCs w:val="21"/>
                    </w:rPr>
                  </w:pPr>
                  <w:r>
                    <w:rPr>
                      <w:color w:val="auto"/>
                      <w:szCs w:val="21"/>
                    </w:rPr>
                    <w:t>2026年6月～2026年7月</w:t>
                  </w:r>
                </w:p>
              </w:tc>
              <w:tc>
                <w:tcPr>
                  <w:tcW w:w="4107" w:type="dxa"/>
                  <w:tcBorders>
                    <w:tl2br w:val="nil"/>
                    <w:tr2bl w:val="nil"/>
                  </w:tcBorders>
                  <w:vAlign w:val="center"/>
                </w:tcPr>
                <w:p w14:paraId="1C2DE735">
                  <w:pPr>
                    <w:adjustRightInd w:val="0"/>
                    <w:snapToGrid w:val="0"/>
                    <w:jc w:val="center"/>
                    <w:rPr>
                      <w:rFonts w:ascii="Times New Roman" w:hAnsi="Times New Roman"/>
                      <w:color w:val="auto"/>
                      <w:szCs w:val="21"/>
                    </w:rPr>
                  </w:pPr>
                  <w:r>
                    <w:rPr>
                      <w:rFonts w:ascii="Times New Roman" w:hAnsi="Times New Roman"/>
                      <w:color w:val="auto"/>
                      <w:szCs w:val="21"/>
                    </w:rPr>
                    <w:t>可研编制和审批</w:t>
                  </w:r>
                </w:p>
              </w:tc>
            </w:tr>
            <w:tr w14:paraId="49FA6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vMerge w:val="continue"/>
                  <w:tcBorders>
                    <w:tl2br w:val="nil"/>
                    <w:tr2bl w:val="nil"/>
                  </w:tcBorders>
                  <w:vAlign w:val="center"/>
                </w:tcPr>
                <w:p w14:paraId="612AECDC">
                  <w:pPr>
                    <w:pStyle w:val="25"/>
                    <w:adjustRightInd w:val="0"/>
                    <w:snapToGrid w:val="0"/>
                    <w:spacing w:after="0"/>
                    <w:ind w:firstLine="0" w:firstLineChars="0"/>
                    <w:jc w:val="center"/>
                    <w:rPr>
                      <w:color w:val="auto"/>
                      <w:szCs w:val="21"/>
                    </w:rPr>
                  </w:pPr>
                </w:p>
              </w:tc>
              <w:tc>
                <w:tcPr>
                  <w:tcW w:w="3047" w:type="dxa"/>
                  <w:tcBorders>
                    <w:tl2br w:val="nil"/>
                    <w:tr2bl w:val="nil"/>
                  </w:tcBorders>
                  <w:vAlign w:val="center"/>
                </w:tcPr>
                <w:p w14:paraId="46CD988D">
                  <w:pPr>
                    <w:pStyle w:val="25"/>
                    <w:adjustRightInd w:val="0"/>
                    <w:snapToGrid w:val="0"/>
                    <w:spacing w:after="0"/>
                    <w:ind w:firstLine="0" w:firstLineChars="0"/>
                    <w:jc w:val="center"/>
                    <w:rPr>
                      <w:color w:val="auto"/>
                      <w:szCs w:val="21"/>
                    </w:rPr>
                  </w:pPr>
                  <w:r>
                    <w:rPr>
                      <w:color w:val="auto"/>
                      <w:szCs w:val="21"/>
                    </w:rPr>
                    <w:t>2026年</w:t>
                  </w:r>
                  <w:r>
                    <w:rPr>
                      <w:rFonts w:hint="eastAsia"/>
                      <w:color w:val="auto"/>
                      <w:szCs w:val="21"/>
                    </w:rPr>
                    <w:t>7</w:t>
                  </w:r>
                  <w:r>
                    <w:rPr>
                      <w:color w:val="auto"/>
                      <w:szCs w:val="21"/>
                    </w:rPr>
                    <w:t>月</w:t>
                  </w:r>
                </w:p>
              </w:tc>
              <w:tc>
                <w:tcPr>
                  <w:tcW w:w="4107" w:type="dxa"/>
                  <w:tcBorders>
                    <w:tl2br w:val="nil"/>
                    <w:tr2bl w:val="nil"/>
                  </w:tcBorders>
                  <w:vAlign w:val="center"/>
                </w:tcPr>
                <w:p w14:paraId="586230E3">
                  <w:pPr>
                    <w:adjustRightInd w:val="0"/>
                    <w:snapToGrid w:val="0"/>
                    <w:jc w:val="center"/>
                    <w:rPr>
                      <w:rFonts w:ascii="Times New Roman" w:hAnsi="Times New Roman"/>
                      <w:color w:val="auto"/>
                      <w:szCs w:val="21"/>
                    </w:rPr>
                  </w:pPr>
                  <w:r>
                    <w:rPr>
                      <w:rFonts w:ascii="Times New Roman" w:hAnsi="Times New Roman"/>
                      <w:color w:val="auto"/>
                      <w:szCs w:val="21"/>
                    </w:rPr>
                    <w:t>方案设计</w:t>
                  </w:r>
                </w:p>
              </w:tc>
            </w:tr>
            <w:tr w14:paraId="5F0F6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vMerge w:val="continue"/>
                  <w:tcBorders>
                    <w:tl2br w:val="nil"/>
                    <w:tr2bl w:val="nil"/>
                  </w:tcBorders>
                  <w:vAlign w:val="center"/>
                </w:tcPr>
                <w:p w14:paraId="2597759C">
                  <w:pPr>
                    <w:pStyle w:val="25"/>
                    <w:adjustRightInd w:val="0"/>
                    <w:snapToGrid w:val="0"/>
                    <w:spacing w:after="0"/>
                    <w:ind w:firstLine="0" w:firstLineChars="0"/>
                    <w:jc w:val="center"/>
                    <w:rPr>
                      <w:color w:val="auto"/>
                      <w:szCs w:val="21"/>
                    </w:rPr>
                  </w:pPr>
                </w:p>
              </w:tc>
              <w:tc>
                <w:tcPr>
                  <w:tcW w:w="3047" w:type="dxa"/>
                  <w:tcBorders>
                    <w:tl2br w:val="nil"/>
                    <w:tr2bl w:val="nil"/>
                  </w:tcBorders>
                  <w:vAlign w:val="center"/>
                </w:tcPr>
                <w:p w14:paraId="3E87A508">
                  <w:pPr>
                    <w:pStyle w:val="25"/>
                    <w:adjustRightInd w:val="0"/>
                    <w:snapToGrid w:val="0"/>
                    <w:spacing w:after="0"/>
                    <w:ind w:firstLine="0" w:firstLineChars="0"/>
                    <w:jc w:val="center"/>
                    <w:rPr>
                      <w:color w:val="auto"/>
                      <w:szCs w:val="21"/>
                    </w:rPr>
                  </w:pPr>
                  <w:r>
                    <w:rPr>
                      <w:color w:val="auto"/>
                      <w:szCs w:val="21"/>
                    </w:rPr>
                    <w:t>2026年</w:t>
                  </w:r>
                  <w:r>
                    <w:rPr>
                      <w:rFonts w:hint="eastAsia"/>
                      <w:color w:val="auto"/>
                      <w:szCs w:val="21"/>
                    </w:rPr>
                    <w:t>7</w:t>
                  </w:r>
                  <w:r>
                    <w:rPr>
                      <w:color w:val="auto"/>
                      <w:szCs w:val="21"/>
                    </w:rPr>
                    <w:t>月~2026年</w:t>
                  </w:r>
                  <w:r>
                    <w:rPr>
                      <w:rFonts w:hint="eastAsia"/>
                      <w:color w:val="auto"/>
                      <w:szCs w:val="21"/>
                      <w:lang w:val="en-US" w:eastAsia="zh-CN"/>
                    </w:rPr>
                    <w:t>9</w:t>
                  </w:r>
                  <w:r>
                    <w:rPr>
                      <w:color w:val="auto"/>
                      <w:szCs w:val="21"/>
                    </w:rPr>
                    <w:t>月</w:t>
                  </w:r>
                </w:p>
              </w:tc>
              <w:tc>
                <w:tcPr>
                  <w:tcW w:w="4107" w:type="dxa"/>
                  <w:tcBorders>
                    <w:tl2br w:val="nil"/>
                    <w:tr2bl w:val="nil"/>
                  </w:tcBorders>
                  <w:vAlign w:val="center"/>
                </w:tcPr>
                <w:p w14:paraId="74D3090E">
                  <w:pPr>
                    <w:adjustRightInd w:val="0"/>
                    <w:snapToGrid w:val="0"/>
                    <w:jc w:val="center"/>
                    <w:rPr>
                      <w:rFonts w:ascii="Times New Roman" w:hAnsi="Times New Roman"/>
                      <w:color w:val="auto"/>
                      <w:szCs w:val="21"/>
                    </w:rPr>
                  </w:pPr>
                  <w:r>
                    <w:rPr>
                      <w:rFonts w:ascii="Times New Roman" w:hAnsi="Times New Roman"/>
                      <w:color w:val="auto"/>
                      <w:szCs w:val="21"/>
                    </w:rPr>
                    <w:t>环评评审及审批</w:t>
                  </w:r>
                </w:p>
              </w:tc>
            </w:tr>
            <w:tr w14:paraId="2578E9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vMerge w:val="continue"/>
                  <w:tcBorders>
                    <w:tl2br w:val="nil"/>
                    <w:tr2bl w:val="nil"/>
                  </w:tcBorders>
                  <w:vAlign w:val="center"/>
                </w:tcPr>
                <w:p w14:paraId="6CDD4067">
                  <w:pPr>
                    <w:pStyle w:val="25"/>
                    <w:adjustRightInd w:val="0"/>
                    <w:snapToGrid w:val="0"/>
                    <w:spacing w:after="0"/>
                    <w:ind w:firstLine="0" w:firstLineChars="0"/>
                    <w:jc w:val="center"/>
                    <w:rPr>
                      <w:color w:val="auto"/>
                      <w:szCs w:val="21"/>
                    </w:rPr>
                  </w:pPr>
                </w:p>
              </w:tc>
              <w:tc>
                <w:tcPr>
                  <w:tcW w:w="3047" w:type="dxa"/>
                  <w:tcBorders>
                    <w:tl2br w:val="nil"/>
                    <w:tr2bl w:val="nil"/>
                  </w:tcBorders>
                  <w:vAlign w:val="center"/>
                </w:tcPr>
                <w:p w14:paraId="7EFC96D1">
                  <w:pPr>
                    <w:pStyle w:val="25"/>
                    <w:adjustRightInd w:val="0"/>
                    <w:snapToGrid w:val="0"/>
                    <w:spacing w:after="0"/>
                    <w:ind w:firstLine="0" w:firstLineChars="0"/>
                    <w:jc w:val="center"/>
                    <w:rPr>
                      <w:color w:val="auto"/>
                      <w:szCs w:val="21"/>
                    </w:rPr>
                  </w:pPr>
                  <w:r>
                    <w:rPr>
                      <w:color w:val="auto"/>
                      <w:szCs w:val="21"/>
                    </w:rPr>
                    <w:t>2026年10月</w:t>
                  </w:r>
                </w:p>
              </w:tc>
              <w:tc>
                <w:tcPr>
                  <w:tcW w:w="4107" w:type="dxa"/>
                  <w:tcBorders>
                    <w:tl2br w:val="nil"/>
                    <w:tr2bl w:val="nil"/>
                  </w:tcBorders>
                  <w:vAlign w:val="center"/>
                </w:tcPr>
                <w:p w14:paraId="3B32C33E">
                  <w:pPr>
                    <w:adjustRightInd w:val="0"/>
                    <w:snapToGrid w:val="0"/>
                    <w:jc w:val="center"/>
                    <w:rPr>
                      <w:rFonts w:ascii="Times New Roman" w:hAnsi="Times New Roman"/>
                      <w:color w:val="auto"/>
                      <w:szCs w:val="21"/>
                    </w:rPr>
                  </w:pPr>
                  <w:r>
                    <w:rPr>
                      <w:rFonts w:ascii="Times New Roman" w:hAnsi="Times New Roman"/>
                      <w:color w:val="auto"/>
                      <w:szCs w:val="21"/>
                    </w:rPr>
                    <w:t>建筑施工、人员培训</w:t>
                  </w:r>
                </w:p>
              </w:tc>
            </w:tr>
            <w:tr w14:paraId="3598C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35" w:type="dxa"/>
                  <w:vMerge w:val="continue"/>
                  <w:tcBorders>
                    <w:tl2br w:val="nil"/>
                    <w:tr2bl w:val="nil"/>
                  </w:tcBorders>
                  <w:vAlign w:val="center"/>
                </w:tcPr>
                <w:p w14:paraId="2AB50E76">
                  <w:pPr>
                    <w:pStyle w:val="25"/>
                    <w:adjustRightInd w:val="0"/>
                    <w:snapToGrid w:val="0"/>
                    <w:spacing w:after="0"/>
                    <w:ind w:firstLine="0" w:firstLineChars="0"/>
                    <w:jc w:val="center"/>
                    <w:rPr>
                      <w:color w:val="auto"/>
                      <w:szCs w:val="21"/>
                    </w:rPr>
                  </w:pPr>
                </w:p>
              </w:tc>
              <w:tc>
                <w:tcPr>
                  <w:tcW w:w="3047" w:type="dxa"/>
                  <w:tcBorders>
                    <w:tl2br w:val="nil"/>
                    <w:tr2bl w:val="nil"/>
                  </w:tcBorders>
                  <w:vAlign w:val="center"/>
                </w:tcPr>
                <w:p w14:paraId="7EF89B42">
                  <w:pPr>
                    <w:pStyle w:val="25"/>
                    <w:adjustRightInd w:val="0"/>
                    <w:snapToGrid w:val="0"/>
                    <w:spacing w:after="0"/>
                    <w:ind w:firstLine="0" w:firstLineChars="0"/>
                    <w:jc w:val="center"/>
                    <w:rPr>
                      <w:color w:val="auto"/>
                      <w:szCs w:val="21"/>
                    </w:rPr>
                  </w:pPr>
                  <w:r>
                    <w:rPr>
                      <w:color w:val="auto"/>
                      <w:szCs w:val="21"/>
                    </w:rPr>
                    <w:t>2026年12月~2027年</w:t>
                  </w:r>
                  <w:r>
                    <w:rPr>
                      <w:rFonts w:hint="eastAsia"/>
                      <w:color w:val="auto"/>
                      <w:szCs w:val="21"/>
                    </w:rPr>
                    <w:t>4</w:t>
                  </w:r>
                  <w:r>
                    <w:rPr>
                      <w:color w:val="auto"/>
                      <w:szCs w:val="21"/>
                    </w:rPr>
                    <w:t>月</w:t>
                  </w:r>
                </w:p>
              </w:tc>
              <w:tc>
                <w:tcPr>
                  <w:tcW w:w="4107" w:type="dxa"/>
                  <w:tcBorders>
                    <w:tl2br w:val="nil"/>
                    <w:tr2bl w:val="nil"/>
                  </w:tcBorders>
                  <w:vAlign w:val="center"/>
                </w:tcPr>
                <w:p w14:paraId="22691D60">
                  <w:pPr>
                    <w:adjustRightInd w:val="0"/>
                    <w:snapToGrid w:val="0"/>
                    <w:jc w:val="center"/>
                    <w:rPr>
                      <w:rFonts w:ascii="Times New Roman" w:hAnsi="Times New Roman"/>
                      <w:color w:val="auto"/>
                      <w:szCs w:val="21"/>
                    </w:rPr>
                  </w:pPr>
                  <w:r>
                    <w:rPr>
                      <w:rFonts w:ascii="Times New Roman" w:hAnsi="Times New Roman"/>
                      <w:color w:val="auto"/>
                      <w:szCs w:val="21"/>
                    </w:rPr>
                    <w:t>完工、调试、验收</w:t>
                  </w:r>
                </w:p>
              </w:tc>
            </w:tr>
          </w:tbl>
          <w:p w14:paraId="407E53CF">
            <w:pPr>
              <w:keepNext/>
              <w:keepLines/>
              <w:adjustRightInd w:val="0"/>
              <w:snapToGrid w:val="0"/>
              <w:spacing w:line="440" w:lineRule="exact"/>
              <w:outlineLvl w:val="3"/>
              <w:rPr>
                <w:rFonts w:ascii="Times New Roman" w:hAnsi="Times New Roman"/>
                <w:b/>
                <w:bCs/>
                <w:color w:val="auto"/>
                <w:sz w:val="24"/>
                <w:szCs w:val="24"/>
              </w:rPr>
            </w:pPr>
            <w:r>
              <w:rPr>
                <w:rFonts w:ascii="Times New Roman" w:hAnsi="Times New Roman"/>
                <w:b/>
                <w:bCs/>
                <w:color w:val="auto"/>
                <w:sz w:val="24"/>
                <w:szCs w:val="24"/>
              </w:rPr>
              <w:t>4、施工工艺</w:t>
            </w:r>
          </w:p>
          <w:p w14:paraId="4962007E">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rPr>
              <w:t>本项目为新建输变电项目，工程施工包括输电线路施工，输电线路施工主要有施工材料运输、基础施工、杆塔组立以及导线架设等。</w:t>
            </w:r>
            <w:r>
              <w:rPr>
                <w:rFonts w:ascii="Times New Roman" w:hAnsi="Times New Roman" w:cs="Times New Roman"/>
                <w:color w:val="auto"/>
                <w:sz w:val="24"/>
                <w:szCs w:val="24"/>
              </w:rPr>
              <w:t>具体施工流程图见下图。</w:t>
            </w:r>
          </w:p>
          <w:p w14:paraId="4FB9C8E0">
            <w:pPr>
              <w:adjustRightInd w:val="0"/>
              <w:snapToGrid w:val="0"/>
              <w:jc w:val="center"/>
              <w:rPr>
                <w:rFonts w:ascii="Times New Roman" w:hAnsi="Times New Roman"/>
                <w:b/>
                <w:color w:val="auto"/>
                <w:sz w:val="24"/>
                <w:szCs w:val="24"/>
              </w:rPr>
            </w:pPr>
            <w:r>
              <w:rPr>
                <w:rFonts w:ascii="Times New Roman" w:hAnsi="Times New Roman"/>
                <w:bCs/>
                <w:color w:val="auto"/>
                <w:sz w:val="24"/>
              </w:rPr>
              <w:object>
                <v:shape id="_x0000_i1028" o:spt="75" type="#_x0000_t75" style="height:162pt;width:419.25pt;" o:ole="t" filled="f" o:preferrelative="t" stroked="f" coordsize="21600,21600">
                  <v:path/>
                  <v:fill on="f" focussize="0,0"/>
                  <v:stroke on="f" joinstyle="miter"/>
                  <v:imagedata r:id="rId28" o:title=""/>
                  <o:lock v:ext="edit" aspectratio="f"/>
                  <w10:wrap type="none"/>
                  <w10:anchorlock/>
                </v:shape>
                <o:OLEObject Type="Embed" ProgID="Visio.Drawing.15" ShapeID="_x0000_i1028" DrawAspect="Content" ObjectID="_1468075728" r:id="rId27">
                  <o:LockedField>false</o:LockedField>
                </o:OLEObject>
              </w:object>
            </w:r>
          </w:p>
          <w:p w14:paraId="255C10D1">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图2-</w:t>
            </w:r>
            <w:r>
              <w:rPr>
                <w:rFonts w:hint="eastAsia" w:ascii="Times New Roman" w:hAnsi="Times New Roman"/>
                <w:b/>
                <w:color w:val="auto"/>
                <w:sz w:val="24"/>
                <w:szCs w:val="24"/>
              </w:rPr>
              <w:t>5</w:t>
            </w:r>
            <w:r>
              <w:rPr>
                <w:rFonts w:ascii="Times New Roman" w:hAnsi="Times New Roman"/>
                <w:b/>
                <w:color w:val="auto"/>
                <w:sz w:val="24"/>
                <w:szCs w:val="24"/>
              </w:rPr>
              <w:t xml:space="preserve">  施工工艺流程及产污环节图</w:t>
            </w:r>
          </w:p>
          <w:p w14:paraId="57FDFACA">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（1）施工准备</w:t>
            </w:r>
          </w:p>
          <w:p w14:paraId="458B018E">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施工准备阶段主要是场地平整、施工备料及临时道路的施工，本工程线路交通比较方便，材料运输尽量利用已有公路和机械运输道路，机动车辆无法到达的地方，采用人抬道路完成施工材料的二次搬运任务。</w:t>
            </w:r>
          </w:p>
          <w:p w14:paraId="00C78D31">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（2）塔基施工</w:t>
            </w:r>
          </w:p>
          <w:p w14:paraId="028033C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1）基坑开挖</w:t>
            </w:r>
          </w:p>
          <w:p w14:paraId="0B4FC5E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主体设计，本项目基坑开挖方式包括掏挖式基础和人工挖孔桩基础，不同基础适用于不同地形条件。根据本工程的地形、地质情况及水文地质特点，在众多线路基础设计的成熟、先进技术的基础上，因地制宜规划采用掏挖式基础、人工挖孔桩基础等基础型式。各种基础均按高低基础规划设计，配合铁塔高低腿，</w:t>
            </w:r>
            <w:r>
              <w:rPr>
                <w:rFonts w:hint="eastAsia" w:ascii="Times New Roman" w:hAnsi="Times New Roman"/>
                <w:color w:val="auto"/>
                <w:sz w:val="24"/>
              </w:rPr>
              <w:t>尽可能减少</w:t>
            </w:r>
            <w:r>
              <w:rPr>
                <w:rFonts w:ascii="Times New Roman" w:hAnsi="Times New Roman"/>
                <w:color w:val="auto"/>
                <w:sz w:val="24"/>
              </w:rPr>
              <w:t>清场土石方的开挖量，防止水土流失，以利于保护环境。</w:t>
            </w:r>
          </w:p>
          <w:p w14:paraId="0E689F2D">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①掏挖式基础</w:t>
            </w:r>
          </w:p>
          <w:p w14:paraId="5EAF4188">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掏挖式基础采用人工掏挖成型，与大开挖基础相比虽然混凝土用量指标稍高，但其植被开挖面积约为大开挖基础的20%～30%，并且该型式基础、主柱露头可根据实际地形进行调整，因此能有效地降低基坑土方开挖量，减少施工弃土。从设计上可以利用原状岩土自身的力学性能提高基础的抗拔、抗倾覆承载能力，减少由于大开挖对边坡的破坏，提高地基的稳定性，可以进一步减小基础断面尺寸，节省材料量。从施工上基坑开挖量小，不用支模、无须回填，减少了施工器具的运输和施工难度。从经济上节省投资，从环保方面减少了开挖对地表植被的破坏以及弃渣对环境的污染。</w:t>
            </w:r>
          </w:p>
          <w:p w14:paraId="0471EA62">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②人工挖孔桩基础</w:t>
            </w:r>
          </w:p>
          <w:p w14:paraId="21395B44">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高陡边坡通常采用立柱板式钢筋混凝土基础，采取高处边坡开小平台、低处基础浆砌块石回填并露长立柱的方式进行处理，该方法由于下坡侧基础立柱出露较多，为满足设计要求，一般基础底板也较大、基础埋深也较深，基础挖方量较大，若施工弃土未按设计要求有效运离施工现场，施工弃土向下坡侧滑移将使下坡侧植被遭到破坏，甚至造成浅层滑坡，严重影响塔基的稳定；亦或是采用加大立柱外露的掏挖基础，虽然可以解决土石方开挖大，达到水土保持的目的，但高立柱掏挖基础的混凝土方量必然增大很多。本工程高陡边坡工程将根据实际情况采用人工挖孔桩基础。</w:t>
            </w:r>
          </w:p>
          <w:p w14:paraId="306EF2E1">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塔基基础开挖过程中，边开挖边防护，在开挖的同时进行套笼防护，同时作为基础浇筑的防护措施，减少基础开挖过程中造成的边坡塌陷。</w:t>
            </w:r>
          </w:p>
          <w:p w14:paraId="2B687DE7">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2）塔基开挖余土堆放</w:t>
            </w:r>
          </w:p>
          <w:p w14:paraId="62B2CA6D">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山丘区塔基基础余土堆放：塔基基础余土为土石渣，搬运下山难度大、投资高，因此，主体考虑施工期将山区塔基挖方就近堆放在塔基区施工场地，余方中的石方最终可考虑作为塔基挡土墙、护坡的建筑材料，土方就地在塔基征地范围内回填、平整。</w:t>
            </w:r>
          </w:p>
          <w:p w14:paraId="000CAAB1">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3）混凝土浇筑</w:t>
            </w:r>
          </w:p>
          <w:p w14:paraId="00FCFBC8">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购买成品混凝土或现场拌和的混凝土，需及时进行浇筑，浇筑先从一角或一处开始，延入四周。混凝土倾倒入模盒内，其自由倾落高度不超过2m，超过2m时设置溜管、斜槽或串筒倾倒，以防离析。混凝土分层浇筑和捣固，每层厚度为20cm，留有振捣窗口的地方在振捣后及时封严。</w:t>
            </w:r>
          </w:p>
          <w:p w14:paraId="0453D2F8">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（3）铁塔组立</w:t>
            </w:r>
          </w:p>
          <w:p w14:paraId="1ED134C7">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工程铁塔安装施工采用分解组塔的施工方法。在实际施工过程中，根据铁塔的形式、高度、重量以及施工场地、施工设备等施工现场情况，确定正装分解组塔或倒装分解组塔。利用支立抱杆，吊装铁塔构件，抱杆通过牵引绳的连接拉动，随铁塔高度的增高而上升，各个构件顶端和底部支脚采用螺栓连接。</w:t>
            </w:r>
          </w:p>
          <w:p w14:paraId="5AE2736B">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（4）架线</w:t>
            </w:r>
          </w:p>
          <w:p w14:paraId="3C72C193">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线路架线采用张力架线方法施工，张力架线施工方法为：架空地线展放及收紧、展放导引绳、牵放牵引绳、牵放导线、锚固导线、紧线临锚、附件安装、压接升空、间隔棒安装、耐张塔平衡挂线和跳线安装等。线路沿线设置牵张场，采用张力机紧线，一般以张力放线施工段作为紧线段，以直线塔作为紧线操作塔。紧线完毕后进行附件、线夹、</w:t>
            </w:r>
            <w:r>
              <w:rPr>
                <w:rFonts w:hint="eastAsia" w:ascii="Times New Roman" w:hAnsi="Times New Roman"/>
                <w:color w:val="auto"/>
                <w:sz w:val="24"/>
              </w:rPr>
              <w:t>防震</w:t>
            </w:r>
            <w:r>
              <w:rPr>
                <w:rFonts w:ascii="Times New Roman" w:hAnsi="Times New Roman"/>
                <w:color w:val="auto"/>
                <w:sz w:val="24"/>
              </w:rPr>
              <w:t>金具、间隔棒等安装。架线施工中对交叉跨越情况一般采用占地和扰动均较小的搭建竹木塔架的方法，在需跨越的线路、公路、铁路的两侧搭建竹木塔架，竹木塔架高度以不影响其运行为准。</w:t>
            </w:r>
          </w:p>
          <w:p w14:paraId="19790390">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另外，项目根据实际地形情况及</w:t>
            </w:r>
            <w:r>
              <w:rPr>
                <w:rFonts w:hint="eastAsia" w:ascii="Times New Roman" w:hAnsi="Times New Roman"/>
                <w:color w:val="auto"/>
                <w:sz w:val="24"/>
              </w:rPr>
              <w:t>跨越</w:t>
            </w:r>
            <w:r>
              <w:rPr>
                <w:rFonts w:ascii="Times New Roman" w:hAnsi="Times New Roman"/>
                <w:color w:val="auto"/>
                <w:sz w:val="24"/>
              </w:rPr>
              <w:t>生态保护红线段，结合使用无人机放线技术具体施工工艺如下：无人机放线一般是在机身下悬挂一平衡重物，导引绳连接其上，在地面展放机械的配合下牵引飞过塔位。由塔上人员配合或机上操作人员借助导杆将导引绳放入牵引滑车槽内，再用导引绳牵牵引绳，通过相与相间渡绳等操作，最后用牵引绳牵放导线。</w:t>
            </w:r>
          </w:p>
          <w:p w14:paraId="528A7903">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（5）临时施工场地施工工艺</w:t>
            </w:r>
          </w:p>
          <w:p w14:paraId="25514FCB">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设计资料，本项目施工期间布置临时施工场地，施工期间应减少施工扰动面积，避免大挖大填。占用林地的施工场地，植被清除后能够满足材料堆放区域即可；占用耕地区域，宜采用草席铺垫，减少地表扰动，施工结束后翻松平整。</w:t>
            </w:r>
          </w:p>
        </w:tc>
      </w:tr>
      <w:tr w14:paraId="5013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dxa"/>
            <w:shd w:val="clear" w:color="auto" w:fill="auto"/>
            <w:vAlign w:val="center"/>
          </w:tcPr>
          <w:p w14:paraId="27C28C84">
            <w:pPr>
              <w:spacing w:line="360" w:lineRule="auto"/>
              <w:jc w:val="center"/>
              <w:rPr>
                <w:rFonts w:ascii="Times New Roman" w:hAnsi="Times New Roman"/>
                <w:b/>
                <w:color w:val="auto"/>
                <w:sz w:val="24"/>
                <w:szCs w:val="24"/>
              </w:rPr>
            </w:pPr>
            <w:r>
              <w:rPr>
                <w:rFonts w:ascii="Times New Roman" w:hAnsi="Times New Roman"/>
                <w:b/>
                <w:color w:val="auto"/>
                <w:sz w:val="24"/>
                <w:szCs w:val="24"/>
              </w:rPr>
              <w:t>其他</w:t>
            </w:r>
          </w:p>
        </w:tc>
        <w:tc>
          <w:tcPr>
            <w:tcW w:w="8609" w:type="dxa"/>
            <w:shd w:val="clear" w:color="auto" w:fill="auto"/>
          </w:tcPr>
          <w:p w14:paraId="6D956AC2">
            <w:pPr>
              <w:keepNext/>
              <w:keepLines/>
              <w:adjustRightInd w:val="0"/>
              <w:snapToGrid w:val="0"/>
              <w:spacing w:line="440" w:lineRule="exact"/>
              <w:ind w:firstLine="482" w:firstLineChars="200"/>
              <w:outlineLvl w:val="3"/>
              <w:rPr>
                <w:rFonts w:ascii="Times New Roman" w:hAnsi="Times New Roman"/>
                <w:b/>
                <w:bCs/>
                <w:color w:val="auto"/>
                <w:sz w:val="24"/>
                <w:szCs w:val="24"/>
              </w:rPr>
            </w:pPr>
            <w:r>
              <w:rPr>
                <w:rFonts w:ascii="Times New Roman" w:hAnsi="Times New Roman"/>
                <w:b/>
                <w:bCs/>
                <w:color w:val="auto"/>
                <w:sz w:val="24"/>
                <w:szCs w:val="24"/>
              </w:rPr>
              <w:t>1、新建线路路径方案比选</w:t>
            </w:r>
          </w:p>
          <w:p w14:paraId="182D8745">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（1）路径方案拟定原则</w:t>
            </w:r>
          </w:p>
          <w:p w14:paraId="25AB200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在线路选择过程中，</w:t>
            </w:r>
            <w:r>
              <w:rPr>
                <w:rFonts w:hint="eastAsia" w:ascii="Times New Roman" w:hAnsi="Times New Roman"/>
                <w:color w:val="auto"/>
                <w:sz w:val="24"/>
                <w:szCs w:val="24"/>
              </w:rPr>
              <w:t>全面贯彻落实科学发展观</w:t>
            </w:r>
            <w:r>
              <w:rPr>
                <w:rFonts w:ascii="Times New Roman" w:hAnsi="Times New Roman"/>
                <w:color w:val="auto"/>
                <w:sz w:val="24"/>
                <w:szCs w:val="24"/>
              </w:rPr>
              <w:t>，以人为本，节约资源，保护环境，把线路走向与城乡规划有机结合，做到经济合理，相互兼顾，协调统一，降低输电线路建设和运行成本。具体原则如下：</w:t>
            </w:r>
          </w:p>
          <w:p w14:paraId="30F8B51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1）根据电力系统规划要求，综合考虑线路长度、地形地貌、地质、水文气象、冰区、交通、林木、矿产、障碍设施、交叉跨越、施工、运行及地方政府意见等诸多因素，使路径走向安全可靠，经济合理。</w:t>
            </w:r>
          </w:p>
          <w:p w14:paraId="5046FEB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2）避开生态保护红线保护区、基本农田、风景旅游区、大型工矿企业、军事设施及重要通信设施，减少线路工程建设对地方经济发展的影响。</w:t>
            </w:r>
          </w:p>
          <w:p w14:paraId="4EA61BB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3）尽可能靠近现有国道、省道、县道及乡村公路，改善线路施工、运行维护交通条件。</w:t>
            </w:r>
          </w:p>
          <w:p w14:paraId="558199D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4）合理选择重要交叉跨越位置。选定各重要交叉跨越的位置，合理控制交叉跨越角度，减少跨越次数是路径选择的重点。</w:t>
            </w:r>
          </w:p>
          <w:p w14:paraId="67F7919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5）在路径选择中，充分体现以人为本、保护环境的意识，尽量占用利用率较低的土地，尽量避免跨越民房，在线路选择过程中，积极采用新技术，做到节约资源，保护环境。</w:t>
            </w:r>
          </w:p>
          <w:p w14:paraId="1F99287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6）减少交叉跨越已建送电线路，特别是高电压等级的送电线路，以降低施工过程中的停电损失，提高运行的安全性。</w:t>
            </w:r>
          </w:p>
          <w:p w14:paraId="51B1680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7）新建线路规划路径时应注意避让乡镇、村庄、社区，并为其保留一定距离的发展空间。为避免所选输电线路走径与城乡规划、地上、地下资源及重要设施之间的相互影响，减少土石方开挖，少占土地，力争将对沿线附近构筑物及设施的影响降到最低程度。</w:t>
            </w:r>
          </w:p>
          <w:p w14:paraId="1DF1448A">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（2）方案描述</w:t>
            </w:r>
          </w:p>
          <w:p w14:paraId="4BDF341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沿线分布有公益林、稳定耕地、基本农田、矿权、生态保护红线等，路径选择需避让。根据《工程初设报告》，新建220kV线路考虑2个方案，叙述如下：</w:t>
            </w:r>
          </w:p>
          <w:p w14:paraId="4CDEBEB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1）方案一</w:t>
            </w:r>
          </w:p>
          <w:p w14:paraId="184709D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w:t>
            </w:r>
            <w:r>
              <w:rPr>
                <w:rFonts w:hint="eastAsia" w:ascii="Times New Roman" w:hAnsi="Times New Roman"/>
                <w:color w:val="auto"/>
                <w:sz w:val="24"/>
                <w:szCs w:val="24"/>
              </w:rPr>
              <w:t>路径</w:t>
            </w:r>
            <w:r>
              <w:rPr>
                <w:rFonts w:ascii="Times New Roman" w:hAnsi="Times New Roman"/>
                <w:color w:val="auto"/>
                <w:sz w:val="24"/>
                <w:szCs w:val="24"/>
              </w:rPr>
              <w:t>方案途经云南省</w:t>
            </w:r>
            <w:r>
              <w:rPr>
                <w:rFonts w:hint="eastAsia" w:ascii="Times New Roman" w:hAnsi="Times New Roman"/>
                <w:color w:val="auto"/>
                <w:sz w:val="24"/>
                <w:szCs w:val="24"/>
              </w:rPr>
              <w:t>会泽县乐业镇境内，</w:t>
            </w:r>
            <w:r>
              <w:rPr>
                <w:rFonts w:ascii="Times New Roman" w:hAnsi="Times New Roman"/>
                <w:color w:val="auto"/>
                <w:sz w:val="24"/>
                <w:szCs w:val="24"/>
              </w:rPr>
              <w:t>新建线路自六合村一期光伏项目220kV升压站构架出线后沿王家村南侧山脊向西北方向走线，随后右转到达老屋基东侧山腰，继续向北方向走线至岔沟西侧山顶，右转后向东北方向走线，途经上白沙坡、老陷塘、红瓦房、叶家冲、张家冲、到坡、小海子、上干冲、中梁子等地后到达林家村西侧山顶，继续右转跨越国道到达山背后山腰，随后左转最终接入500kV乐业变220kV侧构架</w:t>
            </w:r>
            <w:r>
              <w:rPr>
                <w:rFonts w:hint="eastAsia" w:ascii="Times New Roman" w:hAnsi="Times New Roman"/>
                <w:color w:val="auto"/>
                <w:sz w:val="24"/>
                <w:szCs w:val="24"/>
              </w:rPr>
              <w:t>，</w:t>
            </w:r>
            <w:r>
              <w:rPr>
                <w:rFonts w:ascii="Times New Roman" w:hAnsi="Times New Roman"/>
                <w:color w:val="auto"/>
                <w:sz w:val="24"/>
                <w:szCs w:val="24"/>
              </w:rPr>
              <w:t>航空距离19.26km，全线均为10～20mm冰区</w:t>
            </w:r>
            <w:r>
              <w:rPr>
                <w:rFonts w:hint="eastAsia" w:ascii="Times New Roman" w:hAnsi="Times New Roman"/>
                <w:color w:val="auto"/>
                <w:sz w:val="24"/>
                <w:szCs w:val="24"/>
              </w:rPr>
              <w:t>，</w:t>
            </w:r>
            <w:r>
              <w:rPr>
                <w:rFonts w:ascii="Times New Roman" w:hAnsi="Times New Roman"/>
                <w:color w:val="auto"/>
                <w:sz w:val="24"/>
                <w:szCs w:val="24"/>
              </w:rPr>
              <w:t>线路长度</w:t>
            </w:r>
            <w:r>
              <w:rPr>
                <w:rFonts w:hint="eastAsia" w:ascii="Times New Roman" w:hAnsi="Times New Roman"/>
                <w:color w:val="auto"/>
                <w:sz w:val="24"/>
                <w:szCs w:val="24"/>
              </w:rPr>
              <w:t>22</w:t>
            </w:r>
            <w:r>
              <w:rPr>
                <w:rFonts w:ascii="Times New Roman" w:hAnsi="Times New Roman"/>
                <w:color w:val="auto"/>
                <w:sz w:val="24"/>
                <w:szCs w:val="24"/>
              </w:rPr>
              <w:t>km</w:t>
            </w:r>
            <w:r>
              <w:rPr>
                <w:rFonts w:hint="eastAsia" w:ascii="Times New Roman" w:hAnsi="Times New Roman"/>
                <w:color w:val="auto"/>
                <w:sz w:val="24"/>
                <w:szCs w:val="24"/>
              </w:rPr>
              <w:t>，</w:t>
            </w:r>
            <w:r>
              <w:rPr>
                <w:rFonts w:ascii="Times New Roman" w:hAnsi="Times New Roman"/>
                <w:color w:val="auto"/>
                <w:sz w:val="24"/>
                <w:szCs w:val="24"/>
              </w:rPr>
              <w:t>曲折系数1.1</w:t>
            </w:r>
            <w:r>
              <w:rPr>
                <w:rFonts w:hint="eastAsia" w:ascii="Times New Roman" w:hAnsi="Times New Roman"/>
                <w:color w:val="auto"/>
                <w:sz w:val="24"/>
                <w:szCs w:val="24"/>
              </w:rPr>
              <w:t>4。</w:t>
            </w:r>
          </w:p>
          <w:p w14:paraId="78520A2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2）方案二</w:t>
            </w:r>
          </w:p>
          <w:p w14:paraId="7E5D1E3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本工程路径方案途经云南省会泽县。线路自六合村升压站东北面采用架空出线后，向西北走线</w:t>
            </w:r>
            <w:r>
              <w:rPr>
                <w:rFonts w:hint="eastAsia" w:ascii="Times New Roman" w:hAnsi="Times New Roman"/>
                <w:color w:val="auto"/>
                <w:sz w:val="24"/>
                <w:szCs w:val="24"/>
                <w:lang w:val="en-US" w:eastAsia="zh-CN"/>
              </w:rPr>
              <w:t>途径</w:t>
            </w:r>
            <w:r>
              <w:rPr>
                <w:rFonts w:ascii="Times New Roman" w:hAnsi="Times New Roman"/>
                <w:color w:val="auto"/>
                <w:sz w:val="24"/>
                <w:szCs w:val="24"/>
              </w:rPr>
              <w:t>王家村、老屋基、水坪子，而后右转向东北走线至陆家村、小竹箐、后河、城门洞，而后继续向东北走线跨越G213国道架空接入乐业变电站。航空距离19.26km，工程线路总长约23.9km，全线均为10～20mm冰区</w:t>
            </w:r>
            <w:r>
              <w:rPr>
                <w:rFonts w:hint="eastAsia" w:ascii="Times New Roman" w:hAnsi="Times New Roman"/>
                <w:color w:val="auto"/>
                <w:sz w:val="24"/>
                <w:szCs w:val="24"/>
              </w:rPr>
              <w:t>，</w:t>
            </w:r>
            <w:r>
              <w:rPr>
                <w:rFonts w:ascii="Times New Roman" w:hAnsi="Times New Roman"/>
                <w:color w:val="auto"/>
                <w:sz w:val="24"/>
                <w:szCs w:val="24"/>
              </w:rPr>
              <w:t>曲折系数为1.24。</w:t>
            </w:r>
          </w:p>
          <w:p w14:paraId="555DE57F">
            <w:pPr>
              <w:pStyle w:val="3"/>
              <w:spacing w:line="240" w:lineRule="auto"/>
              <w:rPr>
                <w:rFonts w:ascii="Times New Roman" w:hAnsi="Times New Roman"/>
                <w:color w:val="auto"/>
                <w:sz w:val="24"/>
              </w:rPr>
            </w:pPr>
            <w:r>
              <w:rPr>
                <w:rFonts w:ascii="Times New Roman" w:hAnsi="Times New Roman"/>
                <w:color w:val="auto"/>
                <w:sz w:val="24"/>
              </w:rPr>
              <w:t>表2-</w:t>
            </w:r>
            <w:r>
              <w:rPr>
                <w:rFonts w:hint="eastAsia" w:ascii="Times New Roman" w:hAnsi="Times New Roman"/>
                <w:color w:val="auto"/>
                <w:sz w:val="24"/>
              </w:rPr>
              <w:t>9</w:t>
            </w:r>
            <w:r>
              <w:rPr>
                <w:rFonts w:ascii="Times New Roman" w:hAnsi="Times New Roman"/>
                <w:color w:val="auto"/>
                <w:sz w:val="24"/>
              </w:rPr>
              <w:t xml:space="preserve">  线路路径方案综合比较表</w:t>
            </w:r>
          </w:p>
          <w:tbl>
            <w:tblPr>
              <w:tblStyle w:val="27"/>
              <w:tblW w:w="839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323"/>
              <w:gridCol w:w="3202"/>
              <w:gridCol w:w="3229"/>
            </w:tblGrid>
            <w:tr w14:paraId="7F561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shd w:val="clear" w:color="auto" w:fill="auto"/>
                  <w:vAlign w:val="center"/>
                </w:tcPr>
                <w:p w14:paraId="0E3A232A">
                  <w:pPr>
                    <w:pStyle w:val="77"/>
                    <w:adjustRightInd w:val="0"/>
                    <w:snapToGrid w:val="0"/>
                    <w:rPr>
                      <w:rFonts w:ascii="Times New Roman" w:hAnsi="Times New Roman"/>
                      <w:b/>
                      <w:color w:val="auto"/>
                    </w:rPr>
                  </w:pPr>
                  <w:r>
                    <w:rPr>
                      <w:rFonts w:ascii="Times New Roman" w:hAnsi="Times New Roman"/>
                      <w:b/>
                      <w:color w:val="auto"/>
                    </w:rPr>
                    <w:t>序号</w:t>
                  </w:r>
                </w:p>
              </w:tc>
              <w:tc>
                <w:tcPr>
                  <w:tcW w:w="1323" w:type="dxa"/>
                  <w:tcBorders>
                    <w:tl2br w:val="nil"/>
                    <w:tr2bl w:val="nil"/>
                  </w:tcBorders>
                  <w:shd w:val="clear" w:color="auto" w:fill="auto"/>
                  <w:vAlign w:val="center"/>
                </w:tcPr>
                <w:p w14:paraId="6763B68E">
                  <w:pPr>
                    <w:pStyle w:val="77"/>
                    <w:adjustRightInd w:val="0"/>
                    <w:snapToGrid w:val="0"/>
                    <w:rPr>
                      <w:rFonts w:ascii="Times New Roman" w:hAnsi="Times New Roman"/>
                      <w:b/>
                      <w:color w:val="auto"/>
                    </w:rPr>
                  </w:pPr>
                  <w:r>
                    <w:rPr>
                      <w:rFonts w:ascii="Times New Roman" w:hAnsi="Times New Roman"/>
                      <w:b/>
                      <w:color w:val="auto"/>
                    </w:rPr>
                    <w:t>项目</w:t>
                  </w:r>
                </w:p>
              </w:tc>
              <w:tc>
                <w:tcPr>
                  <w:tcW w:w="3202" w:type="dxa"/>
                  <w:tcBorders>
                    <w:tl2br w:val="nil"/>
                    <w:tr2bl w:val="nil"/>
                  </w:tcBorders>
                  <w:shd w:val="clear" w:color="auto" w:fill="auto"/>
                  <w:vAlign w:val="center"/>
                </w:tcPr>
                <w:p w14:paraId="775F5D8B">
                  <w:pPr>
                    <w:adjustRightInd w:val="0"/>
                    <w:snapToGrid w:val="0"/>
                    <w:jc w:val="center"/>
                    <w:rPr>
                      <w:rFonts w:ascii="Times New Roman" w:hAnsi="Times New Roman"/>
                      <w:b/>
                      <w:color w:val="auto"/>
                      <w:szCs w:val="21"/>
                    </w:rPr>
                  </w:pPr>
                  <w:r>
                    <w:rPr>
                      <w:rFonts w:ascii="Times New Roman" w:hAnsi="Times New Roman"/>
                      <w:b/>
                      <w:color w:val="auto"/>
                      <w:szCs w:val="21"/>
                    </w:rPr>
                    <w:t>路径方案一</w:t>
                  </w:r>
                </w:p>
              </w:tc>
              <w:tc>
                <w:tcPr>
                  <w:tcW w:w="3229" w:type="dxa"/>
                  <w:tcBorders>
                    <w:tl2br w:val="nil"/>
                    <w:tr2bl w:val="nil"/>
                  </w:tcBorders>
                  <w:shd w:val="clear" w:color="auto" w:fill="auto"/>
                  <w:vAlign w:val="center"/>
                </w:tcPr>
                <w:p w14:paraId="20949648">
                  <w:pPr>
                    <w:adjustRightInd w:val="0"/>
                    <w:snapToGrid w:val="0"/>
                    <w:jc w:val="center"/>
                    <w:rPr>
                      <w:rFonts w:ascii="Times New Roman" w:hAnsi="Times New Roman"/>
                      <w:b/>
                      <w:color w:val="auto"/>
                      <w:szCs w:val="21"/>
                    </w:rPr>
                  </w:pPr>
                  <w:r>
                    <w:rPr>
                      <w:rFonts w:ascii="Times New Roman" w:hAnsi="Times New Roman"/>
                      <w:b/>
                      <w:color w:val="auto"/>
                      <w:szCs w:val="21"/>
                    </w:rPr>
                    <w:t>路径方案二</w:t>
                  </w:r>
                </w:p>
              </w:tc>
            </w:tr>
            <w:tr w14:paraId="1A092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2543923E">
                  <w:pPr>
                    <w:pStyle w:val="77"/>
                    <w:adjustRightInd w:val="0"/>
                    <w:snapToGrid w:val="0"/>
                    <w:rPr>
                      <w:rFonts w:ascii="Times New Roman" w:hAnsi="Times New Roman"/>
                      <w:bCs/>
                      <w:color w:val="auto"/>
                    </w:rPr>
                  </w:pPr>
                  <w:r>
                    <w:rPr>
                      <w:rFonts w:ascii="Times New Roman" w:hAnsi="Times New Roman"/>
                      <w:bCs/>
                      <w:color w:val="auto"/>
                    </w:rPr>
                    <w:t>1</w:t>
                  </w:r>
                </w:p>
              </w:tc>
              <w:tc>
                <w:tcPr>
                  <w:tcW w:w="1323" w:type="dxa"/>
                  <w:tcBorders>
                    <w:tl2br w:val="nil"/>
                    <w:tr2bl w:val="nil"/>
                  </w:tcBorders>
                  <w:vAlign w:val="center"/>
                </w:tcPr>
                <w:p w14:paraId="2C4E242C">
                  <w:pPr>
                    <w:pStyle w:val="77"/>
                    <w:adjustRightInd w:val="0"/>
                    <w:snapToGrid w:val="0"/>
                    <w:rPr>
                      <w:rFonts w:ascii="Times New Roman" w:hAnsi="Times New Roman"/>
                      <w:bCs/>
                      <w:color w:val="auto"/>
                    </w:rPr>
                  </w:pPr>
                  <w:r>
                    <w:rPr>
                      <w:rFonts w:ascii="Times New Roman" w:hAnsi="Times New Roman"/>
                      <w:bCs/>
                      <w:color w:val="auto"/>
                    </w:rPr>
                    <w:t>线路长度</w:t>
                  </w:r>
                </w:p>
              </w:tc>
              <w:tc>
                <w:tcPr>
                  <w:tcW w:w="3202" w:type="dxa"/>
                  <w:tcBorders>
                    <w:tl2br w:val="nil"/>
                    <w:tr2bl w:val="nil"/>
                  </w:tcBorders>
                  <w:vAlign w:val="center"/>
                </w:tcPr>
                <w:p w14:paraId="4CCE890B">
                  <w:pPr>
                    <w:adjustRightInd w:val="0"/>
                    <w:snapToGrid w:val="0"/>
                    <w:jc w:val="center"/>
                    <w:rPr>
                      <w:rFonts w:ascii="Times New Roman" w:hAnsi="Times New Roman"/>
                      <w:color w:val="auto"/>
                      <w:szCs w:val="21"/>
                    </w:rPr>
                  </w:pPr>
                  <w:r>
                    <w:rPr>
                      <w:rFonts w:hint="eastAsia" w:ascii="Times New Roman" w:hAnsi="Times New Roman"/>
                      <w:color w:val="auto"/>
                      <w:szCs w:val="21"/>
                    </w:rPr>
                    <w:t>22</w:t>
                  </w:r>
                  <w:r>
                    <w:rPr>
                      <w:rFonts w:ascii="Times New Roman" w:hAnsi="Times New Roman"/>
                      <w:color w:val="auto"/>
                      <w:szCs w:val="21"/>
                    </w:rPr>
                    <w:t>km</w:t>
                  </w:r>
                </w:p>
              </w:tc>
              <w:tc>
                <w:tcPr>
                  <w:tcW w:w="3229" w:type="dxa"/>
                  <w:tcBorders>
                    <w:tl2br w:val="nil"/>
                    <w:tr2bl w:val="nil"/>
                  </w:tcBorders>
                  <w:vAlign w:val="center"/>
                </w:tcPr>
                <w:p w14:paraId="2A6C5BC4">
                  <w:pPr>
                    <w:adjustRightInd w:val="0"/>
                    <w:snapToGrid w:val="0"/>
                    <w:jc w:val="center"/>
                    <w:rPr>
                      <w:rFonts w:ascii="Times New Roman" w:hAnsi="Times New Roman"/>
                      <w:color w:val="auto"/>
                      <w:szCs w:val="21"/>
                    </w:rPr>
                  </w:pPr>
                  <w:r>
                    <w:rPr>
                      <w:rFonts w:hint="eastAsia" w:ascii="Times New Roman" w:hAnsi="Times New Roman"/>
                      <w:color w:val="auto"/>
                      <w:szCs w:val="21"/>
                    </w:rPr>
                    <w:t>23.9</w:t>
                  </w:r>
                  <w:r>
                    <w:rPr>
                      <w:rFonts w:ascii="Times New Roman" w:hAnsi="Times New Roman"/>
                      <w:color w:val="auto"/>
                      <w:szCs w:val="21"/>
                    </w:rPr>
                    <w:t>km</w:t>
                  </w:r>
                </w:p>
              </w:tc>
            </w:tr>
            <w:tr w14:paraId="0EDF0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6D7D2970">
                  <w:pPr>
                    <w:pStyle w:val="77"/>
                    <w:adjustRightInd w:val="0"/>
                    <w:snapToGrid w:val="0"/>
                    <w:rPr>
                      <w:rFonts w:ascii="Times New Roman" w:hAnsi="Times New Roman"/>
                      <w:bCs/>
                      <w:color w:val="auto"/>
                    </w:rPr>
                  </w:pPr>
                  <w:r>
                    <w:rPr>
                      <w:rFonts w:ascii="Times New Roman" w:hAnsi="Times New Roman"/>
                      <w:bCs/>
                      <w:color w:val="auto"/>
                    </w:rPr>
                    <w:t>2</w:t>
                  </w:r>
                </w:p>
              </w:tc>
              <w:tc>
                <w:tcPr>
                  <w:tcW w:w="1323" w:type="dxa"/>
                  <w:tcBorders>
                    <w:tl2br w:val="nil"/>
                    <w:tr2bl w:val="nil"/>
                  </w:tcBorders>
                  <w:vAlign w:val="center"/>
                </w:tcPr>
                <w:p w14:paraId="75ABA1D3">
                  <w:pPr>
                    <w:pStyle w:val="77"/>
                    <w:adjustRightInd w:val="0"/>
                    <w:snapToGrid w:val="0"/>
                    <w:rPr>
                      <w:rFonts w:ascii="Times New Roman" w:hAnsi="Times New Roman"/>
                      <w:bCs/>
                      <w:color w:val="auto"/>
                    </w:rPr>
                  </w:pPr>
                  <w:r>
                    <w:rPr>
                      <w:rFonts w:ascii="Times New Roman" w:hAnsi="Times New Roman"/>
                      <w:bCs/>
                      <w:color w:val="auto"/>
                    </w:rPr>
                    <w:t>曲折系数</w:t>
                  </w:r>
                </w:p>
              </w:tc>
              <w:tc>
                <w:tcPr>
                  <w:tcW w:w="3202" w:type="dxa"/>
                  <w:tcBorders>
                    <w:tl2br w:val="nil"/>
                    <w:tr2bl w:val="nil"/>
                  </w:tcBorders>
                  <w:vAlign w:val="center"/>
                </w:tcPr>
                <w:p w14:paraId="546C0A78">
                  <w:pPr>
                    <w:pStyle w:val="77"/>
                    <w:adjustRightInd w:val="0"/>
                    <w:snapToGrid w:val="0"/>
                    <w:rPr>
                      <w:rFonts w:ascii="Times New Roman" w:hAnsi="Times New Roman"/>
                      <w:bCs/>
                      <w:color w:val="auto"/>
                    </w:rPr>
                  </w:pPr>
                  <w:r>
                    <w:rPr>
                      <w:rFonts w:ascii="Times New Roman" w:hAnsi="Times New Roman"/>
                      <w:bCs/>
                      <w:color w:val="auto"/>
                    </w:rPr>
                    <w:t>1.</w:t>
                  </w:r>
                  <w:r>
                    <w:rPr>
                      <w:rFonts w:hint="eastAsia" w:ascii="Times New Roman" w:hAnsi="Times New Roman"/>
                      <w:bCs/>
                      <w:color w:val="auto"/>
                    </w:rPr>
                    <w:t>14</w:t>
                  </w:r>
                </w:p>
              </w:tc>
              <w:tc>
                <w:tcPr>
                  <w:tcW w:w="3229" w:type="dxa"/>
                  <w:tcBorders>
                    <w:tl2br w:val="nil"/>
                    <w:tr2bl w:val="nil"/>
                  </w:tcBorders>
                  <w:vAlign w:val="center"/>
                </w:tcPr>
                <w:p w14:paraId="4FDA904F">
                  <w:pPr>
                    <w:pStyle w:val="77"/>
                    <w:adjustRightInd w:val="0"/>
                    <w:snapToGrid w:val="0"/>
                    <w:rPr>
                      <w:rFonts w:ascii="Times New Roman" w:hAnsi="Times New Roman"/>
                      <w:bCs/>
                      <w:color w:val="auto"/>
                    </w:rPr>
                  </w:pPr>
                  <w:r>
                    <w:rPr>
                      <w:rFonts w:ascii="Times New Roman" w:hAnsi="Times New Roman"/>
                      <w:bCs/>
                      <w:color w:val="auto"/>
                    </w:rPr>
                    <w:t>1.</w:t>
                  </w:r>
                  <w:r>
                    <w:rPr>
                      <w:rFonts w:hint="eastAsia" w:ascii="Times New Roman" w:hAnsi="Times New Roman"/>
                      <w:bCs/>
                      <w:color w:val="auto"/>
                    </w:rPr>
                    <w:t>24</w:t>
                  </w:r>
                </w:p>
              </w:tc>
            </w:tr>
            <w:tr w14:paraId="18C9F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1CAB99BB">
                  <w:pPr>
                    <w:pStyle w:val="77"/>
                    <w:adjustRightInd w:val="0"/>
                    <w:snapToGrid w:val="0"/>
                    <w:rPr>
                      <w:rFonts w:ascii="Times New Roman" w:hAnsi="Times New Roman"/>
                      <w:bCs/>
                      <w:color w:val="auto"/>
                    </w:rPr>
                  </w:pPr>
                  <w:r>
                    <w:rPr>
                      <w:rFonts w:ascii="Times New Roman" w:hAnsi="Times New Roman"/>
                      <w:bCs/>
                      <w:color w:val="auto"/>
                    </w:rPr>
                    <w:t>3</w:t>
                  </w:r>
                </w:p>
              </w:tc>
              <w:tc>
                <w:tcPr>
                  <w:tcW w:w="1323" w:type="dxa"/>
                  <w:tcBorders>
                    <w:tl2br w:val="nil"/>
                    <w:tr2bl w:val="nil"/>
                  </w:tcBorders>
                  <w:vAlign w:val="center"/>
                </w:tcPr>
                <w:p w14:paraId="7E354C15">
                  <w:pPr>
                    <w:pStyle w:val="77"/>
                    <w:adjustRightInd w:val="0"/>
                    <w:snapToGrid w:val="0"/>
                    <w:rPr>
                      <w:rFonts w:ascii="Times New Roman" w:hAnsi="Times New Roman"/>
                      <w:bCs/>
                      <w:color w:val="auto"/>
                    </w:rPr>
                  </w:pPr>
                  <w:r>
                    <w:rPr>
                      <w:rFonts w:ascii="Times New Roman" w:hAnsi="Times New Roman"/>
                      <w:bCs/>
                      <w:color w:val="auto"/>
                    </w:rPr>
                    <w:t>杆塔用量</w:t>
                  </w:r>
                </w:p>
              </w:tc>
              <w:tc>
                <w:tcPr>
                  <w:tcW w:w="3202" w:type="dxa"/>
                  <w:tcBorders>
                    <w:tl2br w:val="nil"/>
                    <w:tr2bl w:val="nil"/>
                  </w:tcBorders>
                  <w:vAlign w:val="center"/>
                </w:tcPr>
                <w:p w14:paraId="5DB4C7D3">
                  <w:pPr>
                    <w:pStyle w:val="77"/>
                    <w:adjustRightInd w:val="0"/>
                    <w:snapToGrid w:val="0"/>
                    <w:rPr>
                      <w:rFonts w:ascii="Times New Roman" w:hAnsi="Times New Roman"/>
                      <w:bCs/>
                      <w:color w:val="auto"/>
                    </w:rPr>
                  </w:pPr>
                  <w:r>
                    <w:rPr>
                      <w:rFonts w:hint="eastAsia" w:ascii="Times New Roman" w:hAnsi="Times New Roman"/>
                      <w:bCs/>
                      <w:color w:val="auto"/>
                    </w:rPr>
                    <w:t>61</w:t>
                  </w:r>
                  <w:r>
                    <w:rPr>
                      <w:rFonts w:ascii="Times New Roman" w:hAnsi="Times New Roman"/>
                      <w:bCs/>
                      <w:color w:val="auto"/>
                    </w:rPr>
                    <w:t>基</w:t>
                  </w:r>
                </w:p>
              </w:tc>
              <w:tc>
                <w:tcPr>
                  <w:tcW w:w="3229" w:type="dxa"/>
                  <w:tcBorders>
                    <w:tl2br w:val="nil"/>
                    <w:tr2bl w:val="nil"/>
                  </w:tcBorders>
                  <w:vAlign w:val="center"/>
                </w:tcPr>
                <w:p w14:paraId="7B62CFC7">
                  <w:pPr>
                    <w:pStyle w:val="77"/>
                    <w:adjustRightInd w:val="0"/>
                    <w:snapToGrid w:val="0"/>
                    <w:rPr>
                      <w:rFonts w:ascii="Times New Roman" w:hAnsi="Times New Roman"/>
                      <w:bCs/>
                      <w:color w:val="auto"/>
                    </w:rPr>
                  </w:pPr>
                  <w:r>
                    <w:rPr>
                      <w:rFonts w:hint="eastAsia" w:ascii="Times New Roman" w:hAnsi="Times New Roman"/>
                      <w:bCs/>
                      <w:color w:val="auto"/>
                    </w:rPr>
                    <w:t>68</w:t>
                  </w:r>
                  <w:r>
                    <w:rPr>
                      <w:rFonts w:ascii="Times New Roman" w:hAnsi="Times New Roman"/>
                      <w:bCs/>
                      <w:color w:val="auto"/>
                    </w:rPr>
                    <w:t>基</w:t>
                  </w:r>
                </w:p>
              </w:tc>
            </w:tr>
            <w:tr w14:paraId="56514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6" w:type="dxa"/>
                  <w:tcBorders>
                    <w:tl2br w:val="nil"/>
                    <w:tr2bl w:val="nil"/>
                  </w:tcBorders>
                  <w:vAlign w:val="center"/>
                </w:tcPr>
                <w:p w14:paraId="16D1E706">
                  <w:pPr>
                    <w:pStyle w:val="77"/>
                    <w:adjustRightInd w:val="0"/>
                    <w:snapToGrid w:val="0"/>
                    <w:rPr>
                      <w:rFonts w:ascii="Times New Roman" w:hAnsi="Times New Roman"/>
                      <w:bCs/>
                      <w:color w:val="auto"/>
                    </w:rPr>
                  </w:pPr>
                  <w:r>
                    <w:rPr>
                      <w:rFonts w:ascii="Times New Roman" w:hAnsi="Times New Roman"/>
                      <w:bCs/>
                      <w:color w:val="auto"/>
                    </w:rPr>
                    <w:t>4</w:t>
                  </w:r>
                </w:p>
              </w:tc>
              <w:tc>
                <w:tcPr>
                  <w:tcW w:w="1323" w:type="dxa"/>
                  <w:tcBorders>
                    <w:tl2br w:val="nil"/>
                    <w:tr2bl w:val="nil"/>
                  </w:tcBorders>
                  <w:vAlign w:val="center"/>
                </w:tcPr>
                <w:p w14:paraId="0D989E0F">
                  <w:pPr>
                    <w:pStyle w:val="77"/>
                    <w:adjustRightInd w:val="0"/>
                    <w:snapToGrid w:val="0"/>
                    <w:rPr>
                      <w:rFonts w:ascii="Times New Roman" w:hAnsi="Times New Roman"/>
                      <w:bCs/>
                      <w:color w:val="auto"/>
                    </w:rPr>
                  </w:pPr>
                  <w:r>
                    <w:rPr>
                      <w:rFonts w:ascii="Times New Roman" w:hAnsi="Times New Roman"/>
                      <w:bCs/>
                      <w:color w:val="auto"/>
                    </w:rPr>
                    <w:t>基本农田</w:t>
                  </w:r>
                </w:p>
              </w:tc>
              <w:tc>
                <w:tcPr>
                  <w:tcW w:w="3202" w:type="dxa"/>
                  <w:tcBorders>
                    <w:tl2br w:val="nil"/>
                    <w:tr2bl w:val="nil"/>
                  </w:tcBorders>
                  <w:vAlign w:val="center"/>
                </w:tcPr>
                <w:p w14:paraId="32F466DD">
                  <w:pPr>
                    <w:pStyle w:val="10"/>
                    <w:jc w:val="center"/>
                    <w:rPr>
                      <w:rFonts w:ascii="Times New Roman" w:hAnsi="Times New Roman"/>
                      <w:bCs/>
                      <w:color w:val="auto"/>
                      <w:szCs w:val="21"/>
                    </w:rPr>
                  </w:pPr>
                  <w:r>
                    <w:rPr>
                      <w:rFonts w:ascii="Times New Roman" w:hAnsi="Times New Roman"/>
                      <w:bCs/>
                      <w:color w:val="auto"/>
                      <w:szCs w:val="21"/>
                    </w:rPr>
                    <w:t>线路</w:t>
                  </w:r>
                  <w:r>
                    <w:rPr>
                      <w:rFonts w:hint="eastAsia" w:ascii="Times New Roman" w:hAnsi="Times New Roman"/>
                      <w:bCs/>
                      <w:color w:val="auto"/>
                      <w:szCs w:val="21"/>
                    </w:rPr>
                    <w:t>无法</w:t>
                  </w:r>
                  <w:r>
                    <w:rPr>
                      <w:rFonts w:ascii="Times New Roman" w:hAnsi="Times New Roman"/>
                      <w:bCs/>
                      <w:color w:val="auto"/>
                      <w:szCs w:val="21"/>
                    </w:rPr>
                    <w:t>避让基本农田，</w:t>
                  </w:r>
                  <w:r>
                    <w:rPr>
                      <w:rFonts w:hint="eastAsia" w:ascii="Times New Roman" w:hAnsi="Times New Roman"/>
                      <w:bCs/>
                      <w:color w:val="auto"/>
                      <w:szCs w:val="21"/>
                    </w:rPr>
                    <w:t>3基</w:t>
                  </w:r>
                  <w:r>
                    <w:rPr>
                      <w:rFonts w:ascii="Times New Roman" w:hAnsi="Times New Roman"/>
                      <w:bCs/>
                      <w:color w:val="auto"/>
                      <w:szCs w:val="21"/>
                    </w:rPr>
                    <w:t>塔基占用基本农田</w:t>
                  </w:r>
                  <w:r>
                    <w:rPr>
                      <w:rFonts w:hint="eastAsia" w:ascii="Times New Roman" w:hAnsi="Times New Roman"/>
                      <w:bCs/>
                      <w:color w:val="auto"/>
                      <w:szCs w:val="21"/>
                    </w:rPr>
                    <w:t>237.56m</w:t>
                  </w:r>
                  <w:r>
                    <w:rPr>
                      <w:rFonts w:hint="eastAsia" w:ascii="Times New Roman" w:hAnsi="Times New Roman"/>
                      <w:bCs/>
                      <w:color w:val="auto"/>
                      <w:szCs w:val="21"/>
                      <w:vertAlign w:val="superscript"/>
                    </w:rPr>
                    <w:t>2</w:t>
                  </w:r>
                  <w:r>
                    <w:rPr>
                      <w:rFonts w:ascii="Times New Roman" w:hAnsi="Times New Roman"/>
                      <w:bCs/>
                      <w:color w:val="auto"/>
                      <w:szCs w:val="21"/>
                    </w:rPr>
                    <w:t>，</w:t>
                  </w:r>
                  <w:r>
                    <w:rPr>
                      <w:rFonts w:ascii="Times New Roman" w:hAnsi="Times New Roman"/>
                      <w:color w:val="auto"/>
                    </w:rPr>
                    <w:t>线路约</w:t>
                  </w:r>
                  <w:r>
                    <w:rPr>
                      <w:rFonts w:hint="eastAsia" w:ascii="Times New Roman" w:hAnsi="Times New Roman"/>
                      <w:color w:val="auto"/>
                    </w:rPr>
                    <w:t>2139米跨越</w:t>
                  </w:r>
                  <w:r>
                    <w:rPr>
                      <w:rFonts w:ascii="Times New Roman" w:hAnsi="Times New Roman"/>
                      <w:bCs/>
                      <w:color w:val="auto"/>
                      <w:szCs w:val="21"/>
                    </w:rPr>
                    <w:t>基本农田区域</w:t>
                  </w:r>
                </w:p>
              </w:tc>
              <w:tc>
                <w:tcPr>
                  <w:tcW w:w="3229" w:type="dxa"/>
                  <w:tcBorders>
                    <w:tl2br w:val="nil"/>
                    <w:tr2bl w:val="nil"/>
                  </w:tcBorders>
                  <w:vAlign w:val="center"/>
                </w:tcPr>
                <w:p w14:paraId="651AF5B7">
                  <w:pPr>
                    <w:pStyle w:val="77"/>
                    <w:adjustRightInd w:val="0"/>
                    <w:snapToGrid w:val="0"/>
                    <w:rPr>
                      <w:rFonts w:ascii="Times New Roman" w:hAnsi="Times New Roman"/>
                      <w:bCs/>
                      <w:color w:val="auto"/>
                    </w:rPr>
                  </w:pPr>
                  <w:r>
                    <w:rPr>
                      <w:rFonts w:ascii="Times New Roman" w:hAnsi="Times New Roman"/>
                      <w:bCs/>
                      <w:color w:val="auto"/>
                    </w:rPr>
                    <w:t>线路</w:t>
                  </w:r>
                  <w:r>
                    <w:rPr>
                      <w:rFonts w:hint="eastAsia" w:ascii="Times New Roman" w:hAnsi="Times New Roman"/>
                      <w:bCs/>
                      <w:color w:val="auto"/>
                    </w:rPr>
                    <w:t>无法</w:t>
                  </w:r>
                  <w:r>
                    <w:rPr>
                      <w:rFonts w:ascii="Times New Roman" w:hAnsi="Times New Roman"/>
                      <w:bCs/>
                      <w:color w:val="auto"/>
                    </w:rPr>
                    <w:t>避让基本农田，线路约</w:t>
                  </w:r>
                  <w:r>
                    <w:rPr>
                      <w:rFonts w:hint="eastAsia" w:ascii="Times New Roman" w:hAnsi="Times New Roman"/>
                      <w:bCs/>
                      <w:color w:val="auto"/>
                    </w:rPr>
                    <w:t>1342.6</w:t>
                  </w:r>
                  <w:r>
                    <w:rPr>
                      <w:rFonts w:ascii="Times New Roman" w:hAnsi="Times New Roman"/>
                      <w:bCs/>
                      <w:color w:val="auto"/>
                    </w:rPr>
                    <w:t>m</w:t>
                  </w:r>
                  <w:r>
                    <w:rPr>
                      <w:rFonts w:hint="eastAsia" w:ascii="Times New Roman" w:hAnsi="Times New Roman"/>
                      <w:bCs/>
                      <w:color w:val="auto"/>
                    </w:rPr>
                    <w:t>跨越</w:t>
                  </w:r>
                  <w:r>
                    <w:rPr>
                      <w:rFonts w:ascii="Times New Roman" w:hAnsi="Times New Roman"/>
                      <w:bCs/>
                      <w:color w:val="auto"/>
                    </w:rPr>
                    <w:t>基本农田区域</w:t>
                  </w:r>
                  <w:r>
                    <w:rPr>
                      <w:rFonts w:hint="eastAsia" w:ascii="Times New Roman" w:hAnsi="Times New Roman"/>
                      <w:bCs/>
                      <w:color w:val="auto"/>
                    </w:rPr>
                    <w:t>，4基</w:t>
                  </w:r>
                  <w:r>
                    <w:rPr>
                      <w:rFonts w:ascii="Times New Roman" w:hAnsi="Times New Roman"/>
                      <w:bCs/>
                      <w:color w:val="auto"/>
                    </w:rPr>
                    <w:t>塔涉及占用基本农田，</w:t>
                  </w:r>
                  <w:r>
                    <w:rPr>
                      <w:rFonts w:hint="eastAsia" w:ascii="Times New Roman" w:hAnsi="Times New Roman"/>
                      <w:bCs/>
                      <w:color w:val="auto"/>
                    </w:rPr>
                    <w:t>占用面积约400m</w:t>
                  </w:r>
                  <w:r>
                    <w:rPr>
                      <w:rFonts w:hint="eastAsia" w:ascii="Times New Roman" w:hAnsi="Times New Roman"/>
                      <w:bCs/>
                      <w:color w:val="auto"/>
                      <w:vertAlign w:val="superscript"/>
                    </w:rPr>
                    <w:t>2</w:t>
                  </w:r>
                </w:p>
              </w:tc>
            </w:tr>
            <w:tr w14:paraId="64503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073565F3">
                  <w:pPr>
                    <w:pStyle w:val="77"/>
                    <w:adjustRightInd w:val="0"/>
                    <w:snapToGrid w:val="0"/>
                    <w:rPr>
                      <w:rFonts w:ascii="Times New Roman" w:hAnsi="Times New Roman"/>
                      <w:bCs/>
                      <w:color w:val="auto"/>
                    </w:rPr>
                  </w:pPr>
                  <w:r>
                    <w:rPr>
                      <w:rFonts w:ascii="Times New Roman" w:hAnsi="Times New Roman"/>
                      <w:bCs/>
                      <w:color w:val="auto"/>
                    </w:rPr>
                    <w:t>5</w:t>
                  </w:r>
                </w:p>
              </w:tc>
              <w:tc>
                <w:tcPr>
                  <w:tcW w:w="1323" w:type="dxa"/>
                  <w:tcBorders>
                    <w:tl2br w:val="nil"/>
                    <w:tr2bl w:val="nil"/>
                  </w:tcBorders>
                  <w:vAlign w:val="center"/>
                </w:tcPr>
                <w:p w14:paraId="2694BDD2">
                  <w:pPr>
                    <w:pStyle w:val="77"/>
                    <w:adjustRightInd w:val="0"/>
                    <w:snapToGrid w:val="0"/>
                    <w:rPr>
                      <w:rFonts w:ascii="Times New Roman" w:hAnsi="Times New Roman"/>
                      <w:bCs/>
                      <w:color w:val="auto"/>
                    </w:rPr>
                  </w:pPr>
                  <w:r>
                    <w:rPr>
                      <w:rFonts w:ascii="Times New Roman" w:hAnsi="Times New Roman"/>
                      <w:bCs/>
                      <w:color w:val="auto"/>
                    </w:rPr>
                    <w:t>生态保护红线</w:t>
                  </w:r>
                </w:p>
              </w:tc>
              <w:tc>
                <w:tcPr>
                  <w:tcW w:w="3202" w:type="dxa"/>
                  <w:tcBorders>
                    <w:tl2br w:val="nil"/>
                    <w:tr2bl w:val="nil"/>
                  </w:tcBorders>
                  <w:vAlign w:val="center"/>
                </w:tcPr>
                <w:p w14:paraId="3342F104">
                  <w:pPr>
                    <w:pStyle w:val="10"/>
                    <w:jc w:val="center"/>
                    <w:rPr>
                      <w:rFonts w:ascii="Times New Roman" w:hAnsi="Times New Roman"/>
                      <w:color w:val="auto"/>
                    </w:rPr>
                  </w:pPr>
                  <w:r>
                    <w:rPr>
                      <w:rFonts w:hint="eastAsia" w:ascii="Times New Roman" w:hAnsi="Times New Roman"/>
                      <w:color w:val="auto"/>
                    </w:rPr>
                    <w:t>不涉及占用生态保护红线，线路N19~N20之间与线路最近距离495米</w:t>
                  </w:r>
                </w:p>
              </w:tc>
              <w:tc>
                <w:tcPr>
                  <w:tcW w:w="3229" w:type="dxa"/>
                  <w:tcBorders>
                    <w:tl2br w:val="nil"/>
                    <w:tr2bl w:val="nil"/>
                  </w:tcBorders>
                  <w:vAlign w:val="center"/>
                </w:tcPr>
                <w:p w14:paraId="2A24E41F">
                  <w:pPr>
                    <w:pStyle w:val="10"/>
                    <w:jc w:val="center"/>
                    <w:rPr>
                      <w:rFonts w:ascii="Times New Roman" w:hAnsi="Times New Roman"/>
                      <w:color w:val="auto"/>
                    </w:rPr>
                  </w:pPr>
                  <w:r>
                    <w:rPr>
                      <w:rFonts w:ascii="Times New Roman" w:hAnsi="Times New Roman"/>
                      <w:color w:val="auto"/>
                    </w:rPr>
                    <w:t>不涉及</w:t>
                  </w:r>
                  <w:r>
                    <w:rPr>
                      <w:rFonts w:hint="eastAsia" w:ascii="Times New Roman" w:hAnsi="Times New Roman"/>
                      <w:color w:val="auto"/>
                    </w:rPr>
                    <w:t>占用</w:t>
                  </w:r>
                  <w:r>
                    <w:rPr>
                      <w:rFonts w:ascii="Times New Roman" w:hAnsi="Times New Roman"/>
                      <w:color w:val="auto"/>
                    </w:rPr>
                    <w:t>生态保护红线，</w:t>
                  </w:r>
                  <w:r>
                    <w:rPr>
                      <w:rFonts w:hint="eastAsia" w:ascii="Times New Roman" w:hAnsi="Times New Roman"/>
                      <w:color w:val="auto"/>
                    </w:rPr>
                    <w:t>线路N21~N22之间与线路最近距离218米</w:t>
                  </w:r>
                </w:p>
              </w:tc>
            </w:tr>
            <w:tr w14:paraId="7E2CA5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75A29FDE">
                  <w:pPr>
                    <w:pStyle w:val="77"/>
                    <w:adjustRightInd w:val="0"/>
                    <w:snapToGrid w:val="0"/>
                    <w:rPr>
                      <w:rFonts w:ascii="Times New Roman" w:hAnsi="Times New Roman"/>
                      <w:bCs/>
                      <w:color w:val="auto"/>
                    </w:rPr>
                  </w:pPr>
                  <w:r>
                    <w:rPr>
                      <w:rFonts w:ascii="Times New Roman" w:hAnsi="Times New Roman"/>
                      <w:bCs/>
                      <w:color w:val="auto"/>
                    </w:rPr>
                    <w:t>6</w:t>
                  </w:r>
                </w:p>
              </w:tc>
              <w:tc>
                <w:tcPr>
                  <w:tcW w:w="1323" w:type="dxa"/>
                  <w:tcBorders>
                    <w:tl2br w:val="nil"/>
                    <w:tr2bl w:val="nil"/>
                  </w:tcBorders>
                  <w:vAlign w:val="center"/>
                </w:tcPr>
                <w:p w14:paraId="7ADC08D2">
                  <w:pPr>
                    <w:pStyle w:val="77"/>
                    <w:adjustRightInd w:val="0"/>
                    <w:snapToGrid w:val="0"/>
                    <w:rPr>
                      <w:rFonts w:ascii="Times New Roman" w:hAnsi="Times New Roman"/>
                      <w:bCs/>
                      <w:color w:val="auto"/>
                    </w:rPr>
                  </w:pPr>
                  <w:r>
                    <w:rPr>
                      <w:rFonts w:ascii="Times New Roman" w:hAnsi="Times New Roman"/>
                      <w:bCs/>
                      <w:color w:val="auto"/>
                    </w:rPr>
                    <w:t>公益林</w:t>
                  </w:r>
                </w:p>
              </w:tc>
              <w:tc>
                <w:tcPr>
                  <w:tcW w:w="3202" w:type="dxa"/>
                  <w:tcBorders>
                    <w:tl2br w:val="nil"/>
                    <w:tr2bl w:val="nil"/>
                  </w:tcBorders>
                  <w:vAlign w:val="center"/>
                </w:tcPr>
                <w:p w14:paraId="664B662F">
                  <w:pPr>
                    <w:pStyle w:val="77"/>
                    <w:adjustRightInd w:val="0"/>
                    <w:snapToGrid w:val="0"/>
                    <w:rPr>
                      <w:rFonts w:ascii="Times New Roman" w:hAnsi="Times New Roman"/>
                      <w:bCs/>
                      <w:color w:val="auto"/>
                    </w:rPr>
                  </w:pPr>
                  <w:r>
                    <w:rPr>
                      <w:rFonts w:hint="eastAsia" w:ascii="Times New Roman" w:hAnsi="Times New Roman"/>
                      <w:bCs/>
                      <w:color w:val="auto"/>
                    </w:rPr>
                    <w:t>不涉及</w:t>
                  </w:r>
                  <w:r>
                    <w:rPr>
                      <w:rFonts w:ascii="Times New Roman" w:hAnsi="Times New Roman"/>
                      <w:bCs/>
                      <w:color w:val="auto"/>
                    </w:rPr>
                    <w:t>占用国家</w:t>
                  </w:r>
                  <w:r>
                    <w:rPr>
                      <w:rFonts w:hint="eastAsia" w:ascii="Times New Roman" w:hAnsi="Times New Roman"/>
                      <w:bCs/>
                      <w:color w:val="auto"/>
                    </w:rPr>
                    <w:t>一级公益林和国家</w:t>
                  </w:r>
                  <w:r>
                    <w:rPr>
                      <w:rFonts w:ascii="Times New Roman" w:hAnsi="Times New Roman"/>
                      <w:bCs/>
                      <w:color w:val="auto"/>
                    </w:rPr>
                    <w:t>二级公益林</w:t>
                  </w:r>
                  <w:r>
                    <w:rPr>
                      <w:rFonts w:hint="eastAsia" w:ascii="Times New Roman" w:hAnsi="Times New Roman"/>
                      <w:bCs/>
                      <w:color w:val="auto"/>
                    </w:rPr>
                    <w:t>，6基塔占用</w:t>
                  </w:r>
                  <w:r>
                    <w:rPr>
                      <w:rFonts w:ascii="Times New Roman" w:hAnsi="Times New Roman"/>
                      <w:bCs/>
                      <w:color w:val="auto"/>
                    </w:rPr>
                    <w:t>省级公益林，面积</w:t>
                  </w:r>
                  <w:r>
                    <w:rPr>
                      <w:rFonts w:hint="eastAsia" w:ascii="Times New Roman" w:hAnsi="Times New Roman"/>
                      <w:bCs/>
                      <w:color w:val="auto"/>
                    </w:rPr>
                    <w:t>0.02445</w:t>
                  </w:r>
                  <w:r>
                    <w:rPr>
                      <w:rFonts w:ascii="Times New Roman" w:hAnsi="Times New Roman"/>
                      <w:bCs/>
                      <w:color w:val="auto"/>
                    </w:rPr>
                    <w:t>hm</w:t>
                  </w:r>
                  <w:r>
                    <w:rPr>
                      <w:rFonts w:ascii="Times New Roman" w:hAnsi="Times New Roman"/>
                      <w:bCs/>
                      <w:color w:val="auto"/>
                      <w:vertAlign w:val="superscript"/>
                    </w:rPr>
                    <w:t>2</w:t>
                  </w:r>
                </w:p>
              </w:tc>
              <w:tc>
                <w:tcPr>
                  <w:tcW w:w="3229" w:type="dxa"/>
                  <w:tcBorders>
                    <w:tl2br w:val="nil"/>
                    <w:tr2bl w:val="nil"/>
                  </w:tcBorders>
                  <w:vAlign w:val="center"/>
                </w:tcPr>
                <w:p w14:paraId="759C09B0">
                  <w:pPr>
                    <w:pStyle w:val="77"/>
                    <w:adjustRightInd w:val="0"/>
                    <w:snapToGrid w:val="0"/>
                    <w:rPr>
                      <w:rFonts w:ascii="Times New Roman" w:hAnsi="Times New Roman"/>
                      <w:color w:val="auto"/>
                    </w:rPr>
                  </w:pPr>
                  <w:r>
                    <w:rPr>
                      <w:rFonts w:ascii="Times New Roman" w:hAnsi="Times New Roman"/>
                      <w:bCs/>
                      <w:color w:val="auto"/>
                    </w:rPr>
                    <w:t>不涉及占用国家一级公益林，占用国家二级公益林</w:t>
                  </w:r>
                  <w:r>
                    <w:rPr>
                      <w:rFonts w:hint="eastAsia" w:ascii="Times New Roman" w:hAnsi="Times New Roman"/>
                      <w:bCs/>
                      <w:color w:val="auto"/>
                    </w:rPr>
                    <w:t>和省级公益林</w:t>
                  </w:r>
                  <w:r>
                    <w:rPr>
                      <w:rFonts w:ascii="Times New Roman" w:hAnsi="Times New Roman"/>
                      <w:bCs/>
                      <w:color w:val="auto"/>
                    </w:rPr>
                    <w:t>，</w:t>
                  </w:r>
                  <w:r>
                    <w:rPr>
                      <w:rFonts w:hint="eastAsia" w:ascii="Times New Roman" w:hAnsi="Times New Roman"/>
                      <w:bCs/>
                      <w:color w:val="auto"/>
                    </w:rPr>
                    <w:t>11基塔</w:t>
                  </w:r>
                  <w:r>
                    <w:rPr>
                      <w:rFonts w:ascii="Times New Roman" w:hAnsi="Times New Roman"/>
                      <w:bCs/>
                      <w:color w:val="auto"/>
                    </w:rPr>
                    <w:t>无法避让；占用</w:t>
                  </w:r>
                  <w:r>
                    <w:rPr>
                      <w:rFonts w:hint="eastAsia" w:ascii="Times New Roman" w:hAnsi="Times New Roman"/>
                      <w:bCs/>
                      <w:color w:val="auto"/>
                    </w:rPr>
                    <w:t>国家二级公益林</w:t>
                  </w:r>
                  <w:r>
                    <w:rPr>
                      <w:rFonts w:ascii="Times New Roman" w:hAnsi="Times New Roman"/>
                      <w:bCs/>
                      <w:color w:val="auto"/>
                    </w:rPr>
                    <w:t>面积0.0</w:t>
                  </w:r>
                  <w:r>
                    <w:rPr>
                      <w:rFonts w:hint="eastAsia" w:ascii="Times New Roman" w:hAnsi="Times New Roman"/>
                      <w:bCs/>
                      <w:color w:val="auto"/>
                    </w:rPr>
                    <w:t>5</w:t>
                  </w:r>
                  <w:r>
                    <w:rPr>
                      <w:rFonts w:ascii="Times New Roman" w:hAnsi="Times New Roman"/>
                      <w:bCs/>
                      <w:color w:val="auto"/>
                    </w:rPr>
                    <w:t>09hm</w:t>
                  </w:r>
                  <w:r>
                    <w:rPr>
                      <w:rFonts w:ascii="Times New Roman" w:hAnsi="Times New Roman"/>
                      <w:bCs/>
                      <w:color w:val="auto"/>
                      <w:vertAlign w:val="superscript"/>
                    </w:rPr>
                    <w:t>2</w:t>
                  </w:r>
                  <w:r>
                    <w:rPr>
                      <w:rFonts w:hint="eastAsia" w:ascii="Times New Roman" w:hAnsi="Times New Roman"/>
                      <w:bCs/>
                      <w:color w:val="auto"/>
                    </w:rPr>
                    <w:t>；</w:t>
                  </w:r>
                  <w:r>
                    <w:rPr>
                      <w:rFonts w:ascii="Times New Roman" w:hAnsi="Times New Roman"/>
                      <w:bCs/>
                      <w:color w:val="auto"/>
                    </w:rPr>
                    <w:t>占用</w:t>
                  </w:r>
                  <w:r>
                    <w:rPr>
                      <w:rFonts w:hint="eastAsia" w:ascii="Times New Roman" w:hAnsi="Times New Roman"/>
                      <w:bCs/>
                      <w:color w:val="auto"/>
                    </w:rPr>
                    <w:t>省级</w:t>
                  </w:r>
                  <w:r>
                    <w:rPr>
                      <w:rFonts w:ascii="Times New Roman" w:hAnsi="Times New Roman"/>
                      <w:bCs/>
                      <w:color w:val="auto"/>
                    </w:rPr>
                    <w:t>公益林面积0.</w:t>
                  </w:r>
                  <w:r>
                    <w:rPr>
                      <w:rFonts w:hint="eastAsia" w:ascii="Times New Roman" w:hAnsi="Times New Roman"/>
                      <w:bCs/>
                      <w:color w:val="auto"/>
                    </w:rPr>
                    <w:t>0598</w:t>
                  </w:r>
                  <w:r>
                    <w:rPr>
                      <w:rFonts w:ascii="Times New Roman" w:hAnsi="Times New Roman"/>
                      <w:bCs/>
                      <w:color w:val="auto"/>
                    </w:rPr>
                    <w:t>hm</w:t>
                  </w:r>
                  <w:r>
                    <w:rPr>
                      <w:rFonts w:ascii="Times New Roman" w:hAnsi="Times New Roman"/>
                      <w:bCs/>
                      <w:color w:val="auto"/>
                      <w:vertAlign w:val="superscript"/>
                    </w:rPr>
                    <w:t>2</w:t>
                  </w:r>
                </w:p>
              </w:tc>
            </w:tr>
            <w:tr w14:paraId="42300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11D0C784">
                  <w:pPr>
                    <w:pStyle w:val="77"/>
                    <w:adjustRightInd w:val="0"/>
                    <w:snapToGrid w:val="0"/>
                    <w:rPr>
                      <w:rFonts w:ascii="Times New Roman" w:hAnsi="Times New Roman"/>
                      <w:bCs/>
                      <w:color w:val="auto"/>
                    </w:rPr>
                  </w:pPr>
                  <w:r>
                    <w:rPr>
                      <w:rFonts w:ascii="Times New Roman" w:hAnsi="Times New Roman"/>
                      <w:bCs/>
                      <w:color w:val="auto"/>
                    </w:rPr>
                    <w:t>7</w:t>
                  </w:r>
                </w:p>
              </w:tc>
              <w:tc>
                <w:tcPr>
                  <w:tcW w:w="1323" w:type="dxa"/>
                  <w:tcBorders>
                    <w:tl2br w:val="nil"/>
                    <w:tr2bl w:val="nil"/>
                  </w:tcBorders>
                  <w:vAlign w:val="center"/>
                </w:tcPr>
                <w:p w14:paraId="1182C7A2">
                  <w:pPr>
                    <w:pStyle w:val="77"/>
                    <w:adjustRightInd w:val="0"/>
                    <w:snapToGrid w:val="0"/>
                    <w:rPr>
                      <w:rFonts w:ascii="Times New Roman" w:hAnsi="Times New Roman"/>
                      <w:bCs/>
                      <w:color w:val="auto"/>
                    </w:rPr>
                  </w:pPr>
                  <w:r>
                    <w:rPr>
                      <w:rFonts w:ascii="Times New Roman" w:hAnsi="Times New Roman"/>
                      <w:bCs/>
                      <w:color w:val="auto"/>
                    </w:rPr>
                    <w:t>海拔</w:t>
                  </w:r>
                </w:p>
              </w:tc>
              <w:tc>
                <w:tcPr>
                  <w:tcW w:w="3202" w:type="dxa"/>
                  <w:tcBorders>
                    <w:tl2br w:val="nil"/>
                    <w:tr2bl w:val="nil"/>
                  </w:tcBorders>
                  <w:vAlign w:val="center"/>
                </w:tcPr>
                <w:p w14:paraId="61313990">
                  <w:pPr>
                    <w:adjustRightInd w:val="0"/>
                    <w:snapToGrid w:val="0"/>
                    <w:jc w:val="center"/>
                    <w:rPr>
                      <w:rFonts w:ascii="Times New Roman" w:hAnsi="Times New Roman"/>
                      <w:bCs/>
                      <w:color w:val="auto"/>
                      <w:szCs w:val="21"/>
                    </w:rPr>
                  </w:pPr>
                  <w:r>
                    <w:rPr>
                      <w:rFonts w:hint="eastAsia" w:ascii="Times New Roman" w:hAnsi="Times New Roman"/>
                      <w:bCs/>
                      <w:color w:val="auto"/>
                      <w:szCs w:val="21"/>
                    </w:rPr>
                    <w:t>1700m～2300m</w:t>
                  </w:r>
                </w:p>
              </w:tc>
              <w:tc>
                <w:tcPr>
                  <w:tcW w:w="3229" w:type="dxa"/>
                  <w:tcBorders>
                    <w:tl2br w:val="nil"/>
                    <w:tr2bl w:val="nil"/>
                  </w:tcBorders>
                  <w:vAlign w:val="center"/>
                </w:tcPr>
                <w:p w14:paraId="387A2D7E">
                  <w:pPr>
                    <w:adjustRightInd w:val="0"/>
                    <w:snapToGrid w:val="0"/>
                    <w:jc w:val="center"/>
                    <w:rPr>
                      <w:rFonts w:ascii="Times New Roman" w:hAnsi="Times New Roman"/>
                      <w:bCs/>
                      <w:color w:val="auto"/>
                      <w:szCs w:val="21"/>
                    </w:rPr>
                  </w:pPr>
                  <w:r>
                    <w:rPr>
                      <w:rFonts w:hint="eastAsia" w:ascii="Times New Roman" w:hAnsi="Times New Roman"/>
                      <w:bCs/>
                      <w:color w:val="auto"/>
                      <w:szCs w:val="21"/>
                    </w:rPr>
                    <w:t>1700m～2300m</w:t>
                  </w:r>
                </w:p>
              </w:tc>
            </w:tr>
            <w:tr w14:paraId="1CC59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636" w:type="dxa"/>
                  <w:tcBorders>
                    <w:tl2br w:val="nil"/>
                    <w:tr2bl w:val="nil"/>
                  </w:tcBorders>
                  <w:vAlign w:val="center"/>
                </w:tcPr>
                <w:p w14:paraId="48BC0668">
                  <w:pPr>
                    <w:pStyle w:val="77"/>
                    <w:adjustRightInd w:val="0"/>
                    <w:snapToGrid w:val="0"/>
                    <w:rPr>
                      <w:rFonts w:ascii="Times New Roman" w:hAnsi="Times New Roman"/>
                      <w:bCs/>
                      <w:color w:val="auto"/>
                    </w:rPr>
                  </w:pPr>
                  <w:r>
                    <w:rPr>
                      <w:rFonts w:ascii="Times New Roman" w:hAnsi="Times New Roman"/>
                      <w:bCs/>
                      <w:color w:val="auto"/>
                    </w:rPr>
                    <w:t>8</w:t>
                  </w:r>
                </w:p>
              </w:tc>
              <w:tc>
                <w:tcPr>
                  <w:tcW w:w="1323" w:type="dxa"/>
                  <w:tcBorders>
                    <w:tl2br w:val="nil"/>
                    <w:tr2bl w:val="nil"/>
                  </w:tcBorders>
                  <w:vAlign w:val="center"/>
                </w:tcPr>
                <w:p w14:paraId="704E9F57">
                  <w:pPr>
                    <w:pStyle w:val="77"/>
                    <w:adjustRightInd w:val="0"/>
                    <w:snapToGrid w:val="0"/>
                    <w:rPr>
                      <w:rFonts w:ascii="Times New Roman" w:hAnsi="Times New Roman"/>
                      <w:bCs/>
                      <w:color w:val="auto"/>
                    </w:rPr>
                  </w:pPr>
                  <w:r>
                    <w:rPr>
                      <w:rFonts w:ascii="Times New Roman" w:hAnsi="Times New Roman"/>
                      <w:bCs/>
                      <w:color w:val="auto"/>
                    </w:rPr>
                    <w:t>地形地貌</w:t>
                  </w:r>
                </w:p>
              </w:tc>
              <w:tc>
                <w:tcPr>
                  <w:tcW w:w="3202" w:type="dxa"/>
                  <w:tcBorders>
                    <w:tl2br w:val="nil"/>
                    <w:tr2bl w:val="nil"/>
                  </w:tcBorders>
                  <w:vAlign w:val="center"/>
                </w:tcPr>
                <w:p w14:paraId="1343CB76">
                  <w:pPr>
                    <w:adjustRightInd w:val="0"/>
                    <w:snapToGrid w:val="0"/>
                    <w:jc w:val="center"/>
                    <w:rPr>
                      <w:rFonts w:ascii="Times New Roman" w:hAnsi="Times New Roman"/>
                      <w:color w:val="auto"/>
                      <w:szCs w:val="21"/>
                      <w:lang w:eastAsia="en-US"/>
                    </w:rPr>
                  </w:pPr>
                  <w:r>
                    <w:rPr>
                      <w:rFonts w:ascii="Times New Roman" w:hAnsi="Times New Roman"/>
                      <w:color w:val="auto"/>
                      <w:szCs w:val="21"/>
                      <w:lang w:eastAsia="en-US"/>
                    </w:rPr>
                    <w:t>高山10%，山地70%，丘陵20%</w:t>
                  </w:r>
                </w:p>
              </w:tc>
              <w:tc>
                <w:tcPr>
                  <w:tcW w:w="3229" w:type="dxa"/>
                  <w:tcBorders>
                    <w:tl2br w:val="nil"/>
                    <w:tr2bl w:val="nil"/>
                  </w:tcBorders>
                  <w:vAlign w:val="center"/>
                </w:tcPr>
                <w:p w14:paraId="2AE13547">
                  <w:pPr>
                    <w:adjustRightInd w:val="0"/>
                    <w:snapToGrid w:val="0"/>
                    <w:jc w:val="center"/>
                    <w:rPr>
                      <w:rFonts w:ascii="Times New Roman" w:hAnsi="Times New Roman"/>
                      <w:color w:val="auto"/>
                      <w:szCs w:val="21"/>
                      <w:lang w:eastAsia="en-US"/>
                    </w:rPr>
                  </w:pPr>
                  <w:r>
                    <w:rPr>
                      <w:rFonts w:ascii="Times New Roman" w:hAnsi="Times New Roman"/>
                      <w:color w:val="auto"/>
                      <w:szCs w:val="21"/>
                      <w:lang w:eastAsia="en-US"/>
                    </w:rPr>
                    <w:t>高山</w:t>
                  </w:r>
                  <w:r>
                    <w:rPr>
                      <w:rFonts w:hint="eastAsia" w:ascii="Times New Roman" w:hAnsi="Times New Roman"/>
                      <w:color w:val="auto"/>
                      <w:szCs w:val="21"/>
                    </w:rPr>
                    <w:t>2</w:t>
                  </w:r>
                  <w:r>
                    <w:rPr>
                      <w:rFonts w:ascii="Times New Roman" w:hAnsi="Times New Roman"/>
                      <w:color w:val="auto"/>
                      <w:szCs w:val="21"/>
                      <w:lang w:eastAsia="en-US"/>
                    </w:rPr>
                    <w:t>0%，山地70%，丘陵</w:t>
                  </w:r>
                  <w:r>
                    <w:rPr>
                      <w:rFonts w:hint="eastAsia" w:ascii="Times New Roman" w:hAnsi="Times New Roman"/>
                      <w:color w:val="auto"/>
                      <w:szCs w:val="21"/>
                    </w:rPr>
                    <w:t>1</w:t>
                  </w:r>
                  <w:r>
                    <w:rPr>
                      <w:rFonts w:ascii="Times New Roman" w:hAnsi="Times New Roman"/>
                      <w:color w:val="auto"/>
                      <w:szCs w:val="21"/>
                      <w:lang w:eastAsia="en-US"/>
                    </w:rPr>
                    <w:t>0%</w:t>
                  </w:r>
                </w:p>
              </w:tc>
            </w:tr>
            <w:tr w14:paraId="1D2E72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6407B9E2">
                  <w:pPr>
                    <w:pStyle w:val="77"/>
                    <w:adjustRightInd w:val="0"/>
                    <w:snapToGrid w:val="0"/>
                    <w:rPr>
                      <w:rFonts w:ascii="Times New Roman" w:hAnsi="Times New Roman"/>
                      <w:bCs/>
                      <w:color w:val="auto"/>
                    </w:rPr>
                  </w:pPr>
                  <w:r>
                    <w:rPr>
                      <w:rFonts w:ascii="Times New Roman" w:hAnsi="Times New Roman"/>
                      <w:bCs/>
                      <w:color w:val="auto"/>
                    </w:rPr>
                    <w:t>9</w:t>
                  </w:r>
                </w:p>
              </w:tc>
              <w:tc>
                <w:tcPr>
                  <w:tcW w:w="1323" w:type="dxa"/>
                  <w:tcBorders>
                    <w:tl2br w:val="nil"/>
                    <w:tr2bl w:val="nil"/>
                  </w:tcBorders>
                  <w:vAlign w:val="center"/>
                </w:tcPr>
                <w:p w14:paraId="1772F842">
                  <w:pPr>
                    <w:pStyle w:val="77"/>
                    <w:adjustRightInd w:val="0"/>
                    <w:snapToGrid w:val="0"/>
                    <w:rPr>
                      <w:rFonts w:ascii="Times New Roman" w:hAnsi="Times New Roman"/>
                      <w:bCs/>
                      <w:color w:val="auto"/>
                    </w:rPr>
                  </w:pPr>
                  <w:r>
                    <w:rPr>
                      <w:rFonts w:ascii="Times New Roman" w:hAnsi="Times New Roman"/>
                      <w:bCs/>
                      <w:color w:val="auto"/>
                    </w:rPr>
                    <w:t>地层</w:t>
                  </w:r>
                  <w:r>
                    <w:rPr>
                      <w:rFonts w:ascii="Times New Roman" w:hAnsi="Times New Roman"/>
                      <w:color w:val="auto"/>
                    </w:rPr>
                    <w:t>岩性</w:t>
                  </w:r>
                </w:p>
              </w:tc>
              <w:tc>
                <w:tcPr>
                  <w:tcW w:w="3202" w:type="dxa"/>
                  <w:tcBorders>
                    <w:tl2br w:val="nil"/>
                    <w:tr2bl w:val="nil"/>
                  </w:tcBorders>
                  <w:vAlign w:val="center"/>
                </w:tcPr>
                <w:p w14:paraId="30AAB7B2">
                  <w:pPr>
                    <w:adjustRightInd w:val="0"/>
                    <w:snapToGrid w:val="0"/>
                    <w:jc w:val="center"/>
                    <w:rPr>
                      <w:rFonts w:ascii="Times New Roman" w:hAnsi="Times New Roman"/>
                      <w:color w:val="auto"/>
                      <w:szCs w:val="21"/>
                    </w:rPr>
                  </w:pPr>
                  <w:r>
                    <w:rPr>
                      <w:rFonts w:hint="eastAsia" w:ascii="Times New Roman" w:hAnsi="Times New Roman"/>
                      <w:color w:val="auto"/>
                      <w:szCs w:val="21"/>
                    </w:rPr>
                    <w:t>坚土20%，松砂石60%，岩石20%，已避开不良地质地带。</w:t>
                  </w:r>
                </w:p>
              </w:tc>
              <w:tc>
                <w:tcPr>
                  <w:tcW w:w="3229" w:type="dxa"/>
                  <w:tcBorders>
                    <w:tl2br w:val="nil"/>
                    <w:tr2bl w:val="nil"/>
                  </w:tcBorders>
                  <w:vAlign w:val="center"/>
                </w:tcPr>
                <w:p w14:paraId="2055F897">
                  <w:pPr>
                    <w:adjustRightInd w:val="0"/>
                    <w:snapToGrid w:val="0"/>
                    <w:jc w:val="center"/>
                    <w:rPr>
                      <w:rFonts w:ascii="Times New Roman" w:hAnsi="Times New Roman"/>
                      <w:color w:val="auto"/>
                      <w:szCs w:val="21"/>
                    </w:rPr>
                  </w:pPr>
                  <w:r>
                    <w:rPr>
                      <w:rFonts w:ascii="Times New Roman" w:hAnsi="Times New Roman"/>
                      <w:bCs/>
                      <w:color w:val="auto"/>
                      <w:szCs w:val="21"/>
                    </w:rPr>
                    <w:t>普通土10%、坚土25%、松砂石25%、岩石40%，已避开不良地质地带。</w:t>
                  </w:r>
                </w:p>
              </w:tc>
            </w:tr>
            <w:tr w14:paraId="12D1A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19FBBF2C">
                  <w:pPr>
                    <w:pStyle w:val="77"/>
                    <w:adjustRightInd w:val="0"/>
                    <w:snapToGrid w:val="0"/>
                    <w:rPr>
                      <w:rFonts w:ascii="Times New Roman" w:hAnsi="Times New Roman"/>
                      <w:bCs/>
                      <w:color w:val="auto"/>
                    </w:rPr>
                  </w:pPr>
                  <w:r>
                    <w:rPr>
                      <w:rFonts w:ascii="Times New Roman" w:hAnsi="Times New Roman"/>
                      <w:bCs/>
                      <w:color w:val="auto"/>
                    </w:rPr>
                    <w:t>10</w:t>
                  </w:r>
                </w:p>
              </w:tc>
              <w:tc>
                <w:tcPr>
                  <w:tcW w:w="1323" w:type="dxa"/>
                  <w:tcBorders>
                    <w:tl2br w:val="nil"/>
                    <w:tr2bl w:val="nil"/>
                  </w:tcBorders>
                  <w:vAlign w:val="center"/>
                </w:tcPr>
                <w:p w14:paraId="69E1C2FD">
                  <w:pPr>
                    <w:pStyle w:val="77"/>
                    <w:adjustRightInd w:val="0"/>
                    <w:snapToGrid w:val="0"/>
                    <w:rPr>
                      <w:rFonts w:ascii="Times New Roman" w:hAnsi="Times New Roman"/>
                      <w:bCs/>
                      <w:color w:val="auto"/>
                    </w:rPr>
                  </w:pPr>
                  <w:r>
                    <w:rPr>
                      <w:rFonts w:ascii="Times New Roman" w:hAnsi="Times New Roman"/>
                      <w:bCs/>
                      <w:color w:val="auto"/>
                    </w:rPr>
                    <w:t>沿线矿产及设施情况</w:t>
                  </w:r>
                </w:p>
              </w:tc>
              <w:tc>
                <w:tcPr>
                  <w:tcW w:w="3202" w:type="dxa"/>
                  <w:tcBorders>
                    <w:tl2br w:val="nil"/>
                    <w:tr2bl w:val="nil"/>
                  </w:tcBorders>
                  <w:vAlign w:val="center"/>
                </w:tcPr>
                <w:p w14:paraId="1502531B">
                  <w:pPr>
                    <w:adjustRightInd w:val="0"/>
                    <w:snapToGrid w:val="0"/>
                    <w:jc w:val="center"/>
                    <w:rPr>
                      <w:rFonts w:ascii="Times New Roman" w:hAnsi="Times New Roman"/>
                      <w:bCs/>
                      <w:color w:val="auto"/>
                      <w:szCs w:val="21"/>
                    </w:rPr>
                  </w:pPr>
                  <w:r>
                    <w:rPr>
                      <w:rFonts w:ascii="Times New Roman" w:hAnsi="Times New Roman"/>
                      <w:color w:val="auto"/>
                      <w:szCs w:val="21"/>
                    </w:rPr>
                    <w:t>有矿产，已避让</w:t>
                  </w:r>
                </w:p>
              </w:tc>
              <w:tc>
                <w:tcPr>
                  <w:tcW w:w="3229" w:type="dxa"/>
                  <w:tcBorders>
                    <w:tl2br w:val="nil"/>
                    <w:tr2bl w:val="nil"/>
                  </w:tcBorders>
                  <w:vAlign w:val="center"/>
                </w:tcPr>
                <w:p w14:paraId="153AFB91">
                  <w:pPr>
                    <w:adjustRightInd w:val="0"/>
                    <w:snapToGrid w:val="0"/>
                    <w:jc w:val="center"/>
                    <w:rPr>
                      <w:rFonts w:ascii="Times New Roman" w:hAnsi="Times New Roman"/>
                      <w:bCs/>
                      <w:color w:val="auto"/>
                      <w:szCs w:val="21"/>
                    </w:rPr>
                  </w:pPr>
                  <w:r>
                    <w:rPr>
                      <w:rFonts w:ascii="Times New Roman" w:hAnsi="Times New Roman"/>
                      <w:color w:val="auto"/>
                      <w:szCs w:val="21"/>
                    </w:rPr>
                    <w:t>有矿产，已避让</w:t>
                  </w:r>
                </w:p>
              </w:tc>
            </w:tr>
            <w:tr w14:paraId="74A10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10ABBA24">
                  <w:pPr>
                    <w:pStyle w:val="77"/>
                    <w:adjustRightInd w:val="0"/>
                    <w:snapToGrid w:val="0"/>
                    <w:rPr>
                      <w:rFonts w:ascii="Times New Roman" w:hAnsi="Times New Roman"/>
                      <w:bCs/>
                      <w:color w:val="auto"/>
                    </w:rPr>
                  </w:pPr>
                  <w:r>
                    <w:rPr>
                      <w:rFonts w:ascii="Times New Roman" w:hAnsi="Times New Roman"/>
                      <w:bCs/>
                      <w:color w:val="auto"/>
                    </w:rPr>
                    <w:t>11</w:t>
                  </w:r>
                </w:p>
              </w:tc>
              <w:tc>
                <w:tcPr>
                  <w:tcW w:w="1323" w:type="dxa"/>
                  <w:tcBorders>
                    <w:tl2br w:val="nil"/>
                    <w:tr2bl w:val="nil"/>
                  </w:tcBorders>
                  <w:vAlign w:val="center"/>
                </w:tcPr>
                <w:p w14:paraId="2710BC9D">
                  <w:pPr>
                    <w:pStyle w:val="77"/>
                    <w:adjustRightInd w:val="0"/>
                    <w:snapToGrid w:val="0"/>
                    <w:rPr>
                      <w:rFonts w:ascii="Times New Roman" w:hAnsi="Times New Roman"/>
                      <w:bCs/>
                      <w:color w:val="auto"/>
                    </w:rPr>
                  </w:pPr>
                  <w:r>
                    <w:rPr>
                      <w:rFonts w:ascii="Times New Roman" w:hAnsi="Times New Roman"/>
                      <w:bCs/>
                      <w:color w:val="auto"/>
                    </w:rPr>
                    <w:t>设计覆冰厚度</w:t>
                  </w:r>
                </w:p>
              </w:tc>
              <w:tc>
                <w:tcPr>
                  <w:tcW w:w="3202" w:type="dxa"/>
                  <w:tcBorders>
                    <w:tl2br w:val="nil"/>
                    <w:tr2bl w:val="nil"/>
                  </w:tcBorders>
                  <w:vAlign w:val="center"/>
                </w:tcPr>
                <w:p w14:paraId="48209C17">
                  <w:pPr>
                    <w:adjustRightInd w:val="0"/>
                    <w:snapToGrid w:val="0"/>
                    <w:jc w:val="center"/>
                    <w:rPr>
                      <w:rFonts w:ascii="Times New Roman" w:hAnsi="Times New Roman"/>
                      <w:bCs/>
                      <w:color w:val="auto"/>
                      <w:szCs w:val="21"/>
                    </w:rPr>
                  </w:pPr>
                  <w:r>
                    <w:rPr>
                      <w:rFonts w:ascii="Times New Roman" w:hAnsi="Times New Roman"/>
                      <w:bCs/>
                      <w:color w:val="auto"/>
                      <w:szCs w:val="21"/>
                    </w:rPr>
                    <w:t>覆冰</w:t>
                  </w:r>
                  <w:r>
                    <w:rPr>
                      <w:rFonts w:hint="eastAsia" w:ascii="Times New Roman" w:hAnsi="Times New Roman"/>
                      <w:bCs/>
                      <w:color w:val="auto"/>
                      <w:szCs w:val="21"/>
                    </w:rPr>
                    <w:t>10mm、</w:t>
                  </w:r>
                  <w:r>
                    <w:rPr>
                      <w:rFonts w:ascii="Times New Roman" w:hAnsi="Times New Roman"/>
                      <w:bCs/>
                      <w:color w:val="auto"/>
                      <w:szCs w:val="21"/>
                    </w:rPr>
                    <w:t>20mm</w:t>
                  </w:r>
                  <w:r>
                    <w:rPr>
                      <w:rFonts w:hint="eastAsia" w:ascii="Times New Roman" w:hAnsi="Times New Roman"/>
                      <w:bCs/>
                      <w:color w:val="auto"/>
                      <w:szCs w:val="21"/>
                    </w:rPr>
                    <w:t>；25m/s风区</w:t>
                  </w:r>
                </w:p>
              </w:tc>
              <w:tc>
                <w:tcPr>
                  <w:tcW w:w="3229" w:type="dxa"/>
                  <w:tcBorders>
                    <w:tl2br w:val="nil"/>
                    <w:tr2bl w:val="nil"/>
                  </w:tcBorders>
                  <w:vAlign w:val="center"/>
                </w:tcPr>
                <w:p w14:paraId="2610FC05">
                  <w:pPr>
                    <w:adjustRightInd w:val="0"/>
                    <w:snapToGrid w:val="0"/>
                    <w:jc w:val="center"/>
                    <w:rPr>
                      <w:rFonts w:ascii="Times New Roman" w:hAnsi="Times New Roman"/>
                      <w:bCs/>
                      <w:color w:val="auto"/>
                      <w:szCs w:val="21"/>
                    </w:rPr>
                  </w:pPr>
                  <w:r>
                    <w:rPr>
                      <w:rFonts w:ascii="Times New Roman" w:hAnsi="Times New Roman"/>
                      <w:bCs/>
                      <w:color w:val="auto"/>
                      <w:szCs w:val="21"/>
                    </w:rPr>
                    <w:t>覆冰</w:t>
                  </w:r>
                  <w:r>
                    <w:rPr>
                      <w:rFonts w:hint="eastAsia" w:ascii="Times New Roman" w:hAnsi="Times New Roman"/>
                      <w:bCs/>
                      <w:color w:val="auto"/>
                      <w:szCs w:val="21"/>
                    </w:rPr>
                    <w:t>10mm、</w:t>
                  </w:r>
                  <w:r>
                    <w:rPr>
                      <w:rFonts w:ascii="Times New Roman" w:hAnsi="Times New Roman"/>
                      <w:bCs/>
                      <w:color w:val="auto"/>
                      <w:szCs w:val="21"/>
                    </w:rPr>
                    <w:t>20mm</w:t>
                  </w:r>
                  <w:r>
                    <w:rPr>
                      <w:rFonts w:hint="eastAsia" w:ascii="Times New Roman" w:hAnsi="Times New Roman"/>
                      <w:bCs/>
                      <w:color w:val="auto"/>
                      <w:szCs w:val="21"/>
                    </w:rPr>
                    <w:t>；25m/s风区</w:t>
                  </w:r>
                </w:p>
              </w:tc>
            </w:tr>
            <w:tr w14:paraId="7C402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5FB96E8E">
                  <w:pPr>
                    <w:pStyle w:val="77"/>
                    <w:adjustRightInd w:val="0"/>
                    <w:snapToGrid w:val="0"/>
                    <w:rPr>
                      <w:rFonts w:ascii="Times New Roman" w:hAnsi="Times New Roman"/>
                      <w:bCs/>
                      <w:color w:val="auto"/>
                    </w:rPr>
                  </w:pPr>
                  <w:r>
                    <w:rPr>
                      <w:rFonts w:ascii="Times New Roman" w:hAnsi="Times New Roman"/>
                      <w:bCs/>
                      <w:color w:val="auto"/>
                    </w:rPr>
                    <w:t>12</w:t>
                  </w:r>
                </w:p>
              </w:tc>
              <w:tc>
                <w:tcPr>
                  <w:tcW w:w="1323" w:type="dxa"/>
                  <w:tcBorders>
                    <w:tl2br w:val="nil"/>
                    <w:tr2bl w:val="nil"/>
                  </w:tcBorders>
                  <w:vAlign w:val="center"/>
                </w:tcPr>
                <w:p w14:paraId="67D31EEA">
                  <w:pPr>
                    <w:pStyle w:val="77"/>
                    <w:adjustRightInd w:val="0"/>
                    <w:snapToGrid w:val="0"/>
                    <w:rPr>
                      <w:rFonts w:ascii="Times New Roman" w:hAnsi="Times New Roman"/>
                      <w:bCs/>
                      <w:color w:val="auto"/>
                    </w:rPr>
                  </w:pPr>
                  <w:r>
                    <w:rPr>
                      <w:rFonts w:ascii="Times New Roman" w:hAnsi="Times New Roman"/>
                      <w:bCs/>
                      <w:color w:val="auto"/>
                    </w:rPr>
                    <w:t>交叉跨越</w:t>
                  </w:r>
                </w:p>
              </w:tc>
              <w:tc>
                <w:tcPr>
                  <w:tcW w:w="3202" w:type="dxa"/>
                  <w:tcBorders>
                    <w:tl2br w:val="nil"/>
                    <w:tr2bl w:val="nil"/>
                  </w:tcBorders>
                  <w:vAlign w:val="center"/>
                </w:tcPr>
                <w:p w14:paraId="2955F557">
                  <w:pPr>
                    <w:adjustRightInd w:val="0"/>
                    <w:snapToGrid w:val="0"/>
                    <w:jc w:val="center"/>
                    <w:rPr>
                      <w:rFonts w:ascii="Times New Roman" w:hAnsi="Times New Roman"/>
                      <w:bCs/>
                      <w:color w:val="auto"/>
                      <w:szCs w:val="21"/>
                    </w:rPr>
                  </w:pPr>
                  <w:r>
                    <w:rPr>
                      <w:rFonts w:hint="eastAsia" w:ascii="Times New Roman" w:hAnsi="Times New Roman"/>
                      <w:bCs/>
                      <w:color w:val="auto"/>
                      <w:szCs w:val="21"/>
                    </w:rPr>
                    <w:t>跨越10kV鲁珠线T彭家村支线1次、跨越10kV耳落线T石灰窑支线1次、跨越35kV高铁施工专线1次、跨越10kV半山线1次、跨越35kV高铁施工专线1次、跨越35kV高铁施工专线1次、跨越10kV乐业线T螃海冲支线1次、跨越35kV错初线1次、跨越10kV耳落线1次、跨越10kV衡山线T大营支线1次、跨越10kV卡罗线1次、跨越35kV罗布古线1次、跨越G213国道1次</w:t>
                  </w:r>
                </w:p>
              </w:tc>
              <w:tc>
                <w:tcPr>
                  <w:tcW w:w="3229" w:type="dxa"/>
                  <w:tcBorders>
                    <w:tl2br w:val="nil"/>
                    <w:tr2bl w:val="nil"/>
                  </w:tcBorders>
                  <w:vAlign w:val="center"/>
                </w:tcPr>
                <w:p w14:paraId="61B1C785">
                  <w:pPr>
                    <w:adjustRightInd w:val="0"/>
                    <w:snapToGrid w:val="0"/>
                    <w:jc w:val="center"/>
                    <w:rPr>
                      <w:rFonts w:ascii="Times New Roman" w:hAnsi="Times New Roman"/>
                      <w:bCs/>
                      <w:color w:val="auto"/>
                      <w:szCs w:val="21"/>
                    </w:rPr>
                  </w:pPr>
                  <w:r>
                    <w:rPr>
                      <w:rFonts w:hint="eastAsia" w:ascii="Times New Roman" w:hAnsi="Times New Roman"/>
                      <w:bCs/>
                      <w:color w:val="auto"/>
                      <w:szCs w:val="21"/>
                    </w:rPr>
                    <w:t>跨越10kV鲁珠线T彭家村支线1次、跨越10kV耳落线T石灰窑支线1次、跨越35kV高铁施工专线1次、跨越10kV半山线1次、跨越35kV高铁施工专线1次、跨越35kV高铁施工专线1次、跨越10kV乐业线T螃海冲支线1次、跨越35kV错初线1次、跨越10kV耳落线1次、跨越10kV衡山线T大营支线1次、跨越10kV卡罗线1次、跨越35kV罗布古线1次、跨越G213国道1次</w:t>
                  </w:r>
                </w:p>
              </w:tc>
            </w:tr>
            <w:tr w14:paraId="350B8C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450B6A96">
                  <w:pPr>
                    <w:pStyle w:val="77"/>
                    <w:adjustRightInd w:val="0"/>
                    <w:snapToGrid w:val="0"/>
                    <w:rPr>
                      <w:rFonts w:ascii="Times New Roman" w:hAnsi="Times New Roman"/>
                      <w:bCs/>
                      <w:color w:val="auto"/>
                    </w:rPr>
                  </w:pPr>
                  <w:r>
                    <w:rPr>
                      <w:rFonts w:ascii="Times New Roman" w:hAnsi="Times New Roman"/>
                      <w:bCs/>
                      <w:color w:val="auto"/>
                    </w:rPr>
                    <w:t>13</w:t>
                  </w:r>
                </w:p>
              </w:tc>
              <w:tc>
                <w:tcPr>
                  <w:tcW w:w="1323" w:type="dxa"/>
                  <w:tcBorders>
                    <w:tl2br w:val="nil"/>
                    <w:tr2bl w:val="nil"/>
                  </w:tcBorders>
                  <w:vAlign w:val="center"/>
                </w:tcPr>
                <w:p w14:paraId="6204D3A2">
                  <w:pPr>
                    <w:pStyle w:val="77"/>
                    <w:adjustRightInd w:val="0"/>
                    <w:snapToGrid w:val="0"/>
                    <w:rPr>
                      <w:rFonts w:ascii="Times New Roman" w:hAnsi="Times New Roman"/>
                      <w:bCs/>
                      <w:color w:val="auto"/>
                    </w:rPr>
                  </w:pPr>
                  <w:r>
                    <w:rPr>
                      <w:rFonts w:ascii="Times New Roman" w:hAnsi="Times New Roman"/>
                      <w:bCs/>
                      <w:color w:val="auto"/>
                    </w:rPr>
                    <w:t>森林情况</w:t>
                  </w:r>
                </w:p>
              </w:tc>
              <w:tc>
                <w:tcPr>
                  <w:tcW w:w="3202" w:type="dxa"/>
                  <w:tcBorders>
                    <w:tl2br w:val="nil"/>
                    <w:tr2bl w:val="nil"/>
                  </w:tcBorders>
                  <w:vAlign w:val="center"/>
                </w:tcPr>
                <w:p w14:paraId="6E37D134">
                  <w:pPr>
                    <w:adjustRightInd w:val="0"/>
                    <w:snapToGrid w:val="0"/>
                    <w:jc w:val="center"/>
                    <w:rPr>
                      <w:rFonts w:ascii="Times New Roman" w:hAnsi="Times New Roman"/>
                      <w:color w:val="auto"/>
                      <w:szCs w:val="21"/>
                    </w:rPr>
                  </w:pPr>
                  <w:r>
                    <w:rPr>
                      <w:rFonts w:ascii="Times New Roman" w:hAnsi="Times New Roman"/>
                      <w:bCs/>
                      <w:color w:val="auto"/>
                      <w:szCs w:val="21"/>
                    </w:rPr>
                    <w:t>路径所经地带沿线森林覆盖率一般，沿线树种</w:t>
                  </w:r>
                  <w:r>
                    <w:rPr>
                      <w:rFonts w:hint="eastAsia" w:ascii="Times New Roman" w:hAnsi="Times New Roman"/>
                      <w:bCs/>
                      <w:color w:val="auto"/>
                      <w:szCs w:val="21"/>
                    </w:rPr>
                    <w:t>以杂树为主</w:t>
                  </w:r>
                  <w:r>
                    <w:rPr>
                      <w:rFonts w:ascii="Times New Roman" w:hAnsi="Times New Roman"/>
                      <w:bCs/>
                      <w:color w:val="auto"/>
                      <w:szCs w:val="21"/>
                    </w:rPr>
                    <w:t>，树高基本在</w:t>
                  </w:r>
                  <w:r>
                    <w:rPr>
                      <w:rFonts w:hint="eastAsia" w:ascii="Times New Roman" w:hAnsi="Times New Roman"/>
                      <w:bCs/>
                      <w:color w:val="auto"/>
                      <w:szCs w:val="21"/>
                    </w:rPr>
                    <w:t>5</w:t>
                  </w:r>
                  <w:r>
                    <w:rPr>
                      <w:rFonts w:ascii="Times New Roman" w:hAnsi="Times New Roman"/>
                      <w:bCs/>
                      <w:color w:val="auto"/>
                      <w:szCs w:val="21"/>
                    </w:rPr>
                    <w:t>-</w:t>
                  </w:r>
                  <w:r>
                    <w:rPr>
                      <w:rFonts w:hint="eastAsia" w:ascii="Times New Roman" w:hAnsi="Times New Roman"/>
                      <w:bCs/>
                      <w:color w:val="auto"/>
                      <w:szCs w:val="21"/>
                    </w:rPr>
                    <w:t>15</w:t>
                  </w:r>
                  <w:r>
                    <w:rPr>
                      <w:rFonts w:ascii="Times New Roman" w:hAnsi="Times New Roman"/>
                      <w:bCs/>
                      <w:color w:val="auto"/>
                      <w:szCs w:val="21"/>
                    </w:rPr>
                    <w:t>米之间。路径选择对密集林地</w:t>
                  </w:r>
                  <w:r>
                    <w:rPr>
                      <w:rFonts w:hint="eastAsia" w:ascii="Times New Roman" w:hAnsi="Times New Roman"/>
                      <w:bCs/>
                      <w:color w:val="auto"/>
                      <w:szCs w:val="21"/>
                    </w:rPr>
                    <w:t>做</w:t>
                  </w:r>
                  <w:r>
                    <w:rPr>
                      <w:rFonts w:ascii="Times New Roman" w:hAnsi="Times New Roman"/>
                      <w:bCs/>
                      <w:color w:val="auto"/>
                      <w:szCs w:val="21"/>
                    </w:rPr>
                    <w:t>了有效避让，在设计时对必须经过的森林地区和果林将考虑采用高塔进行跨越，以减少对森林的砍伐。</w:t>
                  </w:r>
                </w:p>
              </w:tc>
              <w:tc>
                <w:tcPr>
                  <w:tcW w:w="3229" w:type="dxa"/>
                  <w:tcBorders>
                    <w:tl2br w:val="nil"/>
                    <w:tr2bl w:val="nil"/>
                  </w:tcBorders>
                  <w:vAlign w:val="center"/>
                </w:tcPr>
                <w:p w14:paraId="6E61B28C">
                  <w:pPr>
                    <w:adjustRightInd w:val="0"/>
                    <w:snapToGrid w:val="0"/>
                    <w:jc w:val="center"/>
                    <w:rPr>
                      <w:rFonts w:ascii="Times New Roman" w:hAnsi="Times New Roman"/>
                      <w:color w:val="auto"/>
                      <w:szCs w:val="21"/>
                    </w:rPr>
                  </w:pPr>
                  <w:r>
                    <w:rPr>
                      <w:rFonts w:ascii="Times New Roman" w:hAnsi="Times New Roman"/>
                      <w:bCs/>
                      <w:color w:val="auto"/>
                      <w:szCs w:val="21"/>
                    </w:rPr>
                    <w:t>线路所经地带沿线森林覆盖率一般，沿线树种主要以云南松树、杂树为主，树高基本在5-15米之间。路径选择对密集林地</w:t>
                  </w:r>
                  <w:r>
                    <w:rPr>
                      <w:rFonts w:hint="eastAsia" w:ascii="Times New Roman" w:hAnsi="Times New Roman"/>
                      <w:bCs/>
                      <w:color w:val="auto"/>
                      <w:szCs w:val="21"/>
                    </w:rPr>
                    <w:t>做</w:t>
                  </w:r>
                  <w:r>
                    <w:rPr>
                      <w:rFonts w:ascii="Times New Roman" w:hAnsi="Times New Roman"/>
                      <w:bCs/>
                      <w:color w:val="auto"/>
                      <w:szCs w:val="21"/>
                    </w:rPr>
                    <w:t>了有效避让，在设计时对必须经过的森林地区和果林将考虑采用高塔进行跨越，以减少对森林的砍伐。</w:t>
                  </w:r>
                </w:p>
              </w:tc>
            </w:tr>
            <w:tr w14:paraId="58711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170813C2">
                  <w:pPr>
                    <w:pStyle w:val="77"/>
                    <w:adjustRightInd w:val="0"/>
                    <w:snapToGrid w:val="0"/>
                    <w:rPr>
                      <w:rFonts w:ascii="Times New Roman" w:hAnsi="Times New Roman"/>
                      <w:bCs/>
                      <w:color w:val="auto"/>
                    </w:rPr>
                  </w:pPr>
                  <w:r>
                    <w:rPr>
                      <w:rFonts w:ascii="Times New Roman" w:hAnsi="Times New Roman"/>
                      <w:bCs/>
                      <w:color w:val="auto"/>
                    </w:rPr>
                    <w:t>14</w:t>
                  </w:r>
                </w:p>
              </w:tc>
              <w:tc>
                <w:tcPr>
                  <w:tcW w:w="1323" w:type="dxa"/>
                  <w:tcBorders>
                    <w:tl2br w:val="nil"/>
                    <w:tr2bl w:val="nil"/>
                  </w:tcBorders>
                  <w:shd w:val="clear" w:color="auto" w:fill="auto"/>
                  <w:vAlign w:val="center"/>
                </w:tcPr>
                <w:p w14:paraId="2BEAAED4">
                  <w:pPr>
                    <w:pStyle w:val="77"/>
                    <w:adjustRightInd w:val="0"/>
                    <w:snapToGrid w:val="0"/>
                    <w:rPr>
                      <w:rFonts w:ascii="Times New Roman" w:hAnsi="Times New Roman"/>
                      <w:bCs/>
                      <w:color w:val="auto"/>
                    </w:rPr>
                  </w:pPr>
                  <w:r>
                    <w:rPr>
                      <w:rFonts w:ascii="Times New Roman" w:hAnsi="Times New Roman"/>
                      <w:bCs/>
                      <w:color w:val="auto"/>
                    </w:rPr>
                    <w:t>交通运输条件</w:t>
                  </w:r>
                </w:p>
              </w:tc>
              <w:tc>
                <w:tcPr>
                  <w:tcW w:w="3202" w:type="dxa"/>
                  <w:tcBorders>
                    <w:tl2br w:val="nil"/>
                    <w:tr2bl w:val="nil"/>
                  </w:tcBorders>
                  <w:shd w:val="clear" w:color="auto" w:fill="auto"/>
                  <w:vAlign w:val="center"/>
                </w:tcPr>
                <w:p w14:paraId="6541BB14">
                  <w:pPr>
                    <w:pStyle w:val="77"/>
                    <w:adjustRightInd w:val="0"/>
                    <w:snapToGrid w:val="0"/>
                    <w:rPr>
                      <w:rFonts w:ascii="Times New Roman" w:hAnsi="Times New Roman"/>
                      <w:bCs/>
                      <w:color w:val="auto"/>
                    </w:rPr>
                  </w:pPr>
                  <w:r>
                    <w:rPr>
                      <w:rFonts w:ascii="Times New Roman" w:hAnsi="Times New Roman"/>
                      <w:bCs/>
                      <w:color w:val="auto"/>
                    </w:rPr>
                    <w:t>沿线有乡镇道路及村寨砼路面，杆塔位有大部分山间小路，交通条件一般，汽车运距20km。</w:t>
                  </w:r>
                </w:p>
              </w:tc>
              <w:tc>
                <w:tcPr>
                  <w:tcW w:w="3229" w:type="dxa"/>
                  <w:tcBorders>
                    <w:tl2br w:val="nil"/>
                    <w:tr2bl w:val="nil"/>
                  </w:tcBorders>
                  <w:shd w:val="clear" w:color="auto" w:fill="auto"/>
                  <w:vAlign w:val="center"/>
                </w:tcPr>
                <w:p w14:paraId="25B2D3B8">
                  <w:pPr>
                    <w:pStyle w:val="77"/>
                    <w:adjustRightInd w:val="0"/>
                    <w:snapToGrid w:val="0"/>
                    <w:rPr>
                      <w:rFonts w:ascii="Times New Roman" w:hAnsi="Times New Roman"/>
                      <w:bCs/>
                      <w:color w:val="auto"/>
                    </w:rPr>
                  </w:pPr>
                  <w:r>
                    <w:rPr>
                      <w:rFonts w:ascii="Times New Roman" w:hAnsi="Times New Roman"/>
                      <w:bCs/>
                      <w:color w:val="auto"/>
                    </w:rPr>
                    <w:t>沿线有乡镇道路及村寨砼路面，杆塔位有大部分山间小路，交通条件一般，汽车运距20km。</w:t>
                  </w:r>
                </w:p>
              </w:tc>
            </w:tr>
            <w:tr w14:paraId="1C7B9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04B6B621">
                  <w:pPr>
                    <w:pStyle w:val="77"/>
                    <w:adjustRightInd w:val="0"/>
                    <w:snapToGrid w:val="0"/>
                    <w:rPr>
                      <w:rFonts w:ascii="Times New Roman" w:hAnsi="Times New Roman"/>
                      <w:bCs/>
                      <w:color w:val="auto"/>
                    </w:rPr>
                  </w:pPr>
                  <w:r>
                    <w:rPr>
                      <w:rFonts w:ascii="Times New Roman" w:hAnsi="Times New Roman"/>
                      <w:bCs/>
                      <w:color w:val="auto"/>
                    </w:rPr>
                    <w:t>15</w:t>
                  </w:r>
                </w:p>
              </w:tc>
              <w:tc>
                <w:tcPr>
                  <w:tcW w:w="1323" w:type="dxa"/>
                  <w:tcBorders>
                    <w:tl2br w:val="nil"/>
                    <w:tr2bl w:val="nil"/>
                  </w:tcBorders>
                  <w:shd w:val="clear" w:color="auto" w:fill="auto"/>
                  <w:vAlign w:val="center"/>
                </w:tcPr>
                <w:p w14:paraId="7075CB8E">
                  <w:pPr>
                    <w:pStyle w:val="77"/>
                    <w:adjustRightInd w:val="0"/>
                    <w:snapToGrid w:val="0"/>
                    <w:rPr>
                      <w:rFonts w:ascii="Times New Roman" w:hAnsi="Times New Roman"/>
                      <w:bCs/>
                      <w:color w:val="auto"/>
                    </w:rPr>
                  </w:pPr>
                  <w:r>
                    <w:rPr>
                      <w:rFonts w:ascii="Times New Roman" w:hAnsi="Times New Roman"/>
                      <w:bCs/>
                      <w:color w:val="auto"/>
                    </w:rPr>
                    <w:t>施工及运行维护条件</w:t>
                  </w:r>
                </w:p>
              </w:tc>
              <w:tc>
                <w:tcPr>
                  <w:tcW w:w="3202" w:type="dxa"/>
                  <w:tcBorders>
                    <w:tl2br w:val="nil"/>
                    <w:tr2bl w:val="nil"/>
                  </w:tcBorders>
                  <w:shd w:val="clear" w:color="auto" w:fill="auto"/>
                  <w:vAlign w:val="center"/>
                </w:tcPr>
                <w:p w14:paraId="720EEFEF">
                  <w:pPr>
                    <w:pStyle w:val="77"/>
                    <w:adjustRightInd w:val="0"/>
                    <w:snapToGrid w:val="0"/>
                    <w:rPr>
                      <w:rFonts w:ascii="Times New Roman" w:hAnsi="Times New Roman"/>
                      <w:bCs/>
                      <w:color w:val="auto"/>
                    </w:rPr>
                  </w:pPr>
                  <w:r>
                    <w:rPr>
                      <w:rFonts w:ascii="Times New Roman" w:hAnsi="Times New Roman"/>
                      <w:bCs/>
                      <w:color w:val="auto"/>
                    </w:rPr>
                    <w:t>线路所经区域森林覆盖较广，</w:t>
                  </w:r>
                  <w:r>
                    <w:rPr>
                      <w:rFonts w:hint="eastAsia" w:ascii="Times New Roman" w:hAnsi="Times New Roman"/>
                      <w:bCs/>
                      <w:color w:val="auto"/>
                    </w:rPr>
                    <w:t>施工</w:t>
                  </w:r>
                  <w:r>
                    <w:rPr>
                      <w:rFonts w:ascii="Times New Roman" w:hAnsi="Times New Roman"/>
                      <w:bCs/>
                      <w:color w:val="auto"/>
                    </w:rPr>
                    <w:t>及运行维护较为困难，沿线所经地区树木较多，少部分需砍伐。</w:t>
                  </w:r>
                </w:p>
              </w:tc>
              <w:tc>
                <w:tcPr>
                  <w:tcW w:w="3229" w:type="dxa"/>
                  <w:tcBorders>
                    <w:tl2br w:val="nil"/>
                    <w:tr2bl w:val="nil"/>
                  </w:tcBorders>
                  <w:shd w:val="clear" w:color="auto" w:fill="auto"/>
                  <w:vAlign w:val="center"/>
                </w:tcPr>
                <w:p w14:paraId="42178CA6">
                  <w:pPr>
                    <w:pStyle w:val="77"/>
                    <w:adjustRightInd w:val="0"/>
                    <w:snapToGrid w:val="0"/>
                    <w:rPr>
                      <w:rFonts w:ascii="Times New Roman" w:hAnsi="Times New Roman"/>
                      <w:bCs/>
                      <w:color w:val="auto"/>
                    </w:rPr>
                  </w:pPr>
                  <w:r>
                    <w:rPr>
                      <w:rFonts w:ascii="Times New Roman" w:hAnsi="Times New Roman"/>
                      <w:bCs/>
                      <w:color w:val="auto"/>
                    </w:rPr>
                    <w:t>线路所经区域森林覆盖较广，</w:t>
                  </w:r>
                  <w:r>
                    <w:rPr>
                      <w:rFonts w:hint="eastAsia" w:ascii="Times New Roman" w:hAnsi="Times New Roman"/>
                      <w:bCs/>
                      <w:color w:val="auto"/>
                    </w:rPr>
                    <w:t>施工</w:t>
                  </w:r>
                  <w:r>
                    <w:rPr>
                      <w:rFonts w:ascii="Times New Roman" w:hAnsi="Times New Roman"/>
                      <w:bCs/>
                      <w:color w:val="auto"/>
                    </w:rPr>
                    <w:t>及运行维护较为困难，沿线所经地区树木较多，少部分需砍伐。</w:t>
                  </w:r>
                </w:p>
              </w:tc>
            </w:tr>
            <w:tr w14:paraId="6826CF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4CE8535A">
                  <w:pPr>
                    <w:pStyle w:val="77"/>
                    <w:adjustRightInd w:val="0"/>
                    <w:snapToGrid w:val="0"/>
                    <w:rPr>
                      <w:rFonts w:ascii="Times New Roman" w:hAnsi="Times New Roman"/>
                      <w:bCs/>
                      <w:color w:val="auto"/>
                    </w:rPr>
                  </w:pPr>
                  <w:r>
                    <w:rPr>
                      <w:rFonts w:ascii="Times New Roman" w:hAnsi="Times New Roman"/>
                      <w:bCs/>
                      <w:color w:val="auto"/>
                    </w:rPr>
                    <w:t>16</w:t>
                  </w:r>
                </w:p>
              </w:tc>
              <w:tc>
                <w:tcPr>
                  <w:tcW w:w="1323" w:type="dxa"/>
                  <w:tcBorders>
                    <w:tl2br w:val="nil"/>
                    <w:tr2bl w:val="nil"/>
                  </w:tcBorders>
                  <w:vAlign w:val="center"/>
                </w:tcPr>
                <w:p w14:paraId="07D2925E">
                  <w:pPr>
                    <w:pStyle w:val="77"/>
                    <w:adjustRightInd w:val="0"/>
                    <w:snapToGrid w:val="0"/>
                    <w:rPr>
                      <w:rFonts w:ascii="Times New Roman" w:hAnsi="Times New Roman"/>
                      <w:bCs/>
                      <w:color w:val="auto"/>
                    </w:rPr>
                  </w:pPr>
                  <w:r>
                    <w:rPr>
                      <w:rFonts w:ascii="Times New Roman" w:hAnsi="Times New Roman"/>
                      <w:bCs/>
                      <w:color w:val="auto"/>
                    </w:rPr>
                    <w:t>水环境影响</w:t>
                  </w:r>
                </w:p>
              </w:tc>
              <w:tc>
                <w:tcPr>
                  <w:tcW w:w="3202" w:type="dxa"/>
                  <w:tcBorders>
                    <w:tl2br w:val="nil"/>
                    <w:tr2bl w:val="nil"/>
                  </w:tcBorders>
                  <w:vAlign w:val="center"/>
                </w:tcPr>
                <w:p w14:paraId="3445DE7D">
                  <w:pPr>
                    <w:pStyle w:val="77"/>
                    <w:adjustRightInd w:val="0"/>
                    <w:snapToGrid w:val="0"/>
                    <w:rPr>
                      <w:rFonts w:ascii="Times New Roman" w:hAnsi="Times New Roman"/>
                      <w:bCs/>
                      <w:color w:val="auto"/>
                    </w:rPr>
                  </w:pPr>
                  <w:r>
                    <w:rPr>
                      <w:rFonts w:hint="eastAsia" w:ascii="Times New Roman" w:hAnsi="Times New Roman"/>
                      <w:bCs/>
                      <w:color w:val="auto"/>
                    </w:rPr>
                    <w:t>不涉及</w:t>
                  </w:r>
                  <w:r>
                    <w:rPr>
                      <w:rFonts w:ascii="Times New Roman" w:hAnsi="Times New Roman"/>
                      <w:bCs/>
                      <w:color w:val="auto"/>
                    </w:rPr>
                    <w:t>饮用水水源地</w:t>
                  </w:r>
                  <w:r>
                    <w:rPr>
                      <w:rFonts w:hint="eastAsia" w:ascii="Times New Roman" w:hAnsi="Times New Roman"/>
                      <w:bCs/>
                      <w:color w:val="auto"/>
                    </w:rPr>
                    <w:t>保护区；跨越六河、龚家冲小河、酸梨树大箐（后河）、西沙冲、卡子河1次，不在水中立塔</w:t>
                  </w:r>
                </w:p>
              </w:tc>
              <w:tc>
                <w:tcPr>
                  <w:tcW w:w="3229" w:type="dxa"/>
                  <w:tcBorders>
                    <w:tl2br w:val="nil"/>
                    <w:tr2bl w:val="nil"/>
                  </w:tcBorders>
                  <w:vAlign w:val="center"/>
                </w:tcPr>
                <w:p w14:paraId="7775400B">
                  <w:pPr>
                    <w:pStyle w:val="77"/>
                    <w:adjustRightInd w:val="0"/>
                    <w:snapToGrid w:val="0"/>
                    <w:rPr>
                      <w:rFonts w:ascii="Times New Roman" w:hAnsi="Times New Roman"/>
                      <w:bCs/>
                      <w:color w:val="auto"/>
                    </w:rPr>
                  </w:pPr>
                  <w:r>
                    <w:rPr>
                      <w:rFonts w:hint="eastAsia" w:ascii="Times New Roman" w:hAnsi="Times New Roman"/>
                      <w:bCs/>
                      <w:color w:val="auto"/>
                    </w:rPr>
                    <w:t>不涉及</w:t>
                  </w:r>
                  <w:r>
                    <w:rPr>
                      <w:rFonts w:hint="eastAsia" w:ascii="Times New Roman" w:hAnsi="Times New Roman"/>
                      <w:bCs/>
                      <w:color w:val="auto"/>
                      <w:lang w:eastAsia="zh-CN"/>
                    </w:rPr>
                    <w:t>饮用水水源保护区</w:t>
                  </w:r>
                  <w:r>
                    <w:rPr>
                      <w:rFonts w:hint="eastAsia" w:ascii="Times New Roman" w:hAnsi="Times New Roman"/>
                      <w:bCs/>
                      <w:color w:val="auto"/>
                    </w:rPr>
                    <w:t>；跨越六河、龚家冲小河、酸梨树大箐（后河）、西沙冲、卡子河次，不在水中立塔</w:t>
                  </w:r>
                </w:p>
              </w:tc>
            </w:tr>
            <w:tr w14:paraId="311B8A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33F8CB47">
                  <w:pPr>
                    <w:pStyle w:val="77"/>
                    <w:adjustRightInd w:val="0"/>
                    <w:snapToGrid w:val="0"/>
                    <w:rPr>
                      <w:rFonts w:ascii="Times New Roman" w:hAnsi="Times New Roman"/>
                      <w:bCs/>
                      <w:color w:val="auto"/>
                    </w:rPr>
                  </w:pPr>
                  <w:r>
                    <w:rPr>
                      <w:rFonts w:ascii="Times New Roman" w:hAnsi="Times New Roman"/>
                      <w:bCs/>
                      <w:color w:val="auto"/>
                    </w:rPr>
                    <w:t>17</w:t>
                  </w:r>
                </w:p>
              </w:tc>
              <w:tc>
                <w:tcPr>
                  <w:tcW w:w="1323" w:type="dxa"/>
                  <w:tcBorders>
                    <w:tl2br w:val="nil"/>
                    <w:tr2bl w:val="nil"/>
                  </w:tcBorders>
                  <w:vAlign w:val="center"/>
                </w:tcPr>
                <w:p w14:paraId="6A9B3091">
                  <w:pPr>
                    <w:pStyle w:val="77"/>
                    <w:adjustRightInd w:val="0"/>
                    <w:snapToGrid w:val="0"/>
                    <w:rPr>
                      <w:rFonts w:ascii="Times New Roman" w:hAnsi="Times New Roman"/>
                      <w:bCs/>
                      <w:color w:val="auto"/>
                    </w:rPr>
                  </w:pPr>
                  <w:r>
                    <w:rPr>
                      <w:rFonts w:ascii="Times New Roman" w:hAnsi="Times New Roman"/>
                      <w:bCs/>
                      <w:color w:val="auto"/>
                    </w:rPr>
                    <w:t>大气环境</w:t>
                  </w:r>
                </w:p>
              </w:tc>
              <w:tc>
                <w:tcPr>
                  <w:tcW w:w="3202" w:type="dxa"/>
                  <w:tcBorders>
                    <w:tl2br w:val="nil"/>
                    <w:tr2bl w:val="nil"/>
                  </w:tcBorders>
                  <w:shd w:val="clear" w:color="auto" w:fill="auto"/>
                  <w:vAlign w:val="center"/>
                </w:tcPr>
                <w:p w14:paraId="5EA31958">
                  <w:pPr>
                    <w:pStyle w:val="77"/>
                    <w:adjustRightInd w:val="0"/>
                    <w:snapToGrid w:val="0"/>
                    <w:rPr>
                      <w:rFonts w:ascii="Times New Roman" w:hAnsi="Times New Roman"/>
                      <w:bCs/>
                      <w:color w:val="auto"/>
                    </w:rPr>
                  </w:pPr>
                  <w:r>
                    <w:rPr>
                      <w:rFonts w:ascii="Times New Roman" w:hAnsi="Times New Roman"/>
                      <w:bCs/>
                      <w:color w:val="auto"/>
                    </w:rPr>
                    <w:t>居民点</w:t>
                  </w:r>
                  <w:r>
                    <w:rPr>
                      <w:rFonts w:hint="eastAsia" w:ascii="Times New Roman" w:hAnsi="Times New Roman"/>
                      <w:bCs/>
                      <w:color w:val="auto"/>
                    </w:rPr>
                    <w:t>7</w:t>
                  </w:r>
                  <w:r>
                    <w:rPr>
                      <w:rFonts w:ascii="Times New Roman" w:hAnsi="Times New Roman"/>
                      <w:bCs/>
                      <w:color w:val="auto"/>
                    </w:rPr>
                    <w:t>个</w:t>
                  </w:r>
                </w:p>
              </w:tc>
              <w:tc>
                <w:tcPr>
                  <w:tcW w:w="3229" w:type="dxa"/>
                  <w:tcBorders>
                    <w:tl2br w:val="nil"/>
                    <w:tr2bl w:val="nil"/>
                  </w:tcBorders>
                  <w:shd w:val="clear" w:color="auto" w:fill="auto"/>
                  <w:vAlign w:val="center"/>
                </w:tcPr>
                <w:p w14:paraId="321029AC">
                  <w:pPr>
                    <w:pStyle w:val="77"/>
                    <w:adjustRightInd w:val="0"/>
                    <w:snapToGrid w:val="0"/>
                    <w:rPr>
                      <w:rFonts w:ascii="Times New Roman" w:hAnsi="Times New Roman"/>
                      <w:bCs/>
                      <w:color w:val="auto"/>
                    </w:rPr>
                  </w:pPr>
                  <w:r>
                    <w:rPr>
                      <w:rFonts w:ascii="Times New Roman" w:hAnsi="Times New Roman"/>
                      <w:bCs/>
                      <w:color w:val="auto"/>
                    </w:rPr>
                    <w:t>居民点</w:t>
                  </w:r>
                  <w:r>
                    <w:rPr>
                      <w:rFonts w:hint="eastAsia" w:ascii="Times New Roman" w:hAnsi="Times New Roman"/>
                      <w:bCs/>
                      <w:color w:val="auto"/>
                    </w:rPr>
                    <w:t>9</w:t>
                  </w:r>
                  <w:r>
                    <w:rPr>
                      <w:rFonts w:ascii="Times New Roman" w:hAnsi="Times New Roman"/>
                      <w:bCs/>
                      <w:color w:val="auto"/>
                    </w:rPr>
                    <w:t>个</w:t>
                  </w:r>
                </w:p>
              </w:tc>
            </w:tr>
            <w:tr w14:paraId="54BA1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tcBorders>
                    <w:tl2br w:val="nil"/>
                    <w:tr2bl w:val="nil"/>
                  </w:tcBorders>
                  <w:vAlign w:val="center"/>
                </w:tcPr>
                <w:p w14:paraId="088E8A8D">
                  <w:pPr>
                    <w:pStyle w:val="77"/>
                    <w:adjustRightInd w:val="0"/>
                    <w:snapToGrid w:val="0"/>
                    <w:rPr>
                      <w:rFonts w:ascii="Times New Roman" w:hAnsi="Times New Roman"/>
                      <w:bCs/>
                      <w:color w:val="auto"/>
                    </w:rPr>
                  </w:pPr>
                  <w:r>
                    <w:rPr>
                      <w:rFonts w:ascii="Times New Roman" w:hAnsi="Times New Roman"/>
                      <w:bCs/>
                      <w:color w:val="auto"/>
                    </w:rPr>
                    <w:t>18</w:t>
                  </w:r>
                </w:p>
              </w:tc>
              <w:tc>
                <w:tcPr>
                  <w:tcW w:w="1323" w:type="dxa"/>
                  <w:tcBorders>
                    <w:tl2br w:val="nil"/>
                    <w:tr2bl w:val="nil"/>
                  </w:tcBorders>
                  <w:vAlign w:val="center"/>
                </w:tcPr>
                <w:p w14:paraId="5F65FB0B">
                  <w:pPr>
                    <w:pStyle w:val="77"/>
                    <w:adjustRightInd w:val="0"/>
                    <w:snapToGrid w:val="0"/>
                    <w:rPr>
                      <w:rFonts w:ascii="Times New Roman" w:hAnsi="Times New Roman"/>
                      <w:bCs/>
                      <w:color w:val="auto"/>
                    </w:rPr>
                  </w:pPr>
                  <w:r>
                    <w:rPr>
                      <w:rFonts w:ascii="Times New Roman" w:hAnsi="Times New Roman"/>
                      <w:bCs/>
                      <w:color w:val="auto"/>
                    </w:rPr>
                    <w:t>噪声、电磁环境</w:t>
                  </w:r>
                </w:p>
              </w:tc>
              <w:tc>
                <w:tcPr>
                  <w:tcW w:w="3202" w:type="dxa"/>
                  <w:tcBorders>
                    <w:tl2br w:val="nil"/>
                    <w:tr2bl w:val="nil"/>
                  </w:tcBorders>
                  <w:vAlign w:val="center"/>
                </w:tcPr>
                <w:p w14:paraId="665CBB32">
                  <w:pPr>
                    <w:pStyle w:val="77"/>
                    <w:adjustRightInd w:val="0"/>
                    <w:snapToGrid w:val="0"/>
                    <w:rPr>
                      <w:rFonts w:ascii="Times New Roman" w:hAnsi="Times New Roman"/>
                      <w:bCs/>
                      <w:color w:val="auto"/>
                    </w:rPr>
                  </w:pPr>
                  <w:r>
                    <w:rPr>
                      <w:rFonts w:ascii="Times New Roman" w:hAnsi="Times New Roman"/>
                      <w:bCs/>
                      <w:color w:val="auto"/>
                    </w:rPr>
                    <w:t>电磁、噪声保护目标</w:t>
                  </w:r>
                  <w:r>
                    <w:rPr>
                      <w:rFonts w:hint="eastAsia" w:ascii="Times New Roman" w:hAnsi="Times New Roman"/>
                      <w:bCs/>
                      <w:color w:val="auto"/>
                    </w:rPr>
                    <w:t>7个</w:t>
                  </w:r>
                </w:p>
              </w:tc>
              <w:tc>
                <w:tcPr>
                  <w:tcW w:w="3229" w:type="dxa"/>
                  <w:tcBorders>
                    <w:tl2br w:val="nil"/>
                    <w:tr2bl w:val="nil"/>
                  </w:tcBorders>
                  <w:vAlign w:val="center"/>
                </w:tcPr>
                <w:p w14:paraId="0E866414">
                  <w:pPr>
                    <w:pStyle w:val="77"/>
                    <w:adjustRightInd w:val="0"/>
                    <w:snapToGrid w:val="0"/>
                    <w:rPr>
                      <w:rFonts w:ascii="Times New Roman" w:hAnsi="Times New Roman"/>
                      <w:color w:val="auto"/>
                    </w:rPr>
                  </w:pPr>
                  <w:r>
                    <w:rPr>
                      <w:rFonts w:ascii="Times New Roman" w:hAnsi="Times New Roman"/>
                      <w:color w:val="auto"/>
                    </w:rPr>
                    <w:t>电磁、噪声保护目标</w:t>
                  </w:r>
                  <w:r>
                    <w:rPr>
                      <w:rFonts w:hint="eastAsia" w:ascii="Times New Roman" w:hAnsi="Times New Roman"/>
                      <w:color w:val="auto"/>
                    </w:rPr>
                    <w:t>9个</w:t>
                  </w:r>
                </w:p>
              </w:tc>
            </w:tr>
            <w:tr w14:paraId="6D523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6" w:type="dxa"/>
                  <w:tcBorders>
                    <w:tl2br w:val="nil"/>
                    <w:tr2bl w:val="nil"/>
                  </w:tcBorders>
                  <w:vAlign w:val="center"/>
                </w:tcPr>
                <w:p w14:paraId="0125873E">
                  <w:pPr>
                    <w:pStyle w:val="77"/>
                    <w:adjustRightInd w:val="0"/>
                    <w:snapToGrid w:val="0"/>
                    <w:rPr>
                      <w:rFonts w:ascii="Times New Roman" w:hAnsi="Times New Roman"/>
                      <w:bCs/>
                      <w:color w:val="auto"/>
                    </w:rPr>
                  </w:pPr>
                  <w:r>
                    <w:rPr>
                      <w:rFonts w:ascii="Times New Roman" w:hAnsi="Times New Roman"/>
                      <w:bCs/>
                      <w:color w:val="auto"/>
                    </w:rPr>
                    <w:t>19</w:t>
                  </w:r>
                </w:p>
              </w:tc>
              <w:tc>
                <w:tcPr>
                  <w:tcW w:w="1323" w:type="dxa"/>
                  <w:tcBorders>
                    <w:tl2br w:val="nil"/>
                    <w:tr2bl w:val="nil"/>
                  </w:tcBorders>
                  <w:shd w:val="clear" w:color="auto" w:fill="auto"/>
                  <w:vAlign w:val="center"/>
                </w:tcPr>
                <w:p w14:paraId="17C1F54C">
                  <w:pPr>
                    <w:pStyle w:val="77"/>
                    <w:adjustRightInd w:val="0"/>
                    <w:snapToGrid w:val="0"/>
                    <w:rPr>
                      <w:rFonts w:ascii="Times New Roman" w:hAnsi="Times New Roman"/>
                      <w:bCs/>
                      <w:color w:val="auto"/>
                    </w:rPr>
                  </w:pPr>
                  <w:r>
                    <w:rPr>
                      <w:rFonts w:ascii="Times New Roman" w:hAnsi="Times New Roman"/>
                      <w:bCs/>
                      <w:color w:val="auto"/>
                    </w:rPr>
                    <w:t>占地及敏感区</w:t>
                  </w:r>
                </w:p>
              </w:tc>
              <w:tc>
                <w:tcPr>
                  <w:tcW w:w="3202" w:type="dxa"/>
                  <w:tcBorders>
                    <w:tl2br w:val="nil"/>
                    <w:tr2bl w:val="nil"/>
                  </w:tcBorders>
                  <w:shd w:val="clear" w:color="auto" w:fill="auto"/>
                  <w:vAlign w:val="center"/>
                </w:tcPr>
                <w:p w14:paraId="06EC18B1">
                  <w:pPr>
                    <w:pStyle w:val="77"/>
                    <w:adjustRightInd w:val="0"/>
                    <w:snapToGrid w:val="0"/>
                    <w:rPr>
                      <w:rFonts w:ascii="Times New Roman" w:hAnsi="Times New Roman"/>
                      <w:bCs/>
                      <w:color w:val="auto"/>
                    </w:rPr>
                  </w:pPr>
                  <w:r>
                    <w:rPr>
                      <w:rFonts w:ascii="Times New Roman" w:hAnsi="Times New Roman"/>
                      <w:bCs/>
                      <w:color w:val="auto"/>
                    </w:rPr>
                    <w:t>永久占地0.</w:t>
                  </w:r>
                  <w:r>
                    <w:rPr>
                      <w:rFonts w:hint="eastAsia" w:ascii="Times New Roman" w:hAnsi="Times New Roman"/>
                      <w:bCs/>
                      <w:color w:val="auto"/>
                    </w:rPr>
                    <w:t>38</w:t>
                  </w:r>
                  <w:r>
                    <w:rPr>
                      <w:rFonts w:ascii="Times New Roman" w:hAnsi="Times New Roman"/>
                      <w:bCs/>
                      <w:color w:val="auto"/>
                    </w:rPr>
                    <w:t>hm</w:t>
                  </w:r>
                  <w:r>
                    <w:rPr>
                      <w:rFonts w:ascii="Times New Roman" w:hAnsi="Times New Roman"/>
                      <w:bCs/>
                      <w:color w:val="auto"/>
                      <w:vertAlign w:val="superscript"/>
                    </w:rPr>
                    <w:t>2</w:t>
                  </w:r>
                  <w:r>
                    <w:rPr>
                      <w:rFonts w:ascii="Times New Roman" w:hAnsi="Times New Roman"/>
                      <w:bCs/>
                      <w:color w:val="auto"/>
                    </w:rPr>
                    <w:t>，不涉及自然保护区、风景名胜区等敏感区</w:t>
                  </w:r>
                </w:p>
              </w:tc>
              <w:tc>
                <w:tcPr>
                  <w:tcW w:w="3229" w:type="dxa"/>
                  <w:tcBorders>
                    <w:tl2br w:val="nil"/>
                    <w:tr2bl w:val="nil"/>
                  </w:tcBorders>
                  <w:shd w:val="clear" w:color="auto" w:fill="auto"/>
                  <w:vAlign w:val="center"/>
                </w:tcPr>
                <w:p w14:paraId="2A7BE022">
                  <w:pPr>
                    <w:pStyle w:val="77"/>
                    <w:adjustRightInd w:val="0"/>
                    <w:snapToGrid w:val="0"/>
                    <w:rPr>
                      <w:rFonts w:ascii="Times New Roman" w:hAnsi="Times New Roman"/>
                      <w:color w:val="auto"/>
                    </w:rPr>
                  </w:pPr>
                  <w:r>
                    <w:rPr>
                      <w:rFonts w:ascii="Times New Roman" w:hAnsi="Times New Roman"/>
                      <w:bCs/>
                      <w:color w:val="auto"/>
                    </w:rPr>
                    <w:t>永久占地面积0.</w:t>
                  </w:r>
                  <w:r>
                    <w:rPr>
                      <w:rFonts w:hint="eastAsia" w:ascii="Times New Roman" w:hAnsi="Times New Roman"/>
                      <w:bCs/>
                      <w:color w:val="auto"/>
                    </w:rPr>
                    <w:t>41</w:t>
                  </w:r>
                  <w:r>
                    <w:rPr>
                      <w:rFonts w:ascii="Times New Roman" w:hAnsi="Times New Roman"/>
                      <w:bCs/>
                      <w:color w:val="auto"/>
                    </w:rPr>
                    <w:t>hm</w:t>
                  </w:r>
                  <w:r>
                    <w:rPr>
                      <w:rFonts w:ascii="Times New Roman" w:hAnsi="Times New Roman"/>
                      <w:bCs/>
                      <w:color w:val="auto"/>
                      <w:vertAlign w:val="superscript"/>
                    </w:rPr>
                    <w:t>2</w:t>
                  </w:r>
                  <w:r>
                    <w:rPr>
                      <w:rFonts w:ascii="Times New Roman" w:hAnsi="Times New Roman"/>
                      <w:bCs/>
                      <w:color w:val="auto"/>
                    </w:rPr>
                    <w:t>，不涉及自然保护区、风景名胜区等敏感区</w:t>
                  </w:r>
                </w:p>
              </w:tc>
            </w:tr>
            <w:tr w14:paraId="30FB9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959" w:type="dxa"/>
                  <w:gridSpan w:val="2"/>
                  <w:tcBorders>
                    <w:tl2br w:val="nil"/>
                    <w:tr2bl w:val="nil"/>
                  </w:tcBorders>
                  <w:vAlign w:val="center"/>
                </w:tcPr>
                <w:p w14:paraId="0757E3DF">
                  <w:pPr>
                    <w:pStyle w:val="77"/>
                    <w:adjustRightInd w:val="0"/>
                    <w:snapToGrid w:val="0"/>
                    <w:rPr>
                      <w:rFonts w:ascii="Times New Roman" w:hAnsi="Times New Roman"/>
                      <w:bCs/>
                      <w:color w:val="auto"/>
                    </w:rPr>
                  </w:pPr>
                  <w:r>
                    <w:rPr>
                      <w:rFonts w:ascii="Times New Roman" w:hAnsi="Times New Roman"/>
                      <w:bCs/>
                      <w:color w:val="auto"/>
                    </w:rPr>
                    <w:t>比选</w:t>
                  </w:r>
                </w:p>
              </w:tc>
              <w:tc>
                <w:tcPr>
                  <w:tcW w:w="3202" w:type="dxa"/>
                  <w:tcBorders>
                    <w:tl2br w:val="nil"/>
                    <w:tr2bl w:val="nil"/>
                  </w:tcBorders>
                  <w:shd w:val="clear" w:color="auto" w:fill="auto"/>
                  <w:vAlign w:val="center"/>
                </w:tcPr>
                <w:p w14:paraId="51CDA4C6">
                  <w:pPr>
                    <w:pStyle w:val="77"/>
                    <w:adjustRightInd w:val="0"/>
                    <w:snapToGrid w:val="0"/>
                    <w:rPr>
                      <w:rFonts w:ascii="Times New Roman" w:hAnsi="Times New Roman"/>
                      <w:bCs/>
                      <w:color w:val="auto"/>
                    </w:rPr>
                  </w:pPr>
                  <w:r>
                    <w:rPr>
                      <w:rFonts w:ascii="Times New Roman" w:hAnsi="Times New Roman"/>
                      <w:color w:val="auto"/>
                    </w:rPr>
                    <w:t>线路较</w:t>
                  </w:r>
                  <w:r>
                    <w:rPr>
                      <w:rFonts w:hint="eastAsia" w:ascii="Times New Roman" w:hAnsi="Times New Roman"/>
                      <w:color w:val="auto"/>
                    </w:rPr>
                    <w:t>短</w:t>
                  </w:r>
                  <w:r>
                    <w:rPr>
                      <w:rFonts w:ascii="Times New Roman" w:hAnsi="Times New Roman"/>
                      <w:color w:val="auto"/>
                    </w:rPr>
                    <w:t>，涉及</w:t>
                  </w:r>
                  <w:r>
                    <w:rPr>
                      <w:rFonts w:hint="eastAsia" w:ascii="Times New Roman" w:hAnsi="Times New Roman"/>
                      <w:color w:val="auto"/>
                    </w:rPr>
                    <w:t>占用</w:t>
                  </w:r>
                  <w:r>
                    <w:rPr>
                      <w:rFonts w:ascii="Times New Roman" w:hAnsi="Times New Roman"/>
                      <w:color w:val="auto"/>
                    </w:rPr>
                    <w:t>基本农田</w:t>
                  </w:r>
                  <w:r>
                    <w:rPr>
                      <w:rFonts w:hint="eastAsia" w:ascii="Times New Roman" w:hAnsi="Times New Roman"/>
                      <w:color w:val="auto"/>
                    </w:rPr>
                    <w:t>塔基少</w:t>
                  </w:r>
                  <w:r>
                    <w:rPr>
                      <w:rFonts w:ascii="Times New Roman" w:hAnsi="Times New Roman"/>
                      <w:color w:val="auto"/>
                    </w:rPr>
                    <w:t>，对基本农田影响</w:t>
                  </w:r>
                  <w:r>
                    <w:rPr>
                      <w:rFonts w:hint="eastAsia" w:ascii="Times New Roman" w:hAnsi="Times New Roman"/>
                      <w:color w:val="auto"/>
                    </w:rPr>
                    <w:t>小；</w:t>
                  </w:r>
                  <w:r>
                    <w:rPr>
                      <w:rFonts w:ascii="Times New Roman" w:hAnsi="Times New Roman"/>
                      <w:bCs/>
                      <w:color w:val="auto"/>
                    </w:rPr>
                    <w:t>线路占用</w:t>
                  </w:r>
                  <w:r>
                    <w:rPr>
                      <w:rFonts w:hint="eastAsia" w:ascii="Times New Roman" w:hAnsi="Times New Roman"/>
                      <w:bCs/>
                      <w:color w:val="auto"/>
                    </w:rPr>
                    <w:t>省级公益林</w:t>
                  </w:r>
                  <w:r>
                    <w:rPr>
                      <w:rFonts w:ascii="Times New Roman" w:hAnsi="Times New Roman"/>
                      <w:bCs/>
                      <w:color w:val="auto"/>
                    </w:rPr>
                    <w:t>，无法避让；线路避开施工困难区域、综合人力运输距离近，投资</w:t>
                  </w:r>
                  <w:r>
                    <w:rPr>
                      <w:rFonts w:hint="eastAsia" w:ascii="Times New Roman" w:hAnsi="Times New Roman"/>
                      <w:bCs/>
                      <w:color w:val="auto"/>
                    </w:rPr>
                    <w:t>小</w:t>
                  </w:r>
                  <w:r>
                    <w:rPr>
                      <w:rFonts w:ascii="Times New Roman" w:hAnsi="Times New Roman"/>
                      <w:bCs/>
                      <w:color w:val="auto"/>
                    </w:rPr>
                    <w:t>。</w:t>
                  </w:r>
                </w:p>
              </w:tc>
              <w:tc>
                <w:tcPr>
                  <w:tcW w:w="3229" w:type="dxa"/>
                  <w:tcBorders>
                    <w:tl2br w:val="nil"/>
                    <w:tr2bl w:val="nil"/>
                  </w:tcBorders>
                  <w:shd w:val="clear" w:color="auto" w:fill="auto"/>
                  <w:vAlign w:val="center"/>
                </w:tcPr>
                <w:p w14:paraId="593713B3">
                  <w:pPr>
                    <w:pStyle w:val="77"/>
                    <w:adjustRightInd w:val="0"/>
                    <w:snapToGrid w:val="0"/>
                    <w:rPr>
                      <w:rFonts w:ascii="Times New Roman" w:hAnsi="Times New Roman"/>
                      <w:bCs/>
                      <w:color w:val="auto"/>
                    </w:rPr>
                  </w:pPr>
                  <w:r>
                    <w:rPr>
                      <w:rFonts w:ascii="Times New Roman" w:hAnsi="Times New Roman"/>
                      <w:color w:val="auto"/>
                    </w:rPr>
                    <w:t>线路路径较</w:t>
                  </w:r>
                  <w:r>
                    <w:rPr>
                      <w:rFonts w:hint="eastAsia" w:ascii="Times New Roman" w:hAnsi="Times New Roman"/>
                      <w:color w:val="auto"/>
                    </w:rPr>
                    <w:t>长</w:t>
                  </w:r>
                  <w:r>
                    <w:rPr>
                      <w:rFonts w:ascii="Times New Roman" w:hAnsi="Times New Roman"/>
                      <w:color w:val="auto"/>
                    </w:rPr>
                    <w:t>，涉及</w:t>
                  </w:r>
                  <w:r>
                    <w:rPr>
                      <w:rFonts w:hint="eastAsia" w:ascii="Times New Roman" w:hAnsi="Times New Roman"/>
                      <w:color w:val="auto"/>
                    </w:rPr>
                    <w:t>占用</w:t>
                  </w:r>
                  <w:r>
                    <w:rPr>
                      <w:rFonts w:ascii="Times New Roman" w:hAnsi="Times New Roman"/>
                      <w:color w:val="auto"/>
                    </w:rPr>
                    <w:t>基本农田</w:t>
                  </w:r>
                  <w:r>
                    <w:rPr>
                      <w:rFonts w:hint="eastAsia" w:ascii="Times New Roman" w:hAnsi="Times New Roman"/>
                      <w:color w:val="auto"/>
                    </w:rPr>
                    <w:t>塔基多</w:t>
                  </w:r>
                  <w:r>
                    <w:rPr>
                      <w:rFonts w:ascii="Times New Roman" w:hAnsi="Times New Roman"/>
                      <w:color w:val="auto"/>
                    </w:rPr>
                    <w:t>，对基本农田影响较大；</w:t>
                  </w:r>
                  <w:r>
                    <w:rPr>
                      <w:rFonts w:ascii="Times New Roman" w:hAnsi="Times New Roman"/>
                      <w:bCs/>
                      <w:color w:val="auto"/>
                    </w:rPr>
                    <w:t>线路铁塔占用国家二级公益林，无法避让；</w:t>
                  </w:r>
                  <w:r>
                    <w:rPr>
                      <w:rFonts w:hint="eastAsia" w:ascii="Times New Roman" w:hAnsi="Times New Roman"/>
                      <w:bCs/>
                      <w:color w:val="auto"/>
                    </w:rPr>
                    <w:t>地势高差大，</w:t>
                  </w:r>
                  <w:r>
                    <w:rPr>
                      <w:rFonts w:ascii="Times New Roman" w:hAnsi="Times New Roman"/>
                      <w:bCs/>
                      <w:color w:val="auto"/>
                    </w:rPr>
                    <w:t>施工难度相对较</w:t>
                  </w:r>
                  <w:r>
                    <w:rPr>
                      <w:rFonts w:hint="eastAsia" w:ascii="Times New Roman" w:hAnsi="Times New Roman"/>
                      <w:bCs/>
                      <w:color w:val="auto"/>
                    </w:rPr>
                    <w:t>大</w:t>
                  </w:r>
                  <w:r>
                    <w:rPr>
                      <w:rFonts w:ascii="Times New Roman" w:hAnsi="Times New Roman"/>
                      <w:bCs/>
                      <w:color w:val="auto"/>
                    </w:rPr>
                    <w:t>。</w:t>
                  </w:r>
                </w:p>
              </w:tc>
            </w:tr>
          </w:tbl>
          <w:p w14:paraId="3ED1B86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综合比较两个方案，线路均不涉及占用风景名胜</w:t>
            </w:r>
            <w:r>
              <w:rPr>
                <w:rFonts w:hint="eastAsia" w:ascii="Times New Roman" w:hAnsi="Times New Roman"/>
                <w:color w:val="auto"/>
                <w:sz w:val="24"/>
                <w:szCs w:val="24"/>
              </w:rPr>
              <w:t>区</w:t>
            </w:r>
            <w:r>
              <w:rPr>
                <w:rFonts w:ascii="Times New Roman" w:hAnsi="Times New Roman"/>
                <w:color w:val="auto"/>
                <w:sz w:val="24"/>
                <w:szCs w:val="24"/>
              </w:rPr>
              <w:t>、自然保护区、饮用水水源保护区，线路位于山区，均能避让线路沿线居民点，在施工建设中避免了拆迁、补偿问题；线路沿线均有乡村道路和机耕道路，交通较为便利，材料运输、施工建设、运行检修较为方便。</w:t>
            </w:r>
          </w:p>
          <w:p w14:paraId="0E9C4407">
            <w:pPr>
              <w:pStyle w:val="15"/>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从线路长短看，两个方案相差</w:t>
            </w:r>
            <w:r>
              <w:rPr>
                <w:rFonts w:hint="eastAsia" w:ascii="Times New Roman" w:hAnsi="Times New Roman"/>
                <w:color w:val="auto"/>
                <w:sz w:val="24"/>
                <w:szCs w:val="24"/>
              </w:rPr>
              <w:t>不</w:t>
            </w:r>
            <w:r>
              <w:rPr>
                <w:rFonts w:ascii="Times New Roman" w:hAnsi="Times New Roman"/>
                <w:color w:val="auto"/>
                <w:sz w:val="24"/>
                <w:szCs w:val="24"/>
              </w:rPr>
              <w:t>大，方案</w:t>
            </w:r>
            <w:r>
              <w:rPr>
                <w:rFonts w:hint="eastAsia" w:ascii="Times New Roman" w:hAnsi="Times New Roman"/>
                <w:color w:val="auto"/>
                <w:sz w:val="24"/>
                <w:szCs w:val="24"/>
              </w:rPr>
              <w:t>二</w:t>
            </w:r>
            <w:r>
              <w:rPr>
                <w:rFonts w:ascii="Times New Roman" w:hAnsi="Times New Roman"/>
                <w:color w:val="auto"/>
                <w:sz w:val="24"/>
                <w:szCs w:val="24"/>
              </w:rPr>
              <w:t>较长，方案</w:t>
            </w:r>
            <w:r>
              <w:rPr>
                <w:rFonts w:hint="eastAsia" w:ascii="Times New Roman" w:hAnsi="Times New Roman"/>
                <w:color w:val="auto"/>
                <w:sz w:val="24"/>
                <w:szCs w:val="24"/>
              </w:rPr>
              <w:t>一</w:t>
            </w:r>
            <w:r>
              <w:rPr>
                <w:rFonts w:ascii="Times New Roman" w:hAnsi="Times New Roman"/>
                <w:color w:val="auto"/>
                <w:sz w:val="24"/>
                <w:szCs w:val="24"/>
              </w:rPr>
              <w:t>短</w:t>
            </w:r>
            <w:r>
              <w:rPr>
                <w:rFonts w:hint="eastAsia" w:ascii="Times New Roman" w:hAnsi="Times New Roman"/>
                <w:color w:val="auto"/>
                <w:sz w:val="24"/>
                <w:szCs w:val="24"/>
              </w:rPr>
              <w:t>1.9</w:t>
            </w:r>
            <w:r>
              <w:rPr>
                <w:rFonts w:ascii="Times New Roman" w:hAnsi="Times New Roman"/>
                <w:color w:val="auto"/>
                <w:sz w:val="24"/>
                <w:szCs w:val="24"/>
              </w:rPr>
              <w:t>km。方案</w:t>
            </w:r>
            <w:r>
              <w:rPr>
                <w:rFonts w:hint="eastAsia" w:ascii="Times New Roman" w:hAnsi="Times New Roman"/>
                <w:color w:val="auto"/>
                <w:sz w:val="24"/>
                <w:szCs w:val="24"/>
              </w:rPr>
              <w:t>二</w:t>
            </w:r>
            <w:r>
              <w:rPr>
                <w:rFonts w:ascii="Times New Roman" w:hAnsi="Times New Roman"/>
                <w:color w:val="auto"/>
                <w:sz w:val="24"/>
                <w:szCs w:val="24"/>
              </w:rPr>
              <w:t>线路路径长，曲折系数高，投资大，运行维护投资较大。另外，两个方案均</w:t>
            </w:r>
            <w:r>
              <w:rPr>
                <w:rFonts w:hint="eastAsia" w:ascii="Times New Roman" w:hAnsi="Times New Roman"/>
                <w:color w:val="auto"/>
                <w:sz w:val="24"/>
                <w:szCs w:val="24"/>
              </w:rPr>
              <w:t>占用永久基本农田，</w:t>
            </w:r>
            <w:r>
              <w:rPr>
                <w:rFonts w:ascii="Times New Roman" w:hAnsi="Times New Roman"/>
                <w:color w:val="auto"/>
                <w:sz w:val="24"/>
                <w:szCs w:val="24"/>
              </w:rPr>
              <w:t>但方案</w:t>
            </w:r>
            <w:r>
              <w:rPr>
                <w:rFonts w:hint="eastAsia" w:ascii="Times New Roman" w:hAnsi="Times New Roman"/>
                <w:color w:val="auto"/>
                <w:sz w:val="24"/>
                <w:szCs w:val="24"/>
              </w:rPr>
              <w:t>二占用基本农田400m</w:t>
            </w:r>
            <w:r>
              <w:rPr>
                <w:rFonts w:hint="eastAsia" w:ascii="Times New Roman" w:hAnsi="Times New Roman"/>
                <w:color w:val="auto"/>
                <w:sz w:val="24"/>
                <w:szCs w:val="24"/>
                <w:vertAlign w:val="superscript"/>
              </w:rPr>
              <w:t>2</w:t>
            </w:r>
            <w:r>
              <w:rPr>
                <w:rFonts w:ascii="Times New Roman" w:hAnsi="Times New Roman"/>
                <w:color w:val="auto"/>
                <w:sz w:val="24"/>
                <w:szCs w:val="24"/>
              </w:rPr>
              <w:t>，</w:t>
            </w:r>
            <w:r>
              <w:rPr>
                <w:rFonts w:hint="eastAsia" w:ascii="Times New Roman" w:hAnsi="Times New Roman"/>
                <w:color w:val="auto"/>
                <w:sz w:val="24"/>
                <w:szCs w:val="24"/>
              </w:rPr>
              <w:t>比方案一多162.44m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w:t>
            </w:r>
            <w:r>
              <w:rPr>
                <w:rFonts w:ascii="Times New Roman" w:hAnsi="Times New Roman"/>
                <w:color w:val="auto"/>
                <w:sz w:val="24"/>
                <w:szCs w:val="24"/>
              </w:rPr>
              <w:t>对</w:t>
            </w:r>
            <w:r>
              <w:rPr>
                <w:rFonts w:hint="eastAsia" w:ascii="Times New Roman" w:hAnsi="Times New Roman"/>
                <w:color w:val="auto"/>
                <w:sz w:val="24"/>
                <w:szCs w:val="24"/>
              </w:rPr>
              <w:t>农业</w:t>
            </w:r>
            <w:r>
              <w:rPr>
                <w:rFonts w:ascii="Times New Roman" w:hAnsi="Times New Roman"/>
                <w:color w:val="auto"/>
                <w:sz w:val="24"/>
                <w:szCs w:val="24"/>
              </w:rPr>
              <w:t>环境影响相对较大</w:t>
            </w:r>
            <w:r>
              <w:rPr>
                <w:rFonts w:hint="eastAsia" w:ascii="Times New Roman" w:hAnsi="Times New Roman"/>
                <w:color w:val="auto"/>
                <w:sz w:val="24"/>
                <w:szCs w:val="24"/>
              </w:rPr>
              <w:t>，协调难度较大；方案二</w:t>
            </w:r>
            <w:r>
              <w:rPr>
                <w:rFonts w:hint="eastAsia" w:ascii="Times New Roman" w:hAnsi="Times New Roman"/>
                <w:color w:val="auto"/>
                <w:sz w:val="24"/>
                <w:szCs w:val="24"/>
                <w:lang w:val="en-US" w:eastAsia="zh-CN"/>
              </w:rPr>
              <w:t>距离</w:t>
            </w:r>
            <w:r>
              <w:rPr>
                <w:rFonts w:hint="eastAsia" w:ascii="Times New Roman" w:hAnsi="Times New Roman"/>
                <w:color w:val="auto"/>
                <w:sz w:val="24"/>
                <w:szCs w:val="24"/>
              </w:rPr>
              <w:t>生态保护红线</w:t>
            </w:r>
            <w:r>
              <w:rPr>
                <w:rFonts w:hint="eastAsia" w:ascii="Times New Roman" w:hAnsi="Times New Roman"/>
                <w:color w:val="auto"/>
                <w:sz w:val="24"/>
                <w:szCs w:val="24"/>
                <w:lang w:val="en-US" w:eastAsia="zh-CN"/>
              </w:rPr>
              <w:t>更近</w:t>
            </w:r>
            <w:r>
              <w:rPr>
                <w:rFonts w:hint="eastAsia" w:ascii="Times New Roman" w:hAnsi="Times New Roman"/>
                <w:color w:val="auto"/>
                <w:sz w:val="24"/>
                <w:szCs w:val="24"/>
              </w:rPr>
              <w:t>，</w:t>
            </w:r>
            <w:r>
              <w:rPr>
                <w:rFonts w:ascii="Times New Roman" w:hAnsi="Times New Roman"/>
                <w:color w:val="auto"/>
                <w:sz w:val="24"/>
                <w:szCs w:val="24"/>
              </w:rPr>
              <w:t>对区域的植被、植物及动物影响相对较大</w:t>
            </w:r>
            <w:r>
              <w:rPr>
                <w:rFonts w:hint="eastAsia" w:ascii="Times New Roman" w:hAnsi="Times New Roman"/>
                <w:color w:val="auto"/>
                <w:sz w:val="24"/>
                <w:szCs w:val="24"/>
              </w:rPr>
              <w:t>；另外，方案二涉及大气环境、噪声、电磁环境敏感目标多2处，对周围环境影响大，</w:t>
            </w:r>
            <w:r>
              <w:rPr>
                <w:rFonts w:ascii="Times New Roman" w:hAnsi="Times New Roman"/>
                <w:color w:val="auto"/>
                <w:sz w:val="24"/>
                <w:szCs w:val="24"/>
              </w:rPr>
              <w:t>因此，从环保角度考虑，推荐方案一。</w:t>
            </w:r>
          </w:p>
          <w:p w14:paraId="1BEA76A5">
            <w:pPr>
              <w:pStyle w:val="15"/>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综上，环评推荐方案一</w:t>
            </w:r>
            <w:r>
              <w:rPr>
                <w:rFonts w:hint="eastAsia" w:ascii="Times New Roman" w:hAnsi="Times New Roman"/>
                <w:color w:val="auto"/>
                <w:sz w:val="24"/>
                <w:szCs w:val="24"/>
              </w:rPr>
              <w:t>，推荐方案与设计推荐方案一致</w:t>
            </w:r>
            <w:r>
              <w:rPr>
                <w:rFonts w:ascii="Times New Roman" w:hAnsi="Times New Roman"/>
                <w:color w:val="auto"/>
                <w:sz w:val="24"/>
                <w:szCs w:val="24"/>
              </w:rPr>
              <w:t>。</w:t>
            </w:r>
          </w:p>
          <w:p w14:paraId="0CD650F7">
            <w:pPr>
              <w:keepNext/>
              <w:keepLines/>
              <w:adjustRightInd w:val="0"/>
              <w:snapToGrid w:val="0"/>
              <w:spacing w:line="440" w:lineRule="exact"/>
              <w:ind w:firstLine="482" w:firstLineChars="200"/>
              <w:outlineLvl w:val="3"/>
              <w:rPr>
                <w:rFonts w:ascii="Times New Roman" w:hAnsi="Times New Roman"/>
                <w:b/>
                <w:bCs/>
                <w:color w:val="auto"/>
                <w:sz w:val="24"/>
              </w:rPr>
            </w:pPr>
            <w:r>
              <w:rPr>
                <w:rFonts w:ascii="Times New Roman" w:hAnsi="Times New Roman"/>
                <w:b/>
                <w:bCs/>
                <w:color w:val="auto"/>
                <w:sz w:val="24"/>
              </w:rPr>
              <w:t>2、项目线路</w:t>
            </w:r>
            <w:r>
              <w:rPr>
                <w:rFonts w:hint="eastAsia" w:ascii="Times New Roman" w:hAnsi="Times New Roman"/>
                <w:b/>
                <w:bCs/>
                <w:color w:val="auto"/>
                <w:sz w:val="24"/>
              </w:rPr>
              <w:t>不可避让占用永久基本农田</w:t>
            </w:r>
          </w:p>
          <w:p w14:paraId="14ECCFFA">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根据《六合一至乐业变220kV送出线路工程涉及占用永久基本农田不可避让性论证报告》（云南逸博科技有限公司，2026年</w:t>
            </w:r>
            <w:r>
              <w:rPr>
                <w:rFonts w:hint="eastAsia" w:ascii="Times New Roman" w:hAnsi="Times New Roman"/>
                <w:bCs/>
                <w:color w:val="auto"/>
                <w:sz w:val="24"/>
              </w:rPr>
              <w:t>8</w:t>
            </w:r>
            <w:r>
              <w:rPr>
                <w:rFonts w:ascii="Times New Roman" w:hAnsi="Times New Roman"/>
                <w:bCs/>
                <w:color w:val="auto"/>
                <w:sz w:val="24"/>
              </w:rPr>
              <w:t>月）相关论证，本项目线路不可避让</w:t>
            </w:r>
            <w:r>
              <w:rPr>
                <w:rFonts w:hint="eastAsia" w:ascii="Times New Roman" w:hAnsi="Times New Roman"/>
                <w:bCs/>
                <w:color w:val="auto"/>
                <w:sz w:val="24"/>
              </w:rPr>
              <w:t>永久基本农田</w:t>
            </w:r>
            <w:r>
              <w:rPr>
                <w:rFonts w:ascii="Times New Roman" w:hAnsi="Times New Roman"/>
                <w:bCs/>
                <w:color w:val="auto"/>
                <w:sz w:val="24"/>
              </w:rPr>
              <w:t>分析如下：</w:t>
            </w:r>
          </w:p>
          <w:p w14:paraId="5BF35ECB">
            <w:pPr>
              <w:pStyle w:val="5"/>
              <w:tabs>
                <w:tab w:val="left" w:pos="0"/>
              </w:tabs>
              <w:wordWrap w:val="0"/>
              <w:overflowPunct w:val="0"/>
              <w:adjustRightInd w:val="0"/>
              <w:snapToGrid w:val="0"/>
              <w:spacing w:line="440" w:lineRule="exact"/>
              <w:ind w:firstLine="482" w:firstLineChars="200"/>
              <w:rPr>
                <w:rFonts w:ascii="Times New Roman" w:hAnsi="Times New Roman"/>
                <w:bCs w:val="0"/>
                <w:color w:val="auto"/>
                <w:szCs w:val="24"/>
              </w:rPr>
            </w:pPr>
            <w:r>
              <w:rPr>
                <w:rFonts w:ascii="Times New Roman" w:hAnsi="Times New Roman"/>
                <w:bCs w:val="0"/>
                <w:color w:val="auto"/>
                <w:szCs w:val="24"/>
              </w:rPr>
              <w:t>（1）</w:t>
            </w:r>
            <w:r>
              <w:rPr>
                <w:rFonts w:hint="eastAsia" w:ascii="Times New Roman" w:hAnsi="Times New Roman"/>
                <w:bCs w:val="0"/>
                <w:color w:val="auto"/>
                <w:szCs w:val="24"/>
              </w:rPr>
              <w:t>总体不可避让</w:t>
            </w:r>
            <w:r>
              <w:rPr>
                <w:rFonts w:ascii="Times New Roman" w:hAnsi="Times New Roman"/>
                <w:bCs w:val="0"/>
                <w:color w:val="auto"/>
                <w:szCs w:val="24"/>
              </w:rPr>
              <w:t>占用基本农田</w:t>
            </w:r>
          </w:p>
          <w:p w14:paraId="22887BB2">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本项目线路起止点位具备不可变更属性，起点为六合一期光伏电站专用220kV出线构架，是片区光伏电能唯一输出端口；终点为500kV乐业变东侧220kV专用接入间隔，由云南电网统一规划划定，无更改接入点位的可行性。起止点位固定后，线路走廊横向可调范围被严格锁定，仅能在狭窄带状区域内进行局部微调，无法实现大范围绕行避让。</w:t>
            </w:r>
          </w:p>
          <w:p w14:paraId="68FE2F5B">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根据220kV高压输电线路绝缘配合、安全距离专项规范，线路与地面建筑物、林地、农田、已有电力线路、通信设施均需保持固定安全距离；同时结合本项目10mm、20mm双覆冰分区设计标准，覆冰区段杆塔间距、导线对地距离标准进一步收紧。此外，线路沿途需多次跨越G213国道、35kV多条在运电力线路，交叉跨越点位为刚性固定点位，受电气安全、跨越规范双重红线约束，无法偏移调整，直接压缩线路优化避让空间。</w:t>
            </w:r>
          </w:p>
          <w:p w14:paraId="7A6BB223">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项目所处乐业镇以高山峡谷地貌为主，境内可用输电廊道资源稀缺，现有空白廊道已被村落居民区、道路交通、公益林地、已建电网、地质灾害隐患区多重屏障分割碎片化。经全域排查，线路起止点之间无完整、无干扰、不含永久基本农田的备用大型输电廊道，仅剩余当前狭窄山脊带状走廊可供布设线路，客观上无全新空白廊道可替代现有路径。为落实最严格耕地保护制度，项目自可研阶段至初步设计阶段，穷尽行业所有常规避让手段，优化路径与塔位，同时否决地埋替代方案，证实现阶段方案为唯一</w:t>
            </w:r>
            <w:r>
              <w:rPr>
                <w:rFonts w:hint="eastAsia" w:ascii="Times New Roman" w:hAnsi="Times New Roman"/>
                <w:bCs/>
                <w:color w:val="auto"/>
                <w:sz w:val="24"/>
              </w:rPr>
              <w:t>方案</w:t>
            </w:r>
            <w:r>
              <w:rPr>
                <w:rFonts w:ascii="Times New Roman" w:hAnsi="Times New Roman"/>
                <w:bCs/>
                <w:color w:val="auto"/>
                <w:sz w:val="24"/>
              </w:rPr>
              <w:t>。</w:t>
            </w:r>
          </w:p>
          <w:tbl>
            <w:tblPr>
              <w:tblStyle w:val="27"/>
              <w:tblW w:w="8393" w:type="dxa"/>
              <w:tblInd w:w="5" w:type="dxa"/>
              <w:tblLayout w:type="fixed"/>
              <w:tblCellMar>
                <w:top w:w="0" w:type="dxa"/>
                <w:left w:w="108" w:type="dxa"/>
                <w:bottom w:w="0" w:type="dxa"/>
                <w:right w:w="108" w:type="dxa"/>
              </w:tblCellMar>
            </w:tblPr>
            <w:tblGrid>
              <w:gridCol w:w="8393"/>
            </w:tblGrid>
            <w:tr w14:paraId="13D25E92">
              <w:tblPrEx>
                <w:tblCellMar>
                  <w:top w:w="0" w:type="dxa"/>
                  <w:left w:w="108" w:type="dxa"/>
                  <w:bottom w:w="0" w:type="dxa"/>
                  <w:right w:w="108" w:type="dxa"/>
                </w:tblCellMar>
              </w:tblPrEx>
              <w:tc>
                <w:tcPr>
                  <w:tcW w:w="8393" w:type="dxa"/>
                  <w:tcBorders>
                    <w:tl2br w:val="nil"/>
                    <w:tr2bl w:val="nil"/>
                  </w:tcBorders>
                  <w:shd w:val="clear" w:color="auto" w:fill="auto"/>
                  <w:vAlign w:val="center"/>
                </w:tcPr>
                <w:p w14:paraId="109DE121">
                  <w:pPr>
                    <w:topLinePunct/>
                    <w:adjustRightInd w:val="0"/>
                    <w:snapToGrid w:val="0"/>
                    <w:jc w:val="center"/>
                    <w:rPr>
                      <w:rFonts w:ascii="Times New Roman" w:hAnsi="Times New Roman"/>
                      <w:color w:val="auto"/>
                      <w:sz w:val="24"/>
                      <w:szCs w:val="24"/>
                      <w:lang w:bidi="ar"/>
                    </w:rPr>
                  </w:pPr>
                  <w:r>
                    <w:rPr>
                      <w:rFonts w:hint="eastAsia" w:ascii="Times New Roman" w:hAnsi="Times New Roman"/>
                      <w:b/>
                      <w:bCs/>
                      <w:color w:val="auto"/>
                      <w:sz w:val="24"/>
                      <w:szCs w:val="24"/>
                      <w:lang w:bidi="ar"/>
                    </w:rPr>
                    <w:t xml:space="preserve">图2-6  </w:t>
                  </w:r>
                  <w:r>
                    <w:rPr>
                      <w:rFonts w:ascii="Times New Roman" w:hAnsi="Times New Roman"/>
                      <w:b/>
                      <w:bCs/>
                      <w:color w:val="auto"/>
                      <w:sz w:val="24"/>
                      <w:szCs w:val="24"/>
                      <w:lang w:bidi="ar"/>
                    </w:rPr>
                    <w:t>项目与永久基本农田叠加分析图</w:t>
                  </w:r>
                  <w:r>
                    <w:rPr>
                      <w:rFonts w:ascii="Times New Roman" w:hAnsi="Times New Roman"/>
                      <w:color w:val="auto"/>
                      <w:sz w:val="24"/>
                      <w:szCs w:val="24"/>
                      <w:lang w:bidi="ar"/>
                    </w:rPr>
                    <w:drawing>
                      <wp:anchor distT="0" distB="0" distL="114300" distR="114300" simplePos="0" relativeHeight="251659264" behindDoc="0" locked="0" layoutInCell="1" allowOverlap="1">
                        <wp:simplePos x="0" y="0"/>
                        <wp:positionH relativeFrom="column">
                          <wp:posOffset>-44450</wp:posOffset>
                        </wp:positionH>
                        <wp:positionV relativeFrom="paragraph">
                          <wp:posOffset>-2540</wp:posOffset>
                        </wp:positionV>
                        <wp:extent cx="5243195" cy="6263005"/>
                        <wp:effectExtent l="0" t="0" r="14605" b="4445"/>
                        <wp:wrapTopAndBottom/>
                        <wp:docPr id="71" name="图片 3" descr="基本农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 descr="基本农田"/>
                                <pic:cNvPicPr>
                                  <a:picLocks noChangeAspect="1"/>
                                </pic:cNvPicPr>
                              </pic:nvPicPr>
                              <pic:blipFill>
                                <a:blip r:embed="rId29"/>
                                <a:srcRect l="3194" t="4240" r="3256" b="2396"/>
                                <a:stretch>
                                  <a:fillRect/>
                                </a:stretch>
                              </pic:blipFill>
                              <pic:spPr>
                                <a:xfrm>
                                  <a:off x="0" y="0"/>
                                  <a:ext cx="5243195" cy="6263005"/>
                                </a:xfrm>
                                <a:prstGeom prst="rect">
                                  <a:avLst/>
                                </a:prstGeom>
                                <a:noFill/>
                                <a:ln>
                                  <a:noFill/>
                                </a:ln>
                              </pic:spPr>
                            </pic:pic>
                          </a:graphicData>
                        </a:graphic>
                      </wp:anchor>
                    </w:drawing>
                  </w:r>
                </w:p>
              </w:tc>
            </w:tr>
          </w:tbl>
          <w:p w14:paraId="0882C7A2">
            <w:pPr>
              <w:adjustRightInd w:val="0"/>
              <w:snapToGrid w:val="0"/>
              <w:spacing w:line="440" w:lineRule="exact"/>
              <w:ind w:firstLine="482" w:firstLineChars="200"/>
              <w:rPr>
                <w:rFonts w:ascii="Times New Roman" w:hAnsi="Times New Roman"/>
                <w:b/>
                <w:color w:val="auto"/>
                <w:sz w:val="24"/>
              </w:rPr>
            </w:pPr>
            <w:r>
              <w:rPr>
                <w:rFonts w:ascii="Times New Roman" w:hAnsi="Times New Roman"/>
                <w:b/>
                <w:color w:val="auto"/>
                <w:sz w:val="24"/>
              </w:rPr>
              <w:t>（2）</w:t>
            </w:r>
            <w:bookmarkStart w:id="8" w:name="_Toc9046"/>
            <w:bookmarkStart w:id="9" w:name="_Toc24140"/>
            <w:bookmarkStart w:id="10" w:name="_Toc8587"/>
            <w:bookmarkStart w:id="11" w:name="_Toc22171"/>
            <w:bookmarkStart w:id="12" w:name="_Toc10185"/>
            <w:r>
              <w:rPr>
                <w:rFonts w:ascii="Times New Roman" w:hAnsi="Times New Roman"/>
                <w:b/>
                <w:color w:val="auto"/>
                <w:sz w:val="24"/>
              </w:rPr>
              <w:t>涉及占用永久基本农田的塔基不可避让分析</w:t>
            </w:r>
            <w:bookmarkEnd w:id="8"/>
            <w:bookmarkEnd w:id="9"/>
            <w:bookmarkEnd w:id="10"/>
            <w:bookmarkEnd w:id="11"/>
            <w:bookmarkEnd w:id="12"/>
          </w:p>
          <w:p w14:paraId="1C3134FF">
            <w:pPr>
              <w:adjustRightInd w:val="0"/>
              <w:snapToGrid w:val="0"/>
              <w:spacing w:line="440" w:lineRule="exact"/>
              <w:ind w:firstLine="480" w:firstLineChars="200"/>
              <w:rPr>
                <w:rFonts w:ascii="Times New Roman" w:hAnsi="Times New Roman"/>
                <w:bCs/>
                <w:color w:val="auto"/>
                <w:sz w:val="24"/>
              </w:rPr>
            </w:pPr>
            <w:bookmarkStart w:id="13" w:name="_Toc27162"/>
            <w:bookmarkStart w:id="14" w:name="_Toc20715"/>
            <w:bookmarkStart w:id="15" w:name="_Toc16723"/>
            <w:bookmarkStart w:id="16" w:name="_Toc12976"/>
            <w:bookmarkStart w:id="17" w:name="_Toc11885"/>
            <w:r>
              <w:rPr>
                <w:rFonts w:ascii="Times New Roman" w:hAnsi="Times New Roman"/>
                <w:bCs/>
                <w:color w:val="auto"/>
                <w:sz w:val="24"/>
              </w:rPr>
              <w:t>①N36塔基</w:t>
            </w:r>
            <w:bookmarkEnd w:id="13"/>
            <w:bookmarkEnd w:id="14"/>
            <w:bookmarkEnd w:id="15"/>
            <w:bookmarkEnd w:id="16"/>
            <w:bookmarkEnd w:id="17"/>
          </w:p>
          <w:p w14:paraId="26CAD562">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N36塔基永久占用永久基本农田0.0038公顷，是本线路中段关键转角塔，承担线路转向、档距过渡核心作用。该塔基坐落于稳定山脊缓坡，地质承载力满足220kV铁塔建设标准；塔基北侧为高陡破碎边坡，存在滑坡隐患，南侧为连片民居，禁止布设高压杆塔，东西两侧受现有配电线路、G213国道安全距离约束。经多轮微调试验，该点位周边50m范围内无符合电气、地质、安全多重标准的备选点位，微小零星农田占用无法避让。</w:t>
            </w:r>
          </w:p>
          <w:p w14:paraId="4E68D3A9">
            <w:pPr>
              <w:adjustRightInd w:val="0"/>
              <w:snapToGrid w:val="0"/>
              <w:jc w:val="center"/>
              <w:rPr>
                <w:rFonts w:ascii="Times New Roman" w:hAnsi="Times New Roman"/>
                <w:b/>
                <w:bCs/>
                <w:color w:val="auto"/>
                <w:spacing w:val="-9"/>
                <w:sz w:val="28"/>
                <w:szCs w:val="28"/>
              </w:rPr>
            </w:pPr>
            <w:r>
              <w:rPr>
                <w:rFonts w:ascii="Times New Roman" w:hAnsi="Times New Roman"/>
                <w:b/>
                <w:bCs/>
                <w:color w:val="auto"/>
                <w:spacing w:val="-9"/>
                <w:sz w:val="28"/>
                <w:szCs w:val="28"/>
              </w:rPr>
              <w:drawing>
                <wp:inline distT="0" distB="0" distL="114300" distR="114300">
                  <wp:extent cx="5267325" cy="3267075"/>
                  <wp:effectExtent l="0" t="0" r="9525" b="9525"/>
                  <wp:docPr id="87" name="图片 13" descr="d1b9540e7c15118d72e49aaf4788d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3" descr="d1b9540e7c15118d72e49aaf4788dbe4"/>
                          <pic:cNvPicPr>
                            <a:picLocks noChangeAspect="1"/>
                          </pic:cNvPicPr>
                        </pic:nvPicPr>
                        <pic:blipFill>
                          <a:blip r:embed="rId30"/>
                          <a:stretch>
                            <a:fillRect/>
                          </a:stretch>
                        </pic:blipFill>
                        <pic:spPr>
                          <a:xfrm>
                            <a:off x="0" y="0"/>
                            <a:ext cx="5267325" cy="3267075"/>
                          </a:xfrm>
                          <a:prstGeom prst="rect">
                            <a:avLst/>
                          </a:prstGeom>
                          <a:noFill/>
                          <a:ln>
                            <a:noFill/>
                          </a:ln>
                        </pic:spPr>
                      </pic:pic>
                    </a:graphicData>
                  </a:graphic>
                </wp:inline>
              </w:drawing>
            </w:r>
          </w:p>
          <w:p w14:paraId="268CEA0A">
            <w:pPr>
              <w:adjustRightInd w:val="0"/>
              <w:snapToGrid w:val="0"/>
              <w:jc w:val="center"/>
              <w:rPr>
                <w:rFonts w:ascii="Times New Roman" w:hAnsi="Times New Roman"/>
                <w:color w:val="auto"/>
                <w:sz w:val="24"/>
                <w:szCs w:val="24"/>
              </w:rPr>
            </w:pPr>
            <w:r>
              <w:rPr>
                <w:rFonts w:ascii="Times New Roman" w:hAnsi="Times New Roman"/>
                <w:b/>
                <w:bCs/>
                <w:color w:val="auto"/>
                <w:spacing w:val="-5"/>
                <w:sz w:val="24"/>
                <w:szCs w:val="24"/>
              </w:rPr>
              <w:t>图</w:t>
            </w:r>
            <w:r>
              <w:rPr>
                <w:rFonts w:hint="eastAsia" w:ascii="Times New Roman" w:hAnsi="Times New Roman"/>
                <w:b/>
                <w:bCs/>
                <w:color w:val="auto"/>
                <w:spacing w:val="-5"/>
                <w:sz w:val="24"/>
                <w:szCs w:val="24"/>
              </w:rPr>
              <w:t>2-7</w:t>
            </w:r>
            <w:r>
              <w:rPr>
                <w:rFonts w:ascii="Times New Roman" w:hAnsi="Times New Roman"/>
                <w:b/>
                <w:bCs/>
                <w:color w:val="auto"/>
                <w:spacing w:val="-5"/>
                <w:sz w:val="24"/>
                <w:szCs w:val="24"/>
              </w:rPr>
              <w:t xml:space="preserve">  N36与永久基本农田保护红线的位置关系图</w:t>
            </w:r>
          </w:p>
          <w:p w14:paraId="06FB4DD7">
            <w:pPr>
              <w:adjustRightInd w:val="0"/>
              <w:snapToGrid w:val="0"/>
              <w:spacing w:line="440" w:lineRule="exact"/>
              <w:ind w:firstLine="480" w:firstLineChars="200"/>
              <w:rPr>
                <w:rFonts w:ascii="Times New Roman" w:hAnsi="Times New Roman"/>
                <w:bCs/>
                <w:color w:val="auto"/>
                <w:sz w:val="24"/>
              </w:rPr>
            </w:pPr>
            <w:bookmarkStart w:id="18" w:name="_Toc27153"/>
            <w:bookmarkStart w:id="19" w:name="_Toc30730"/>
            <w:bookmarkStart w:id="20" w:name="_Toc9212"/>
            <w:bookmarkStart w:id="21" w:name="_Toc25591"/>
            <w:bookmarkStart w:id="22" w:name="_Toc24743"/>
            <w:r>
              <w:rPr>
                <w:rFonts w:ascii="Times New Roman" w:hAnsi="Times New Roman"/>
                <w:bCs/>
                <w:color w:val="auto"/>
                <w:sz w:val="24"/>
              </w:rPr>
              <w:t>②N58塔基不可避让性</w:t>
            </w:r>
            <w:bookmarkEnd w:id="18"/>
            <w:bookmarkEnd w:id="19"/>
            <w:bookmarkEnd w:id="20"/>
            <w:bookmarkEnd w:id="21"/>
            <w:bookmarkEnd w:id="22"/>
          </w:p>
          <w:p w14:paraId="71E5DA2A">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N58塔基永久占用永久基本农田0.01</w:t>
            </w:r>
            <w:r>
              <w:rPr>
                <w:rFonts w:hint="eastAsia" w:ascii="Times New Roman" w:hAnsi="Times New Roman"/>
                <w:bCs/>
                <w:color w:val="auto"/>
                <w:sz w:val="24"/>
              </w:rPr>
              <w:t>00</w:t>
            </w:r>
            <w:r>
              <w:rPr>
                <w:rFonts w:ascii="Times New Roman" w:hAnsi="Times New Roman"/>
                <w:bCs/>
                <w:color w:val="auto"/>
                <w:sz w:val="24"/>
              </w:rPr>
              <w:t>公顷，属于直线承重塔，用于平衡跨谷段导线张力，规避导线风振、覆冰断线风险。塔基所处位置为片区唯一稳定山脊节点，东侧为深度沟谷、西侧为公益林地，南北两侧无平整可建设塔基的地块；若取消或偏移该塔基，跨谷档距将超出设计上限42%，远超220kV线路安全运行阈值，极易引发线路断线、杆塔倾覆重大事故，该点位无替代选址。</w:t>
            </w:r>
          </w:p>
          <w:p w14:paraId="19EF6BC8">
            <w:pPr>
              <w:adjustRightInd w:val="0"/>
              <w:snapToGrid w:val="0"/>
              <w:spacing w:line="440" w:lineRule="exact"/>
              <w:ind w:firstLine="480" w:firstLineChars="200"/>
              <w:rPr>
                <w:rFonts w:ascii="Times New Roman" w:hAnsi="Times New Roman"/>
                <w:bCs/>
                <w:color w:val="auto"/>
                <w:sz w:val="24"/>
              </w:rPr>
            </w:pPr>
            <w:bookmarkStart w:id="23" w:name="_Toc2799"/>
            <w:bookmarkStart w:id="24" w:name="_Toc13069"/>
            <w:bookmarkStart w:id="25" w:name="_Toc16499"/>
            <w:bookmarkStart w:id="26" w:name="_Toc3564"/>
            <w:bookmarkStart w:id="27" w:name="_Toc27986"/>
            <w:r>
              <w:rPr>
                <w:rFonts w:ascii="Times New Roman" w:hAnsi="Times New Roman"/>
                <w:bCs/>
                <w:color w:val="auto"/>
                <w:sz w:val="24"/>
              </w:rPr>
              <w:t>③N59塔基不可避让性</w:t>
            </w:r>
            <w:bookmarkEnd w:id="23"/>
            <w:bookmarkEnd w:id="24"/>
            <w:bookmarkEnd w:id="25"/>
            <w:bookmarkEnd w:id="26"/>
            <w:bookmarkEnd w:id="27"/>
          </w:p>
          <w:p w14:paraId="11068823">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N59塔基永久占用永久基本农田0.0100公顷，临近乐业变双回架设区段，是双回段与单回段的衔接枢纽塔。该塔基受变电站进线通道、双回线路排布规范双重约束，横向可调范围不足30m；周边区域要么属于生态公益林，要么地形坡度超出塔基建设上限，无适配备选点位。同时该塔基占用低产能陡坡旱地，机械化耕作难度大，对区域农业生产基本无负面影响。</w:t>
            </w:r>
          </w:p>
          <w:p w14:paraId="42A16E32">
            <w:pPr>
              <w:widowControl/>
              <w:kinsoku w:val="0"/>
              <w:autoSpaceDE w:val="0"/>
              <w:autoSpaceDN w:val="0"/>
              <w:adjustRightInd w:val="0"/>
              <w:snapToGrid w:val="0"/>
              <w:jc w:val="center"/>
              <w:textAlignment w:val="baseline"/>
              <w:rPr>
                <w:rFonts w:ascii="Times New Roman" w:hAnsi="Times New Roman"/>
                <w:color w:val="auto"/>
                <w:sz w:val="24"/>
                <w:szCs w:val="24"/>
              </w:rPr>
            </w:pPr>
            <w:r>
              <w:rPr>
                <w:rFonts w:ascii="Times New Roman" w:hAnsi="Times New Roman"/>
                <w:color w:val="auto"/>
                <w:sz w:val="24"/>
                <w:szCs w:val="24"/>
              </w:rPr>
              <w:drawing>
                <wp:inline distT="0" distB="0" distL="114300" distR="114300">
                  <wp:extent cx="5267325" cy="3533775"/>
                  <wp:effectExtent l="0" t="0" r="9525" b="9525"/>
                  <wp:docPr id="88" name="图片 14" descr="eff0cd1b14fa49460e1c2ddcbeb1b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4" descr="eff0cd1b14fa49460e1c2ddcbeb1b710"/>
                          <pic:cNvPicPr>
                            <a:picLocks noChangeAspect="1"/>
                          </pic:cNvPicPr>
                        </pic:nvPicPr>
                        <pic:blipFill>
                          <a:blip r:embed="rId31"/>
                          <a:stretch>
                            <a:fillRect/>
                          </a:stretch>
                        </pic:blipFill>
                        <pic:spPr>
                          <a:xfrm>
                            <a:off x="0" y="0"/>
                            <a:ext cx="5267325" cy="3533775"/>
                          </a:xfrm>
                          <a:prstGeom prst="rect">
                            <a:avLst/>
                          </a:prstGeom>
                          <a:noFill/>
                          <a:ln>
                            <a:noFill/>
                          </a:ln>
                        </pic:spPr>
                      </pic:pic>
                    </a:graphicData>
                  </a:graphic>
                </wp:inline>
              </w:drawing>
            </w:r>
          </w:p>
          <w:p w14:paraId="460D58F1">
            <w:pPr>
              <w:adjustRightInd w:val="0"/>
              <w:snapToGrid w:val="0"/>
              <w:jc w:val="center"/>
              <w:rPr>
                <w:rFonts w:ascii="Times New Roman" w:hAnsi="Times New Roman"/>
                <w:color w:val="auto"/>
                <w:sz w:val="24"/>
                <w:szCs w:val="24"/>
              </w:rPr>
            </w:pPr>
            <w:r>
              <w:rPr>
                <w:rFonts w:ascii="Times New Roman" w:hAnsi="Times New Roman"/>
                <w:b/>
                <w:bCs/>
                <w:color w:val="auto"/>
                <w:spacing w:val="-5"/>
                <w:sz w:val="24"/>
                <w:szCs w:val="24"/>
              </w:rPr>
              <w:t>图</w:t>
            </w:r>
            <w:r>
              <w:rPr>
                <w:rFonts w:hint="eastAsia" w:ascii="Times New Roman" w:hAnsi="Times New Roman"/>
                <w:b/>
                <w:bCs/>
                <w:color w:val="auto"/>
                <w:spacing w:val="-5"/>
                <w:sz w:val="24"/>
                <w:szCs w:val="24"/>
              </w:rPr>
              <w:t xml:space="preserve">2-8  </w:t>
            </w:r>
            <w:r>
              <w:rPr>
                <w:rFonts w:ascii="Times New Roman" w:hAnsi="Times New Roman"/>
                <w:b/>
                <w:bCs/>
                <w:color w:val="auto"/>
                <w:spacing w:val="-5"/>
                <w:sz w:val="24"/>
                <w:szCs w:val="24"/>
              </w:rPr>
              <w:t>N58和N59与永久基本农田保护红线的位置关系图</w:t>
            </w:r>
          </w:p>
          <w:p w14:paraId="0919FB28">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综上，N36、N58和N59塔基的选址均是基于电网安全运行，规避高危地质灾害风险的必然结果。最大程度减少了对耕地的扰动，符合不可避让的客观事实。</w:t>
            </w:r>
          </w:p>
          <w:p w14:paraId="44C4ECB2">
            <w:pPr>
              <w:pStyle w:val="5"/>
              <w:tabs>
                <w:tab w:val="left" w:pos="0"/>
              </w:tabs>
              <w:wordWrap w:val="0"/>
              <w:overflowPunct w:val="0"/>
              <w:adjustRightInd w:val="0"/>
              <w:snapToGrid w:val="0"/>
              <w:spacing w:line="440" w:lineRule="exact"/>
              <w:ind w:firstLine="482" w:firstLineChars="200"/>
              <w:rPr>
                <w:rFonts w:ascii="Times New Roman" w:hAnsi="Times New Roman"/>
                <w:bCs w:val="0"/>
                <w:color w:val="auto"/>
                <w:szCs w:val="24"/>
              </w:rPr>
            </w:pPr>
            <w:r>
              <w:rPr>
                <w:rFonts w:ascii="Times New Roman" w:hAnsi="Times New Roman"/>
                <w:bCs w:val="0"/>
                <w:color w:val="auto"/>
                <w:szCs w:val="24"/>
              </w:rPr>
              <w:t>（3）占用基本农田不可避让性结论</w:t>
            </w:r>
          </w:p>
          <w:p w14:paraId="51B94739">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本项目属于省级重点新能源配套能源基础设施，项目立项、选址、审批手续合法合规，符合架空输电线路点状占用永久基本农田的法定准入情形；受高山峡谷特殊地貌、不良地质灾害、高压电网安全约束、周边障碍物空间挤压多重客观红线限制，本项目可供杆塔布设的空白走廊呈碎片化分布，无法实现永久基本农田全覆盖避让；项目已穷尽塔位微调、路径绕行、敷设方式替换等全部避让手段，两套架空备选方案、电缆地埋方案均存在致命缺陷，无法替代现有实施方案；项目仅点状零星占用0.0238公顷永久基本农田，未切割连片农田、不阻碍机械化耕作，且配套表土剥离、土地复垦、等额农田补划等补救措施，负面影响可控可修复。</w:t>
            </w:r>
          </w:p>
          <w:p w14:paraId="4BEE3863">
            <w:pPr>
              <w:adjustRightInd w:val="0"/>
              <w:snapToGrid w:val="0"/>
              <w:spacing w:line="440" w:lineRule="exact"/>
              <w:ind w:firstLine="480" w:firstLineChars="200"/>
              <w:rPr>
                <w:rFonts w:ascii="Times New Roman" w:hAnsi="Times New Roman"/>
                <w:bCs/>
                <w:color w:val="auto"/>
                <w:sz w:val="24"/>
              </w:rPr>
            </w:pPr>
            <w:r>
              <w:rPr>
                <w:rFonts w:ascii="Times New Roman" w:hAnsi="Times New Roman"/>
                <w:bCs/>
                <w:color w:val="auto"/>
                <w:sz w:val="24"/>
              </w:rPr>
              <w:t>综上，六合一至乐业变220kV送出线路工程少量占用永久基本农田，是多重刚性约束下的唯一最优解，具备充分的不可避让性。因此，工程线路占用永久基本农田路径方案具有不可避让性，具有唯一性。</w:t>
            </w:r>
          </w:p>
          <w:p w14:paraId="0CF61046">
            <w:pPr>
              <w:rPr>
                <w:rFonts w:ascii="Times New Roman" w:hAnsi="Times New Roman"/>
                <w:color w:val="auto"/>
                <w:sz w:val="24"/>
                <w:szCs w:val="24"/>
              </w:rPr>
            </w:pPr>
          </w:p>
          <w:p w14:paraId="56DB0CE5">
            <w:pPr>
              <w:rPr>
                <w:rFonts w:ascii="Times New Roman" w:hAnsi="Times New Roman"/>
                <w:color w:val="auto"/>
                <w:sz w:val="24"/>
                <w:szCs w:val="24"/>
              </w:rPr>
            </w:pPr>
          </w:p>
          <w:p w14:paraId="2C8A8143">
            <w:pPr>
              <w:rPr>
                <w:rFonts w:ascii="Times New Roman" w:hAnsi="Times New Roman"/>
                <w:color w:val="auto"/>
                <w:sz w:val="24"/>
                <w:szCs w:val="24"/>
              </w:rPr>
            </w:pPr>
          </w:p>
          <w:p w14:paraId="588DB989">
            <w:pPr>
              <w:rPr>
                <w:rFonts w:ascii="Times New Roman" w:hAnsi="Times New Roman"/>
                <w:color w:val="auto"/>
              </w:rPr>
            </w:pPr>
          </w:p>
        </w:tc>
      </w:tr>
    </w:tbl>
    <w:p w14:paraId="1C03FF25">
      <w:pPr>
        <w:pStyle w:val="3"/>
        <w:rPr>
          <w:rFonts w:ascii="Times New Roman" w:hAnsi="Times New Roman"/>
          <w:color w:val="auto"/>
        </w:rPr>
        <w:sectPr>
          <w:pgSz w:w="11907" w:h="16839"/>
          <w:pgMar w:top="1418" w:right="1531" w:bottom="1418" w:left="1531" w:header="794" w:footer="902" w:gutter="0"/>
          <w:pgBorders>
            <w:top w:val="none" w:sz="0" w:space="0"/>
            <w:left w:val="none" w:sz="0" w:space="0"/>
            <w:bottom w:val="none" w:sz="0" w:space="0"/>
            <w:right w:val="none" w:sz="0" w:space="0"/>
          </w:pgBorders>
          <w:cols w:space="425" w:num="1"/>
          <w:docGrid w:type="lines" w:linePitch="312" w:charSpace="0"/>
        </w:sectPr>
      </w:pPr>
      <w:bookmarkStart w:id="28" w:name="_Toc74062914"/>
    </w:p>
    <w:p w14:paraId="605FFCD1">
      <w:pPr>
        <w:pStyle w:val="3"/>
        <w:rPr>
          <w:rFonts w:ascii="Times New Roman" w:hAnsi="Times New Roman"/>
          <w:color w:val="auto"/>
        </w:rPr>
      </w:pPr>
      <w:r>
        <w:rPr>
          <w:rFonts w:ascii="Times New Roman" w:hAnsi="Times New Roman"/>
          <w:color w:val="auto"/>
        </w:rPr>
        <w:t>三、生态环境现状、保护目标及评价标准</w:t>
      </w:r>
      <w:bookmarkEnd w:id="28"/>
    </w:p>
    <w:tbl>
      <w:tblPr>
        <w:tblStyle w:val="27"/>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8645"/>
      </w:tblGrid>
      <w:tr w14:paraId="7A42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shd w:val="clear" w:color="auto" w:fill="auto"/>
            <w:vAlign w:val="center"/>
          </w:tcPr>
          <w:p w14:paraId="5D72B79D">
            <w:pPr>
              <w:jc w:val="center"/>
              <w:rPr>
                <w:rFonts w:ascii="Times New Roman" w:hAnsi="Times New Roman"/>
                <w:b/>
                <w:color w:val="auto"/>
                <w:sz w:val="24"/>
                <w:szCs w:val="24"/>
              </w:rPr>
            </w:pPr>
          </w:p>
          <w:p w14:paraId="14FAEC23">
            <w:pPr>
              <w:jc w:val="center"/>
              <w:rPr>
                <w:rFonts w:ascii="Times New Roman" w:hAnsi="Times New Roman"/>
                <w:b/>
                <w:color w:val="auto"/>
                <w:sz w:val="24"/>
                <w:szCs w:val="24"/>
              </w:rPr>
            </w:pPr>
          </w:p>
          <w:p w14:paraId="7941B5FB">
            <w:pPr>
              <w:jc w:val="center"/>
              <w:rPr>
                <w:rFonts w:ascii="Times New Roman" w:hAnsi="Times New Roman"/>
                <w:b/>
                <w:color w:val="auto"/>
                <w:sz w:val="24"/>
                <w:szCs w:val="24"/>
              </w:rPr>
            </w:pPr>
          </w:p>
          <w:p w14:paraId="68EF5205">
            <w:pPr>
              <w:jc w:val="center"/>
              <w:rPr>
                <w:rFonts w:ascii="Times New Roman" w:hAnsi="Times New Roman"/>
                <w:b/>
                <w:color w:val="auto"/>
                <w:sz w:val="24"/>
                <w:szCs w:val="24"/>
              </w:rPr>
            </w:pPr>
          </w:p>
          <w:p w14:paraId="402A8320">
            <w:pPr>
              <w:jc w:val="center"/>
              <w:rPr>
                <w:rFonts w:ascii="Times New Roman" w:hAnsi="Times New Roman"/>
                <w:b/>
                <w:color w:val="auto"/>
                <w:sz w:val="24"/>
                <w:szCs w:val="24"/>
              </w:rPr>
            </w:pPr>
          </w:p>
          <w:p w14:paraId="39F53F63">
            <w:pPr>
              <w:jc w:val="center"/>
              <w:rPr>
                <w:rFonts w:ascii="Times New Roman" w:hAnsi="Times New Roman"/>
                <w:b/>
                <w:color w:val="auto"/>
                <w:sz w:val="24"/>
                <w:szCs w:val="24"/>
              </w:rPr>
            </w:pPr>
          </w:p>
          <w:p w14:paraId="108D8DDD">
            <w:pPr>
              <w:jc w:val="center"/>
              <w:rPr>
                <w:rFonts w:ascii="Times New Roman" w:hAnsi="Times New Roman"/>
                <w:b/>
                <w:color w:val="auto"/>
                <w:sz w:val="24"/>
                <w:szCs w:val="24"/>
              </w:rPr>
            </w:pPr>
          </w:p>
          <w:p w14:paraId="2188030C">
            <w:pPr>
              <w:jc w:val="center"/>
              <w:rPr>
                <w:rFonts w:ascii="Times New Roman" w:hAnsi="Times New Roman"/>
                <w:b/>
                <w:color w:val="auto"/>
                <w:sz w:val="24"/>
                <w:szCs w:val="24"/>
              </w:rPr>
            </w:pPr>
          </w:p>
          <w:p w14:paraId="79E999D4">
            <w:pPr>
              <w:jc w:val="center"/>
              <w:rPr>
                <w:rFonts w:ascii="Times New Roman" w:hAnsi="Times New Roman"/>
                <w:b/>
                <w:color w:val="auto"/>
                <w:sz w:val="24"/>
                <w:szCs w:val="24"/>
              </w:rPr>
            </w:pPr>
          </w:p>
          <w:p w14:paraId="11BF5C3F">
            <w:pPr>
              <w:jc w:val="center"/>
              <w:rPr>
                <w:rFonts w:ascii="Times New Roman" w:hAnsi="Times New Roman"/>
                <w:b/>
                <w:color w:val="auto"/>
                <w:sz w:val="24"/>
                <w:szCs w:val="24"/>
              </w:rPr>
            </w:pPr>
          </w:p>
          <w:p w14:paraId="754284AC">
            <w:pPr>
              <w:jc w:val="center"/>
              <w:rPr>
                <w:rFonts w:ascii="Times New Roman" w:hAnsi="Times New Roman"/>
                <w:b/>
                <w:color w:val="auto"/>
                <w:sz w:val="24"/>
                <w:szCs w:val="24"/>
              </w:rPr>
            </w:pPr>
          </w:p>
          <w:p w14:paraId="13E8A5A3">
            <w:pPr>
              <w:jc w:val="center"/>
              <w:rPr>
                <w:rFonts w:ascii="Times New Roman" w:hAnsi="Times New Roman"/>
                <w:b/>
                <w:color w:val="auto"/>
                <w:sz w:val="24"/>
                <w:szCs w:val="24"/>
              </w:rPr>
            </w:pPr>
          </w:p>
          <w:p w14:paraId="5F270819">
            <w:pPr>
              <w:jc w:val="center"/>
              <w:rPr>
                <w:rFonts w:ascii="Times New Roman" w:hAnsi="Times New Roman"/>
                <w:b/>
                <w:color w:val="auto"/>
                <w:sz w:val="24"/>
                <w:szCs w:val="24"/>
              </w:rPr>
            </w:pPr>
          </w:p>
          <w:p w14:paraId="776E9586">
            <w:pPr>
              <w:jc w:val="center"/>
              <w:rPr>
                <w:rFonts w:ascii="Times New Roman" w:hAnsi="Times New Roman"/>
                <w:b/>
                <w:color w:val="auto"/>
                <w:sz w:val="24"/>
                <w:szCs w:val="24"/>
              </w:rPr>
            </w:pPr>
          </w:p>
          <w:p w14:paraId="686B2BD7">
            <w:pPr>
              <w:jc w:val="center"/>
              <w:rPr>
                <w:rFonts w:ascii="Times New Roman" w:hAnsi="Times New Roman"/>
                <w:b/>
                <w:color w:val="auto"/>
                <w:sz w:val="24"/>
                <w:szCs w:val="24"/>
              </w:rPr>
            </w:pPr>
          </w:p>
          <w:p w14:paraId="727DC22D">
            <w:pPr>
              <w:jc w:val="center"/>
              <w:rPr>
                <w:rFonts w:ascii="Times New Roman" w:hAnsi="Times New Roman"/>
                <w:b/>
                <w:color w:val="auto"/>
                <w:sz w:val="24"/>
                <w:szCs w:val="24"/>
              </w:rPr>
            </w:pPr>
          </w:p>
          <w:p w14:paraId="5D8F27D7">
            <w:pPr>
              <w:jc w:val="center"/>
              <w:rPr>
                <w:rFonts w:ascii="Times New Roman" w:hAnsi="Times New Roman"/>
                <w:b/>
                <w:color w:val="auto"/>
                <w:sz w:val="24"/>
                <w:szCs w:val="24"/>
              </w:rPr>
            </w:pPr>
            <w:r>
              <w:rPr>
                <w:rFonts w:ascii="Times New Roman" w:hAnsi="Times New Roman"/>
                <w:b/>
                <w:color w:val="auto"/>
                <w:sz w:val="24"/>
                <w:szCs w:val="24"/>
              </w:rPr>
              <w:t>生态环境现状</w:t>
            </w:r>
          </w:p>
          <w:p w14:paraId="57F847BC">
            <w:pPr>
              <w:jc w:val="center"/>
              <w:rPr>
                <w:rFonts w:ascii="Times New Roman" w:hAnsi="Times New Roman"/>
                <w:b/>
                <w:color w:val="auto"/>
                <w:sz w:val="24"/>
                <w:szCs w:val="24"/>
              </w:rPr>
            </w:pPr>
          </w:p>
          <w:p w14:paraId="6AE4CEF6">
            <w:pPr>
              <w:jc w:val="center"/>
              <w:rPr>
                <w:rFonts w:ascii="Times New Roman" w:hAnsi="Times New Roman"/>
                <w:b/>
                <w:color w:val="auto"/>
                <w:sz w:val="24"/>
                <w:szCs w:val="24"/>
              </w:rPr>
            </w:pPr>
          </w:p>
          <w:p w14:paraId="66E4A123">
            <w:pPr>
              <w:jc w:val="center"/>
              <w:rPr>
                <w:rFonts w:ascii="Times New Roman" w:hAnsi="Times New Roman"/>
                <w:b/>
                <w:color w:val="auto"/>
                <w:sz w:val="24"/>
                <w:szCs w:val="24"/>
              </w:rPr>
            </w:pPr>
          </w:p>
          <w:p w14:paraId="6C069999">
            <w:pPr>
              <w:jc w:val="center"/>
              <w:rPr>
                <w:rFonts w:ascii="Times New Roman" w:hAnsi="Times New Roman"/>
                <w:b/>
                <w:color w:val="auto"/>
                <w:sz w:val="24"/>
                <w:szCs w:val="24"/>
              </w:rPr>
            </w:pPr>
          </w:p>
          <w:p w14:paraId="543F7346">
            <w:pPr>
              <w:jc w:val="center"/>
              <w:rPr>
                <w:rFonts w:ascii="Times New Roman" w:hAnsi="Times New Roman"/>
                <w:b/>
                <w:color w:val="auto"/>
                <w:sz w:val="24"/>
                <w:szCs w:val="24"/>
              </w:rPr>
            </w:pPr>
          </w:p>
          <w:p w14:paraId="21362577">
            <w:pPr>
              <w:jc w:val="center"/>
              <w:rPr>
                <w:rFonts w:ascii="Times New Roman" w:hAnsi="Times New Roman"/>
                <w:b/>
                <w:color w:val="auto"/>
                <w:sz w:val="24"/>
                <w:szCs w:val="24"/>
              </w:rPr>
            </w:pPr>
          </w:p>
          <w:p w14:paraId="35480253">
            <w:pPr>
              <w:jc w:val="center"/>
              <w:rPr>
                <w:rFonts w:ascii="Times New Roman" w:hAnsi="Times New Roman"/>
                <w:b/>
                <w:color w:val="auto"/>
                <w:sz w:val="24"/>
                <w:szCs w:val="24"/>
              </w:rPr>
            </w:pPr>
          </w:p>
          <w:p w14:paraId="268DF78E">
            <w:pPr>
              <w:jc w:val="center"/>
              <w:rPr>
                <w:rFonts w:ascii="Times New Roman" w:hAnsi="Times New Roman"/>
                <w:b/>
                <w:color w:val="auto"/>
                <w:sz w:val="24"/>
                <w:szCs w:val="24"/>
              </w:rPr>
            </w:pPr>
          </w:p>
          <w:p w14:paraId="2F5ECE6A">
            <w:pPr>
              <w:jc w:val="center"/>
              <w:rPr>
                <w:rFonts w:ascii="Times New Roman" w:hAnsi="Times New Roman"/>
                <w:b/>
                <w:color w:val="auto"/>
                <w:sz w:val="24"/>
                <w:szCs w:val="24"/>
              </w:rPr>
            </w:pPr>
          </w:p>
          <w:p w14:paraId="63218B74">
            <w:pPr>
              <w:jc w:val="center"/>
              <w:rPr>
                <w:rFonts w:ascii="Times New Roman" w:hAnsi="Times New Roman"/>
                <w:b/>
                <w:color w:val="auto"/>
                <w:sz w:val="24"/>
                <w:szCs w:val="24"/>
              </w:rPr>
            </w:pPr>
          </w:p>
          <w:p w14:paraId="18EFBDE8">
            <w:pPr>
              <w:jc w:val="center"/>
              <w:rPr>
                <w:rFonts w:ascii="Times New Roman" w:hAnsi="Times New Roman"/>
                <w:b/>
                <w:color w:val="auto"/>
                <w:sz w:val="24"/>
                <w:szCs w:val="24"/>
              </w:rPr>
            </w:pPr>
          </w:p>
          <w:p w14:paraId="40551BD0">
            <w:pPr>
              <w:jc w:val="center"/>
              <w:rPr>
                <w:rFonts w:ascii="Times New Roman" w:hAnsi="Times New Roman"/>
                <w:b/>
                <w:color w:val="auto"/>
                <w:sz w:val="24"/>
                <w:szCs w:val="24"/>
              </w:rPr>
            </w:pPr>
          </w:p>
          <w:p w14:paraId="1C18CCB0">
            <w:pPr>
              <w:jc w:val="center"/>
              <w:rPr>
                <w:rFonts w:ascii="Times New Roman" w:hAnsi="Times New Roman"/>
                <w:b/>
                <w:color w:val="auto"/>
                <w:sz w:val="24"/>
                <w:szCs w:val="24"/>
              </w:rPr>
            </w:pPr>
          </w:p>
          <w:p w14:paraId="7E713268">
            <w:pPr>
              <w:jc w:val="center"/>
              <w:rPr>
                <w:rFonts w:ascii="Times New Roman" w:hAnsi="Times New Roman"/>
                <w:b/>
                <w:color w:val="auto"/>
                <w:sz w:val="24"/>
                <w:szCs w:val="24"/>
              </w:rPr>
            </w:pPr>
          </w:p>
          <w:p w14:paraId="57A7C201">
            <w:pPr>
              <w:jc w:val="center"/>
              <w:rPr>
                <w:rFonts w:ascii="Times New Roman" w:hAnsi="Times New Roman"/>
                <w:b/>
                <w:color w:val="auto"/>
                <w:sz w:val="24"/>
                <w:szCs w:val="24"/>
              </w:rPr>
            </w:pPr>
          </w:p>
          <w:p w14:paraId="59CA94E0">
            <w:pPr>
              <w:jc w:val="center"/>
              <w:rPr>
                <w:rFonts w:ascii="Times New Roman" w:hAnsi="Times New Roman"/>
                <w:b/>
                <w:color w:val="auto"/>
                <w:sz w:val="24"/>
                <w:szCs w:val="24"/>
              </w:rPr>
            </w:pPr>
          </w:p>
          <w:p w14:paraId="4BBE4086">
            <w:pPr>
              <w:jc w:val="center"/>
              <w:rPr>
                <w:rFonts w:ascii="Times New Roman" w:hAnsi="Times New Roman"/>
                <w:b/>
                <w:color w:val="auto"/>
                <w:sz w:val="24"/>
                <w:szCs w:val="24"/>
              </w:rPr>
            </w:pPr>
          </w:p>
          <w:p w14:paraId="5CBE24C7">
            <w:pPr>
              <w:jc w:val="center"/>
              <w:rPr>
                <w:rFonts w:ascii="Times New Roman" w:hAnsi="Times New Roman"/>
                <w:b/>
                <w:color w:val="auto"/>
                <w:sz w:val="24"/>
                <w:szCs w:val="24"/>
              </w:rPr>
            </w:pPr>
          </w:p>
          <w:p w14:paraId="0595C6CE">
            <w:pPr>
              <w:jc w:val="center"/>
              <w:rPr>
                <w:rFonts w:ascii="Times New Roman" w:hAnsi="Times New Roman"/>
                <w:b/>
                <w:color w:val="auto"/>
                <w:sz w:val="24"/>
                <w:szCs w:val="24"/>
              </w:rPr>
            </w:pPr>
          </w:p>
          <w:p w14:paraId="5DF87E83">
            <w:pPr>
              <w:jc w:val="center"/>
              <w:rPr>
                <w:rFonts w:ascii="Times New Roman" w:hAnsi="Times New Roman"/>
                <w:b/>
                <w:color w:val="auto"/>
                <w:sz w:val="24"/>
                <w:szCs w:val="24"/>
              </w:rPr>
            </w:pPr>
          </w:p>
          <w:p w14:paraId="211A51D7">
            <w:pPr>
              <w:jc w:val="center"/>
              <w:rPr>
                <w:rFonts w:ascii="Times New Roman" w:hAnsi="Times New Roman"/>
                <w:b/>
                <w:color w:val="auto"/>
                <w:sz w:val="24"/>
                <w:szCs w:val="24"/>
              </w:rPr>
            </w:pPr>
          </w:p>
          <w:p w14:paraId="09C26E50">
            <w:pPr>
              <w:jc w:val="center"/>
              <w:rPr>
                <w:rFonts w:ascii="Times New Roman" w:hAnsi="Times New Roman"/>
                <w:b/>
                <w:color w:val="auto"/>
                <w:sz w:val="24"/>
                <w:szCs w:val="24"/>
              </w:rPr>
            </w:pPr>
          </w:p>
          <w:p w14:paraId="030EB84D">
            <w:pPr>
              <w:jc w:val="center"/>
              <w:rPr>
                <w:rFonts w:ascii="Times New Roman" w:hAnsi="Times New Roman"/>
                <w:b/>
                <w:color w:val="auto"/>
                <w:sz w:val="24"/>
                <w:szCs w:val="24"/>
              </w:rPr>
            </w:pPr>
          </w:p>
          <w:p w14:paraId="66C10F27">
            <w:pPr>
              <w:jc w:val="center"/>
              <w:rPr>
                <w:rFonts w:ascii="Times New Roman" w:hAnsi="Times New Roman"/>
                <w:b/>
                <w:color w:val="auto"/>
                <w:sz w:val="24"/>
                <w:szCs w:val="24"/>
              </w:rPr>
            </w:pPr>
          </w:p>
          <w:p w14:paraId="176F3951">
            <w:pPr>
              <w:jc w:val="center"/>
              <w:rPr>
                <w:rFonts w:ascii="Times New Roman" w:hAnsi="Times New Roman"/>
                <w:b/>
                <w:color w:val="auto"/>
                <w:sz w:val="24"/>
                <w:szCs w:val="24"/>
              </w:rPr>
            </w:pPr>
          </w:p>
          <w:p w14:paraId="20F6A35B">
            <w:pPr>
              <w:jc w:val="center"/>
              <w:rPr>
                <w:rFonts w:ascii="Times New Roman" w:hAnsi="Times New Roman"/>
                <w:b/>
                <w:color w:val="auto"/>
                <w:sz w:val="24"/>
                <w:szCs w:val="24"/>
              </w:rPr>
            </w:pPr>
          </w:p>
          <w:p w14:paraId="30E5A61D">
            <w:pPr>
              <w:jc w:val="center"/>
              <w:rPr>
                <w:rFonts w:ascii="Times New Roman" w:hAnsi="Times New Roman"/>
                <w:b/>
                <w:color w:val="auto"/>
                <w:sz w:val="24"/>
                <w:szCs w:val="24"/>
              </w:rPr>
            </w:pPr>
          </w:p>
          <w:p w14:paraId="75226805">
            <w:pPr>
              <w:jc w:val="center"/>
              <w:rPr>
                <w:rFonts w:ascii="Times New Roman" w:hAnsi="Times New Roman"/>
                <w:b/>
                <w:color w:val="auto"/>
                <w:sz w:val="24"/>
                <w:szCs w:val="24"/>
              </w:rPr>
            </w:pPr>
          </w:p>
          <w:p w14:paraId="43FD7E94">
            <w:pPr>
              <w:jc w:val="center"/>
              <w:rPr>
                <w:rFonts w:ascii="Times New Roman" w:hAnsi="Times New Roman"/>
                <w:b/>
                <w:color w:val="auto"/>
                <w:sz w:val="24"/>
                <w:szCs w:val="24"/>
              </w:rPr>
            </w:pPr>
          </w:p>
          <w:p w14:paraId="6EEDC9DB">
            <w:pPr>
              <w:jc w:val="center"/>
              <w:rPr>
                <w:rFonts w:ascii="Times New Roman" w:hAnsi="Times New Roman"/>
                <w:b/>
                <w:color w:val="auto"/>
                <w:sz w:val="24"/>
                <w:szCs w:val="24"/>
              </w:rPr>
            </w:pPr>
          </w:p>
          <w:p w14:paraId="3365CB73">
            <w:pPr>
              <w:jc w:val="center"/>
              <w:rPr>
                <w:rFonts w:ascii="Times New Roman" w:hAnsi="Times New Roman"/>
                <w:b/>
                <w:color w:val="auto"/>
                <w:sz w:val="24"/>
                <w:szCs w:val="24"/>
              </w:rPr>
            </w:pPr>
          </w:p>
          <w:p w14:paraId="633ABC0A">
            <w:pPr>
              <w:jc w:val="center"/>
              <w:rPr>
                <w:rFonts w:ascii="Times New Roman" w:hAnsi="Times New Roman"/>
                <w:b/>
                <w:color w:val="auto"/>
                <w:sz w:val="24"/>
                <w:szCs w:val="24"/>
              </w:rPr>
            </w:pPr>
          </w:p>
          <w:p w14:paraId="5F4CAD7D">
            <w:pPr>
              <w:jc w:val="center"/>
              <w:rPr>
                <w:rFonts w:ascii="Times New Roman" w:hAnsi="Times New Roman"/>
                <w:b/>
                <w:color w:val="auto"/>
                <w:sz w:val="24"/>
                <w:szCs w:val="24"/>
              </w:rPr>
            </w:pPr>
          </w:p>
          <w:p w14:paraId="1BA876CB">
            <w:pPr>
              <w:jc w:val="center"/>
              <w:rPr>
                <w:rFonts w:ascii="Times New Roman" w:hAnsi="Times New Roman"/>
                <w:b/>
                <w:color w:val="auto"/>
                <w:sz w:val="24"/>
                <w:szCs w:val="24"/>
              </w:rPr>
            </w:pPr>
          </w:p>
          <w:p w14:paraId="28E2102E">
            <w:pPr>
              <w:jc w:val="center"/>
              <w:rPr>
                <w:rFonts w:ascii="Times New Roman" w:hAnsi="Times New Roman"/>
                <w:b/>
                <w:color w:val="auto"/>
                <w:sz w:val="24"/>
                <w:szCs w:val="24"/>
              </w:rPr>
            </w:pPr>
          </w:p>
          <w:p w14:paraId="039384AA">
            <w:pPr>
              <w:jc w:val="center"/>
              <w:rPr>
                <w:rFonts w:ascii="Times New Roman" w:hAnsi="Times New Roman"/>
                <w:b/>
                <w:color w:val="auto"/>
                <w:sz w:val="24"/>
                <w:szCs w:val="24"/>
              </w:rPr>
            </w:pPr>
          </w:p>
          <w:p w14:paraId="4D5519F7">
            <w:pPr>
              <w:jc w:val="center"/>
              <w:rPr>
                <w:rFonts w:ascii="Times New Roman" w:hAnsi="Times New Roman"/>
                <w:b/>
                <w:color w:val="auto"/>
                <w:sz w:val="24"/>
                <w:szCs w:val="24"/>
              </w:rPr>
            </w:pPr>
          </w:p>
          <w:p w14:paraId="54D1F903">
            <w:pPr>
              <w:jc w:val="center"/>
              <w:rPr>
                <w:rFonts w:ascii="Times New Roman" w:hAnsi="Times New Roman"/>
                <w:b/>
                <w:color w:val="auto"/>
                <w:sz w:val="24"/>
                <w:szCs w:val="24"/>
              </w:rPr>
            </w:pPr>
            <w:r>
              <w:rPr>
                <w:rFonts w:ascii="Times New Roman" w:hAnsi="Times New Roman"/>
                <w:b/>
                <w:color w:val="auto"/>
                <w:sz w:val="24"/>
                <w:szCs w:val="24"/>
              </w:rPr>
              <w:t>生态环境现状</w:t>
            </w:r>
          </w:p>
          <w:p w14:paraId="164AD197">
            <w:pPr>
              <w:jc w:val="center"/>
              <w:rPr>
                <w:rFonts w:ascii="Times New Roman" w:hAnsi="Times New Roman"/>
                <w:b/>
                <w:color w:val="auto"/>
                <w:sz w:val="24"/>
                <w:szCs w:val="24"/>
              </w:rPr>
            </w:pPr>
          </w:p>
          <w:p w14:paraId="4F575E1A">
            <w:pPr>
              <w:jc w:val="center"/>
              <w:rPr>
                <w:rFonts w:ascii="Times New Roman" w:hAnsi="Times New Roman"/>
                <w:b/>
                <w:color w:val="auto"/>
                <w:sz w:val="24"/>
                <w:szCs w:val="24"/>
              </w:rPr>
            </w:pPr>
          </w:p>
          <w:p w14:paraId="65C1F9E3">
            <w:pPr>
              <w:jc w:val="center"/>
              <w:rPr>
                <w:rFonts w:ascii="Times New Roman" w:hAnsi="Times New Roman"/>
                <w:b/>
                <w:color w:val="auto"/>
                <w:sz w:val="24"/>
                <w:szCs w:val="24"/>
              </w:rPr>
            </w:pPr>
          </w:p>
          <w:p w14:paraId="5D9C6FA0">
            <w:pPr>
              <w:jc w:val="center"/>
              <w:rPr>
                <w:rFonts w:ascii="Times New Roman" w:hAnsi="Times New Roman"/>
                <w:b/>
                <w:color w:val="auto"/>
                <w:sz w:val="24"/>
                <w:szCs w:val="24"/>
              </w:rPr>
            </w:pPr>
          </w:p>
          <w:p w14:paraId="5573381F">
            <w:pPr>
              <w:jc w:val="center"/>
              <w:rPr>
                <w:rFonts w:ascii="Times New Roman" w:hAnsi="Times New Roman"/>
                <w:b/>
                <w:color w:val="auto"/>
                <w:sz w:val="24"/>
                <w:szCs w:val="24"/>
              </w:rPr>
            </w:pPr>
          </w:p>
          <w:p w14:paraId="403CE5C9">
            <w:pPr>
              <w:jc w:val="center"/>
              <w:rPr>
                <w:rFonts w:ascii="Times New Roman" w:hAnsi="Times New Roman"/>
                <w:b/>
                <w:color w:val="auto"/>
                <w:sz w:val="24"/>
                <w:szCs w:val="24"/>
              </w:rPr>
            </w:pPr>
          </w:p>
          <w:p w14:paraId="7B4838C4">
            <w:pPr>
              <w:jc w:val="center"/>
              <w:rPr>
                <w:rFonts w:ascii="Times New Roman" w:hAnsi="Times New Roman"/>
                <w:b/>
                <w:color w:val="auto"/>
                <w:sz w:val="24"/>
                <w:szCs w:val="24"/>
              </w:rPr>
            </w:pPr>
          </w:p>
          <w:p w14:paraId="1CB6B4DC">
            <w:pPr>
              <w:jc w:val="center"/>
              <w:rPr>
                <w:rFonts w:ascii="Times New Roman" w:hAnsi="Times New Roman"/>
                <w:b/>
                <w:color w:val="auto"/>
                <w:sz w:val="24"/>
                <w:szCs w:val="24"/>
              </w:rPr>
            </w:pPr>
          </w:p>
          <w:p w14:paraId="284526ED">
            <w:pPr>
              <w:jc w:val="center"/>
              <w:rPr>
                <w:rFonts w:ascii="Times New Roman" w:hAnsi="Times New Roman"/>
                <w:b/>
                <w:color w:val="auto"/>
                <w:sz w:val="24"/>
                <w:szCs w:val="24"/>
              </w:rPr>
            </w:pPr>
          </w:p>
          <w:p w14:paraId="7FF3251D">
            <w:pPr>
              <w:jc w:val="center"/>
              <w:rPr>
                <w:rFonts w:ascii="Times New Roman" w:hAnsi="Times New Roman"/>
                <w:b/>
                <w:color w:val="auto"/>
                <w:sz w:val="24"/>
                <w:szCs w:val="24"/>
              </w:rPr>
            </w:pPr>
          </w:p>
          <w:p w14:paraId="2DE3D3A1">
            <w:pPr>
              <w:jc w:val="center"/>
              <w:rPr>
                <w:rFonts w:ascii="Times New Roman" w:hAnsi="Times New Roman"/>
                <w:b/>
                <w:color w:val="auto"/>
                <w:sz w:val="24"/>
                <w:szCs w:val="24"/>
              </w:rPr>
            </w:pPr>
          </w:p>
        </w:tc>
        <w:tc>
          <w:tcPr>
            <w:tcW w:w="8645" w:type="dxa"/>
            <w:shd w:val="clear" w:color="auto" w:fill="auto"/>
          </w:tcPr>
          <w:p w14:paraId="183A9857">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3.1与主体功能、生态功能符合性</w:t>
            </w:r>
          </w:p>
          <w:p w14:paraId="1AF2F4B6">
            <w:pPr>
              <w:adjustRightInd w:val="0"/>
              <w:snapToGrid w:val="0"/>
              <w:spacing w:line="440" w:lineRule="exact"/>
              <w:ind w:firstLine="482" w:firstLineChars="200"/>
              <w:rPr>
                <w:rFonts w:ascii="Times New Roman" w:hAnsi="Times New Roman"/>
                <w:b/>
                <w:color w:val="auto"/>
                <w:kern w:val="0"/>
                <w:sz w:val="24"/>
                <w:szCs w:val="20"/>
              </w:rPr>
            </w:pPr>
            <w:r>
              <w:rPr>
                <w:rFonts w:ascii="Times New Roman" w:hAnsi="Times New Roman"/>
                <w:b/>
                <w:color w:val="auto"/>
                <w:sz w:val="24"/>
                <w:szCs w:val="24"/>
              </w:rPr>
              <w:t xml:space="preserve">3.1.1 </w:t>
            </w:r>
            <w:r>
              <w:rPr>
                <w:rFonts w:ascii="Times New Roman" w:hAnsi="Times New Roman"/>
                <w:b/>
                <w:color w:val="auto"/>
                <w:kern w:val="0"/>
                <w:sz w:val="24"/>
                <w:szCs w:val="20"/>
              </w:rPr>
              <w:t>与</w:t>
            </w:r>
            <w:r>
              <w:rPr>
                <w:rFonts w:ascii="Times New Roman" w:hAnsi="Times New Roman"/>
                <w:b/>
                <w:color w:val="auto"/>
                <w:kern w:val="0"/>
                <w:sz w:val="24"/>
                <w:szCs w:val="24"/>
              </w:rPr>
              <w:t>《云南省生态</w:t>
            </w:r>
            <w:r>
              <w:rPr>
                <w:rFonts w:ascii="Times New Roman" w:hAnsi="Times New Roman"/>
                <w:b/>
                <w:color w:val="auto"/>
                <w:sz w:val="24"/>
                <w:szCs w:val="24"/>
              </w:rPr>
              <w:t>功能</w:t>
            </w:r>
            <w:r>
              <w:rPr>
                <w:rFonts w:ascii="Times New Roman" w:hAnsi="Times New Roman"/>
                <w:b/>
                <w:color w:val="auto"/>
                <w:kern w:val="0"/>
                <w:sz w:val="24"/>
                <w:szCs w:val="24"/>
              </w:rPr>
              <w:t>区划》的符合性分析</w:t>
            </w:r>
          </w:p>
          <w:p w14:paraId="75A298F2">
            <w:pPr>
              <w:topLinePunct/>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kern w:val="0"/>
                <w:sz w:val="24"/>
                <w:szCs w:val="24"/>
              </w:rPr>
              <w:t>根据《云南省生态功能区划》，</w:t>
            </w:r>
            <w:r>
              <w:rPr>
                <w:rFonts w:ascii="Times New Roman" w:hAnsi="Times New Roman"/>
                <w:color w:val="auto"/>
                <w:sz w:val="24"/>
              </w:rPr>
              <w:t>项目区属于该区划中“Ⅲ高原亚热带北部常绿阔叶林生态区”，“Ⅲ4滇东北高中山暖性针叶林、亚高山草甸生态亚区”生态亚区，“Ⅲ4-3以礼河、硝厂河高山深谷水土保持生态功能区”。</w:t>
            </w:r>
          </w:p>
          <w:p w14:paraId="79D269E8">
            <w:pPr>
              <w:autoSpaceDE w:val="0"/>
              <w:autoSpaceDN w:val="0"/>
              <w:jc w:val="center"/>
              <w:rPr>
                <w:rFonts w:ascii="Times New Roman" w:hAnsi="Times New Roman"/>
                <w:b/>
                <w:color w:val="auto"/>
                <w:sz w:val="24"/>
              </w:rPr>
            </w:pPr>
            <w:r>
              <w:rPr>
                <w:rFonts w:ascii="Times New Roman" w:hAnsi="Times New Roman"/>
                <w:b/>
                <w:color w:val="auto"/>
                <w:sz w:val="24"/>
              </w:rPr>
              <w:t>表3-1  项目区域生态功能区划</w:t>
            </w:r>
          </w:p>
          <w:tbl>
            <w:tblPr>
              <w:tblStyle w:val="27"/>
              <w:tblW w:w="844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3"/>
              <w:gridCol w:w="893"/>
              <w:gridCol w:w="788"/>
              <w:gridCol w:w="859"/>
              <w:gridCol w:w="1699"/>
              <w:gridCol w:w="776"/>
              <w:gridCol w:w="644"/>
              <w:gridCol w:w="850"/>
              <w:gridCol w:w="1245"/>
            </w:tblGrid>
            <w:tr w14:paraId="477BA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4" w:type="dxa"/>
                  <w:gridSpan w:val="3"/>
                  <w:tcBorders>
                    <w:tl2br w:val="nil"/>
                    <w:tr2bl w:val="nil"/>
                  </w:tcBorders>
                  <w:tcMar>
                    <w:top w:w="0" w:type="dxa"/>
                    <w:left w:w="51" w:type="dxa"/>
                    <w:bottom w:w="0" w:type="dxa"/>
                    <w:right w:w="51" w:type="dxa"/>
                  </w:tcMar>
                  <w:vAlign w:val="center"/>
                </w:tcPr>
                <w:p w14:paraId="1835DC00">
                  <w:pPr>
                    <w:adjustRightInd w:val="0"/>
                    <w:snapToGrid w:val="0"/>
                    <w:jc w:val="center"/>
                    <w:rPr>
                      <w:rFonts w:ascii="Times New Roman" w:hAnsi="Times New Roman"/>
                      <w:b/>
                      <w:bCs/>
                      <w:color w:val="auto"/>
                      <w:szCs w:val="21"/>
                    </w:rPr>
                  </w:pPr>
                  <w:r>
                    <w:rPr>
                      <w:rFonts w:ascii="Times New Roman" w:hAnsi="Times New Roman"/>
                      <w:b/>
                      <w:bCs/>
                      <w:color w:val="auto"/>
                      <w:szCs w:val="21"/>
                    </w:rPr>
                    <w:t>生态功能分区单元</w:t>
                  </w:r>
                </w:p>
              </w:tc>
              <w:tc>
                <w:tcPr>
                  <w:tcW w:w="859" w:type="dxa"/>
                  <w:vMerge w:val="restart"/>
                  <w:tcBorders>
                    <w:tl2br w:val="nil"/>
                    <w:tr2bl w:val="nil"/>
                  </w:tcBorders>
                  <w:tcMar>
                    <w:top w:w="0" w:type="dxa"/>
                    <w:left w:w="51" w:type="dxa"/>
                    <w:bottom w:w="0" w:type="dxa"/>
                    <w:right w:w="51" w:type="dxa"/>
                  </w:tcMar>
                  <w:vAlign w:val="center"/>
                </w:tcPr>
                <w:p w14:paraId="6545A312">
                  <w:pPr>
                    <w:adjustRightInd w:val="0"/>
                    <w:snapToGrid w:val="0"/>
                    <w:jc w:val="center"/>
                    <w:rPr>
                      <w:rFonts w:ascii="Times New Roman" w:hAnsi="Times New Roman"/>
                      <w:b/>
                      <w:bCs/>
                      <w:color w:val="auto"/>
                      <w:szCs w:val="21"/>
                    </w:rPr>
                  </w:pPr>
                  <w:r>
                    <w:rPr>
                      <w:rFonts w:ascii="Times New Roman" w:hAnsi="Times New Roman"/>
                      <w:b/>
                      <w:bCs/>
                      <w:color w:val="auto"/>
                      <w:szCs w:val="21"/>
                    </w:rPr>
                    <w:t>所在区域与面积</w:t>
                  </w:r>
                </w:p>
              </w:tc>
              <w:tc>
                <w:tcPr>
                  <w:tcW w:w="1699" w:type="dxa"/>
                  <w:vMerge w:val="restart"/>
                  <w:tcBorders>
                    <w:tl2br w:val="nil"/>
                    <w:tr2bl w:val="nil"/>
                  </w:tcBorders>
                  <w:tcMar>
                    <w:top w:w="0" w:type="dxa"/>
                    <w:left w:w="51" w:type="dxa"/>
                    <w:bottom w:w="0" w:type="dxa"/>
                    <w:right w:w="51" w:type="dxa"/>
                  </w:tcMar>
                  <w:vAlign w:val="center"/>
                </w:tcPr>
                <w:p w14:paraId="3B8DD6C9">
                  <w:pPr>
                    <w:adjustRightInd w:val="0"/>
                    <w:snapToGrid w:val="0"/>
                    <w:jc w:val="center"/>
                    <w:rPr>
                      <w:rFonts w:ascii="Times New Roman" w:hAnsi="Times New Roman"/>
                      <w:b/>
                      <w:bCs/>
                      <w:color w:val="auto"/>
                      <w:szCs w:val="21"/>
                    </w:rPr>
                  </w:pPr>
                  <w:r>
                    <w:rPr>
                      <w:rFonts w:ascii="Times New Roman" w:hAnsi="Times New Roman"/>
                      <w:b/>
                      <w:bCs/>
                      <w:color w:val="auto"/>
                      <w:szCs w:val="21"/>
                    </w:rPr>
                    <w:t>主要生态特征</w:t>
                  </w:r>
                </w:p>
              </w:tc>
              <w:tc>
                <w:tcPr>
                  <w:tcW w:w="776" w:type="dxa"/>
                  <w:vMerge w:val="restart"/>
                  <w:tcBorders>
                    <w:tl2br w:val="nil"/>
                    <w:tr2bl w:val="nil"/>
                  </w:tcBorders>
                  <w:tcMar>
                    <w:top w:w="0" w:type="dxa"/>
                    <w:left w:w="51" w:type="dxa"/>
                    <w:bottom w:w="0" w:type="dxa"/>
                    <w:right w:w="51" w:type="dxa"/>
                  </w:tcMar>
                  <w:vAlign w:val="center"/>
                </w:tcPr>
                <w:p w14:paraId="4B75B06A">
                  <w:pPr>
                    <w:adjustRightInd w:val="0"/>
                    <w:snapToGrid w:val="0"/>
                    <w:jc w:val="center"/>
                    <w:rPr>
                      <w:rFonts w:ascii="Times New Roman" w:hAnsi="Times New Roman"/>
                      <w:b/>
                      <w:bCs/>
                      <w:color w:val="auto"/>
                      <w:szCs w:val="21"/>
                    </w:rPr>
                  </w:pPr>
                  <w:r>
                    <w:rPr>
                      <w:rFonts w:ascii="Times New Roman" w:hAnsi="Times New Roman"/>
                      <w:b/>
                      <w:bCs/>
                      <w:color w:val="auto"/>
                      <w:szCs w:val="21"/>
                    </w:rPr>
                    <w:t>主要生态环境问题</w:t>
                  </w:r>
                </w:p>
              </w:tc>
              <w:tc>
                <w:tcPr>
                  <w:tcW w:w="644" w:type="dxa"/>
                  <w:vMerge w:val="restart"/>
                  <w:tcBorders>
                    <w:tl2br w:val="nil"/>
                    <w:tr2bl w:val="nil"/>
                  </w:tcBorders>
                  <w:tcMar>
                    <w:top w:w="0" w:type="dxa"/>
                    <w:left w:w="51" w:type="dxa"/>
                    <w:bottom w:w="0" w:type="dxa"/>
                    <w:right w:w="51" w:type="dxa"/>
                  </w:tcMar>
                  <w:vAlign w:val="center"/>
                </w:tcPr>
                <w:p w14:paraId="7CFDB2B6">
                  <w:pPr>
                    <w:adjustRightInd w:val="0"/>
                    <w:snapToGrid w:val="0"/>
                    <w:jc w:val="center"/>
                    <w:rPr>
                      <w:rFonts w:ascii="Times New Roman" w:hAnsi="Times New Roman"/>
                      <w:b/>
                      <w:bCs/>
                      <w:color w:val="auto"/>
                      <w:szCs w:val="21"/>
                    </w:rPr>
                  </w:pPr>
                  <w:r>
                    <w:rPr>
                      <w:rFonts w:ascii="Times New Roman" w:hAnsi="Times New Roman"/>
                      <w:b/>
                      <w:bCs/>
                      <w:color w:val="auto"/>
                      <w:szCs w:val="21"/>
                    </w:rPr>
                    <w:t>生态环境敏感性</w:t>
                  </w:r>
                </w:p>
              </w:tc>
              <w:tc>
                <w:tcPr>
                  <w:tcW w:w="850" w:type="dxa"/>
                  <w:vMerge w:val="restart"/>
                  <w:tcBorders>
                    <w:tl2br w:val="nil"/>
                    <w:tr2bl w:val="nil"/>
                  </w:tcBorders>
                  <w:tcMar>
                    <w:top w:w="0" w:type="dxa"/>
                    <w:left w:w="51" w:type="dxa"/>
                    <w:bottom w:w="0" w:type="dxa"/>
                    <w:right w:w="51" w:type="dxa"/>
                  </w:tcMar>
                  <w:vAlign w:val="center"/>
                </w:tcPr>
                <w:p w14:paraId="2BBDF903">
                  <w:pPr>
                    <w:adjustRightInd w:val="0"/>
                    <w:snapToGrid w:val="0"/>
                    <w:jc w:val="center"/>
                    <w:rPr>
                      <w:rFonts w:ascii="Times New Roman" w:hAnsi="Times New Roman"/>
                      <w:b/>
                      <w:bCs/>
                      <w:color w:val="auto"/>
                      <w:szCs w:val="21"/>
                    </w:rPr>
                  </w:pPr>
                  <w:r>
                    <w:rPr>
                      <w:rFonts w:ascii="Times New Roman" w:hAnsi="Times New Roman"/>
                      <w:b/>
                      <w:bCs/>
                      <w:color w:val="auto"/>
                      <w:szCs w:val="21"/>
                    </w:rPr>
                    <w:t>主要生态系统服务功能</w:t>
                  </w:r>
                </w:p>
              </w:tc>
              <w:tc>
                <w:tcPr>
                  <w:tcW w:w="1245" w:type="dxa"/>
                  <w:vMerge w:val="restart"/>
                  <w:tcBorders>
                    <w:tl2br w:val="nil"/>
                    <w:tr2bl w:val="nil"/>
                  </w:tcBorders>
                  <w:tcMar>
                    <w:top w:w="0" w:type="dxa"/>
                    <w:left w:w="51" w:type="dxa"/>
                    <w:bottom w:w="0" w:type="dxa"/>
                    <w:right w:w="51" w:type="dxa"/>
                  </w:tcMar>
                  <w:vAlign w:val="center"/>
                </w:tcPr>
                <w:p w14:paraId="3206BC89">
                  <w:pPr>
                    <w:adjustRightInd w:val="0"/>
                    <w:snapToGrid w:val="0"/>
                    <w:jc w:val="center"/>
                    <w:rPr>
                      <w:rFonts w:ascii="Times New Roman" w:hAnsi="Times New Roman"/>
                      <w:b/>
                      <w:bCs/>
                      <w:color w:val="auto"/>
                      <w:szCs w:val="21"/>
                    </w:rPr>
                  </w:pPr>
                  <w:r>
                    <w:rPr>
                      <w:rFonts w:ascii="Times New Roman" w:hAnsi="Times New Roman"/>
                      <w:b/>
                      <w:bCs/>
                      <w:color w:val="auto"/>
                      <w:szCs w:val="21"/>
                    </w:rPr>
                    <w:t>保护措施与发展方向</w:t>
                  </w:r>
                </w:p>
              </w:tc>
            </w:tr>
            <w:tr w14:paraId="5F5B1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3" w:type="dxa"/>
                  <w:tcBorders>
                    <w:tl2br w:val="nil"/>
                    <w:tr2bl w:val="nil"/>
                  </w:tcBorders>
                  <w:tcMar>
                    <w:top w:w="0" w:type="dxa"/>
                    <w:left w:w="51" w:type="dxa"/>
                    <w:bottom w:w="0" w:type="dxa"/>
                    <w:right w:w="51" w:type="dxa"/>
                  </w:tcMar>
                  <w:vAlign w:val="center"/>
                </w:tcPr>
                <w:p w14:paraId="6D13BE9C">
                  <w:pPr>
                    <w:adjustRightInd w:val="0"/>
                    <w:snapToGrid w:val="0"/>
                    <w:jc w:val="center"/>
                    <w:rPr>
                      <w:rFonts w:ascii="Times New Roman" w:hAnsi="Times New Roman"/>
                      <w:b/>
                      <w:bCs/>
                      <w:color w:val="auto"/>
                      <w:szCs w:val="21"/>
                    </w:rPr>
                  </w:pPr>
                  <w:r>
                    <w:rPr>
                      <w:rFonts w:ascii="Times New Roman" w:hAnsi="Times New Roman"/>
                      <w:b/>
                      <w:bCs/>
                      <w:color w:val="auto"/>
                      <w:szCs w:val="21"/>
                    </w:rPr>
                    <w:t>生态区</w:t>
                  </w:r>
                </w:p>
              </w:tc>
              <w:tc>
                <w:tcPr>
                  <w:tcW w:w="893" w:type="dxa"/>
                  <w:tcBorders>
                    <w:tl2br w:val="nil"/>
                    <w:tr2bl w:val="nil"/>
                  </w:tcBorders>
                  <w:tcMar>
                    <w:top w:w="0" w:type="dxa"/>
                    <w:left w:w="51" w:type="dxa"/>
                    <w:bottom w:w="0" w:type="dxa"/>
                    <w:right w:w="51" w:type="dxa"/>
                  </w:tcMar>
                  <w:vAlign w:val="center"/>
                </w:tcPr>
                <w:p w14:paraId="298466A7">
                  <w:pPr>
                    <w:adjustRightInd w:val="0"/>
                    <w:snapToGrid w:val="0"/>
                    <w:jc w:val="center"/>
                    <w:rPr>
                      <w:rFonts w:ascii="Times New Roman" w:hAnsi="Times New Roman"/>
                      <w:b/>
                      <w:bCs/>
                      <w:color w:val="auto"/>
                      <w:szCs w:val="21"/>
                    </w:rPr>
                  </w:pPr>
                  <w:r>
                    <w:rPr>
                      <w:rFonts w:ascii="Times New Roman" w:hAnsi="Times New Roman"/>
                      <w:b/>
                      <w:bCs/>
                      <w:color w:val="auto"/>
                      <w:szCs w:val="21"/>
                    </w:rPr>
                    <w:t>生态亚区</w:t>
                  </w:r>
                </w:p>
              </w:tc>
              <w:tc>
                <w:tcPr>
                  <w:tcW w:w="788" w:type="dxa"/>
                  <w:tcBorders>
                    <w:tl2br w:val="nil"/>
                    <w:tr2bl w:val="nil"/>
                  </w:tcBorders>
                  <w:tcMar>
                    <w:top w:w="0" w:type="dxa"/>
                    <w:left w:w="51" w:type="dxa"/>
                    <w:bottom w:w="0" w:type="dxa"/>
                    <w:right w:w="51" w:type="dxa"/>
                  </w:tcMar>
                  <w:vAlign w:val="center"/>
                </w:tcPr>
                <w:p w14:paraId="5762D16F">
                  <w:pPr>
                    <w:adjustRightInd w:val="0"/>
                    <w:snapToGrid w:val="0"/>
                    <w:jc w:val="center"/>
                    <w:rPr>
                      <w:rFonts w:ascii="Times New Roman" w:hAnsi="Times New Roman"/>
                      <w:b/>
                      <w:bCs/>
                      <w:color w:val="auto"/>
                      <w:szCs w:val="21"/>
                    </w:rPr>
                  </w:pPr>
                  <w:r>
                    <w:rPr>
                      <w:rFonts w:ascii="Times New Roman" w:hAnsi="Times New Roman"/>
                      <w:b/>
                      <w:bCs/>
                      <w:color w:val="auto"/>
                      <w:szCs w:val="21"/>
                    </w:rPr>
                    <w:t>生态功能区</w:t>
                  </w:r>
                </w:p>
              </w:tc>
              <w:tc>
                <w:tcPr>
                  <w:tcW w:w="859" w:type="dxa"/>
                  <w:vMerge w:val="continue"/>
                  <w:tcBorders>
                    <w:tl2br w:val="nil"/>
                    <w:tr2bl w:val="nil"/>
                  </w:tcBorders>
                  <w:tcMar>
                    <w:top w:w="0" w:type="dxa"/>
                    <w:left w:w="51" w:type="dxa"/>
                    <w:bottom w:w="0" w:type="dxa"/>
                    <w:right w:w="51" w:type="dxa"/>
                  </w:tcMar>
                  <w:vAlign w:val="center"/>
                </w:tcPr>
                <w:p w14:paraId="05097515">
                  <w:pPr>
                    <w:adjustRightInd w:val="0"/>
                    <w:snapToGrid w:val="0"/>
                    <w:jc w:val="center"/>
                    <w:rPr>
                      <w:rFonts w:ascii="Times New Roman" w:hAnsi="Times New Roman"/>
                      <w:b/>
                      <w:bCs/>
                      <w:color w:val="auto"/>
                      <w:szCs w:val="21"/>
                    </w:rPr>
                  </w:pPr>
                </w:p>
              </w:tc>
              <w:tc>
                <w:tcPr>
                  <w:tcW w:w="1699" w:type="dxa"/>
                  <w:vMerge w:val="continue"/>
                  <w:tcBorders>
                    <w:tl2br w:val="nil"/>
                    <w:tr2bl w:val="nil"/>
                  </w:tcBorders>
                  <w:tcMar>
                    <w:top w:w="0" w:type="dxa"/>
                    <w:left w:w="51" w:type="dxa"/>
                    <w:bottom w:w="0" w:type="dxa"/>
                    <w:right w:w="51" w:type="dxa"/>
                  </w:tcMar>
                  <w:vAlign w:val="center"/>
                </w:tcPr>
                <w:p w14:paraId="56DD4D5E">
                  <w:pPr>
                    <w:adjustRightInd w:val="0"/>
                    <w:snapToGrid w:val="0"/>
                    <w:jc w:val="center"/>
                    <w:rPr>
                      <w:rFonts w:ascii="Times New Roman" w:hAnsi="Times New Roman"/>
                      <w:b/>
                      <w:bCs/>
                      <w:color w:val="auto"/>
                      <w:szCs w:val="21"/>
                    </w:rPr>
                  </w:pPr>
                </w:p>
              </w:tc>
              <w:tc>
                <w:tcPr>
                  <w:tcW w:w="776" w:type="dxa"/>
                  <w:vMerge w:val="continue"/>
                  <w:tcBorders>
                    <w:tl2br w:val="nil"/>
                    <w:tr2bl w:val="nil"/>
                  </w:tcBorders>
                  <w:tcMar>
                    <w:top w:w="0" w:type="dxa"/>
                    <w:left w:w="51" w:type="dxa"/>
                    <w:bottom w:w="0" w:type="dxa"/>
                    <w:right w:w="51" w:type="dxa"/>
                  </w:tcMar>
                  <w:vAlign w:val="center"/>
                </w:tcPr>
                <w:p w14:paraId="02EDE578">
                  <w:pPr>
                    <w:adjustRightInd w:val="0"/>
                    <w:snapToGrid w:val="0"/>
                    <w:jc w:val="center"/>
                    <w:rPr>
                      <w:rFonts w:ascii="Times New Roman" w:hAnsi="Times New Roman"/>
                      <w:b/>
                      <w:bCs/>
                      <w:color w:val="auto"/>
                      <w:szCs w:val="21"/>
                    </w:rPr>
                  </w:pPr>
                </w:p>
              </w:tc>
              <w:tc>
                <w:tcPr>
                  <w:tcW w:w="644" w:type="dxa"/>
                  <w:vMerge w:val="continue"/>
                  <w:tcBorders>
                    <w:tl2br w:val="nil"/>
                    <w:tr2bl w:val="nil"/>
                  </w:tcBorders>
                  <w:tcMar>
                    <w:top w:w="0" w:type="dxa"/>
                    <w:left w:w="51" w:type="dxa"/>
                    <w:bottom w:w="0" w:type="dxa"/>
                    <w:right w:w="51" w:type="dxa"/>
                  </w:tcMar>
                  <w:vAlign w:val="center"/>
                </w:tcPr>
                <w:p w14:paraId="7B88E9A8">
                  <w:pPr>
                    <w:adjustRightInd w:val="0"/>
                    <w:snapToGrid w:val="0"/>
                    <w:jc w:val="center"/>
                    <w:rPr>
                      <w:rFonts w:ascii="Times New Roman" w:hAnsi="Times New Roman"/>
                      <w:b/>
                      <w:bCs/>
                      <w:color w:val="auto"/>
                      <w:szCs w:val="21"/>
                    </w:rPr>
                  </w:pPr>
                </w:p>
              </w:tc>
              <w:tc>
                <w:tcPr>
                  <w:tcW w:w="850" w:type="dxa"/>
                  <w:vMerge w:val="continue"/>
                  <w:tcBorders>
                    <w:tl2br w:val="nil"/>
                    <w:tr2bl w:val="nil"/>
                  </w:tcBorders>
                  <w:tcMar>
                    <w:top w:w="0" w:type="dxa"/>
                    <w:left w:w="51" w:type="dxa"/>
                    <w:bottom w:w="0" w:type="dxa"/>
                    <w:right w:w="51" w:type="dxa"/>
                  </w:tcMar>
                  <w:vAlign w:val="center"/>
                </w:tcPr>
                <w:p w14:paraId="4E78D3A9">
                  <w:pPr>
                    <w:adjustRightInd w:val="0"/>
                    <w:snapToGrid w:val="0"/>
                    <w:jc w:val="center"/>
                    <w:rPr>
                      <w:rFonts w:ascii="Times New Roman" w:hAnsi="Times New Roman"/>
                      <w:b/>
                      <w:bCs/>
                      <w:color w:val="auto"/>
                      <w:szCs w:val="21"/>
                    </w:rPr>
                  </w:pPr>
                </w:p>
              </w:tc>
              <w:tc>
                <w:tcPr>
                  <w:tcW w:w="1245" w:type="dxa"/>
                  <w:vMerge w:val="continue"/>
                  <w:tcBorders>
                    <w:tl2br w:val="nil"/>
                    <w:tr2bl w:val="nil"/>
                  </w:tcBorders>
                  <w:tcMar>
                    <w:top w:w="0" w:type="dxa"/>
                    <w:left w:w="51" w:type="dxa"/>
                    <w:bottom w:w="0" w:type="dxa"/>
                    <w:right w:w="51" w:type="dxa"/>
                  </w:tcMar>
                  <w:vAlign w:val="center"/>
                </w:tcPr>
                <w:p w14:paraId="0C5CCE18">
                  <w:pPr>
                    <w:adjustRightInd w:val="0"/>
                    <w:snapToGrid w:val="0"/>
                    <w:jc w:val="center"/>
                    <w:rPr>
                      <w:rFonts w:ascii="Times New Roman" w:hAnsi="Times New Roman"/>
                      <w:b/>
                      <w:bCs/>
                      <w:color w:val="auto"/>
                      <w:szCs w:val="21"/>
                    </w:rPr>
                  </w:pPr>
                </w:p>
              </w:tc>
            </w:tr>
            <w:tr w14:paraId="20BA4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3" w:type="dxa"/>
                  <w:tcBorders>
                    <w:tl2br w:val="nil"/>
                    <w:tr2bl w:val="nil"/>
                  </w:tcBorders>
                  <w:tcMar>
                    <w:top w:w="0" w:type="dxa"/>
                    <w:left w:w="51" w:type="dxa"/>
                    <w:bottom w:w="0" w:type="dxa"/>
                    <w:right w:w="51" w:type="dxa"/>
                  </w:tcMar>
                  <w:vAlign w:val="center"/>
                </w:tcPr>
                <w:p w14:paraId="459D90F3">
                  <w:pPr>
                    <w:adjustRightInd w:val="0"/>
                    <w:snapToGrid w:val="0"/>
                    <w:jc w:val="center"/>
                    <w:rPr>
                      <w:rFonts w:ascii="Times New Roman" w:hAnsi="Times New Roman"/>
                      <w:color w:val="auto"/>
                      <w:szCs w:val="21"/>
                    </w:rPr>
                  </w:pPr>
                  <w:r>
                    <w:rPr>
                      <w:rFonts w:ascii="Times New Roman" w:hAnsi="Times New Roman"/>
                      <w:color w:val="auto"/>
                      <w:szCs w:val="21"/>
                    </w:rPr>
                    <w:t>Ⅲ高原亚热带北部常绿阔叶林生态区</w:t>
                  </w:r>
                </w:p>
              </w:tc>
              <w:tc>
                <w:tcPr>
                  <w:tcW w:w="893" w:type="dxa"/>
                  <w:tcBorders>
                    <w:tl2br w:val="nil"/>
                    <w:tr2bl w:val="nil"/>
                  </w:tcBorders>
                  <w:tcMar>
                    <w:top w:w="0" w:type="dxa"/>
                    <w:left w:w="51" w:type="dxa"/>
                    <w:bottom w:w="0" w:type="dxa"/>
                    <w:right w:w="51" w:type="dxa"/>
                  </w:tcMar>
                  <w:vAlign w:val="center"/>
                </w:tcPr>
                <w:p w14:paraId="48CE9025">
                  <w:pPr>
                    <w:adjustRightInd w:val="0"/>
                    <w:snapToGrid w:val="0"/>
                    <w:jc w:val="center"/>
                    <w:rPr>
                      <w:rFonts w:ascii="Times New Roman" w:hAnsi="Times New Roman"/>
                      <w:color w:val="auto"/>
                      <w:szCs w:val="21"/>
                    </w:rPr>
                  </w:pPr>
                  <w:r>
                    <w:rPr>
                      <w:rFonts w:ascii="Times New Roman" w:hAnsi="Times New Roman"/>
                      <w:color w:val="auto"/>
                      <w:szCs w:val="21"/>
                    </w:rPr>
                    <w:t>Ⅲ4滇东北高中山暖性针叶林、亚高山草甸生态亚区</w:t>
                  </w:r>
                </w:p>
              </w:tc>
              <w:tc>
                <w:tcPr>
                  <w:tcW w:w="788" w:type="dxa"/>
                  <w:tcBorders>
                    <w:tl2br w:val="nil"/>
                    <w:tr2bl w:val="nil"/>
                  </w:tcBorders>
                  <w:tcMar>
                    <w:top w:w="0" w:type="dxa"/>
                    <w:left w:w="51" w:type="dxa"/>
                    <w:bottom w:w="0" w:type="dxa"/>
                    <w:right w:w="51" w:type="dxa"/>
                  </w:tcMar>
                  <w:vAlign w:val="center"/>
                </w:tcPr>
                <w:p w14:paraId="377CBB6D">
                  <w:pPr>
                    <w:adjustRightInd w:val="0"/>
                    <w:snapToGrid w:val="0"/>
                    <w:jc w:val="center"/>
                    <w:rPr>
                      <w:rFonts w:ascii="Times New Roman" w:hAnsi="Times New Roman"/>
                      <w:color w:val="auto"/>
                      <w:szCs w:val="21"/>
                    </w:rPr>
                  </w:pPr>
                  <w:r>
                    <w:rPr>
                      <w:rFonts w:ascii="Times New Roman" w:hAnsi="Times New Roman"/>
                      <w:color w:val="auto"/>
                      <w:szCs w:val="21"/>
                    </w:rPr>
                    <w:t>Ⅲ4-3以礼河、硝厂河高山深谷水土保持生态功能区</w:t>
                  </w:r>
                </w:p>
              </w:tc>
              <w:tc>
                <w:tcPr>
                  <w:tcW w:w="859" w:type="dxa"/>
                  <w:tcBorders>
                    <w:tl2br w:val="nil"/>
                    <w:tr2bl w:val="nil"/>
                  </w:tcBorders>
                  <w:tcMar>
                    <w:top w:w="0" w:type="dxa"/>
                    <w:left w:w="51" w:type="dxa"/>
                    <w:bottom w:w="0" w:type="dxa"/>
                    <w:right w:w="51" w:type="dxa"/>
                  </w:tcMar>
                  <w:vAlign w:val="center"/>
                </w:tcPr>
                <w:p w14:paraId="472F1239">
                  <w:pPr>
                    <w:adjustRightInd w:val="0"/>
                    <w:snapToGrid w:val="0"/>
                    <w:jc w:val="center"/>
                    <w:rPr>
                      <w:rFonts w:ascii="Times New Roman" w:hAnsi="Times New Roman"/>
                      <w:color w:val="auto"/>
                      <w:szCs w:val="21"/>
                    </w:rPr>
                  </w:pPr>
                  <w:r>
                    <w:rPr>
                      <w:rFonts w:hint="eastAsia" w:ascii="Times New Roman" w:hAnsi="Times New Roman"/>
                      <w:color w:val="auto"/>
                      <w:szCs w:val="21"/>
                    </w:rPr>
                    <w:t>会泽县大部，巧家县局部地区，面积3745.58平方公里</w:t>
                  </w:r>
                </w:p>
              </w:tc>
              <w:tc>
                <w:tcPr>
                  <w:tcW w:w="1699" w:type="dxa"/>
                  <w:tcBorders>
                    <w:tl2br w:val="nil"/>
                    <w:tr2bl w:val="nil"/>
                  </w:tcBorders>
                  <w:tcMar>
                    <w:top w:w="0" w:type="dxa"/>
                    <w:left w:w="51" w:type="dxa"/>
                    <w:bottom w:w="0" w:type="dxa"/>
                    <w:right w:w="51" w:type="dxa"/>
                  </w:tcMar>
                  <w:vAlign w:val="center"/>
                </w:tcPr>
                <w:p w14:paraId="73DAF570">
                  <w:pPr>
                    <w:adjustRightInd w:val="0"/>
                    <w:snapToGrid w:val="0"/>
                    <w:jc w:val="center"/>
                    <w:rPr>
                      <w:rFonts w:ascii="Times New Roman" w:hAnsi="Times New Roman"/>
                      <w:color w:val="auto"/>
                      <w:szCs w:val="21"/>
                    </w:rPr>
                  </w:pPr>
                  <w:r>
                    <w:rPr>
                      <w:rFonts w:hint="eastAsia" w:ascii="Times New Roman" w:hAnsi="Times New Roman"/>
                      <w:color w:val="auto"/>
                      <w:szCs w:val="21"/>
                    </w:rPr>
                    <w:t>以石灰岩高山深谷地貌为主，年降雨量北部800-900毫米，南部地区1000-1200毫米，植被主要为云南松林，土壤类型主要是红壤和棕壤</w:t>
                  </w:r>
                </w:p>
              </w:tc>
              <w:tc>
                <w:tcPr>
                  <w:tcW w:w="776" w:type="dxa"/>
                  <w:tcBorders>
                    <w:tl2br w:val="nil"/>
                    <w:tr2bl w:val="nil"/>
                  </w:tcBorders>
                  <w:tcMar>
                    <w:top w:w="0" w:type="dxa"/>
                    <w:left w:w="51" w:type="dxa"/>
                    <w:bottom w:w="0" w:type="dxa"/>
                    <w:right w:w="51" w:type="dxa"/>
                  </w:tcMar>
                  <w:vAlign w:val="center"/>
                </w:tcPr>
                <w:p w14:paraId="3206B6A2">
                  <w:pPr>
                    <w:adjustRightInd w:val="0"/>
                    <w:snapToGrid w:val="0"/>
                    <w:jc w:val="center"/>
                    <w:rPr>
                      <w:rFonts w:ascii="Times New Roman" w:hAnsi="Times New Roman"/>
                      <w:color w:val="auto"/>
                      <w:szCs w:val="21"/>
                    </w:rPr>
                  </w:pPr>
                  <w:r>
                    <w:rPr>
                      <w:rFonts w:hint="eastAsia" w:ascii="Times New Roman" w:hAnsi="Times New Roman"/>
                      <w:color w:val="auto"/>
                      <w:szCs w:val="21"/>
                    </w:rPr>
                    <w:t>森林覆盖率低、质量差，土地退化和水土流失严重</w:t>
                  </w:r>
                </w:p>
              </w:tc>
              <w:tc>
                <w:tcPr>
                  <w:tcW w:w="644" w:type="dxa"/>
                  <w:tcBorders>
                    <w:tl2br w:val="nil"/>
                    <w:tr2bl w:val="nil"/>
                  </w:tcBorders>
                  <w:tcMar>
                    <w:top w:w="0" w:type="dxa"/>
                    <w:left w:w="51" w:type="dxa"/>
                    <w:bottom w:w="0" w:type="dxa"/>
                    <w:right w:w="51" w:type="dxa"/>
                  </w:tcMar>
                  <w:vAlign w:val="center"/>
                </w:tcPr>
                <w:p w14:paraId="469942E3">
                  <w:pPr>
                    <w:adjustRightInd w:val="0"/>
                    <w:snapToGrid w:val="0"/>
                    <w:jc w:val="center"/>
                    <w:rPr>
                      <w:rFonts w:ascii="Times New Roman" w:hAnsi="Times New Roman"/>
                      <w:color w:val="auto"/>
                      <w:szCs w:val="21"/>
                    </w:rPr>
                  </w:pPr>
                  <w:r>
                    <w:rPr>
                      <w:rFonts w:hint="eastAsia" w:ascii="Times New Roman" w:hAnsi="Times New Roman"/>
                      <w:color w:val="auto"/>
                      <w:szCs w:val="21"/>
                    </w:rPr>
                    <w:t>土壤侵蚀中高度敏感</w:t>
                  </w:r>
                </w:p>
              </w:tc>
              <w:tc>
                <w:tcPr>
                  <w:tcW w:w="850" w:type="dxa"/>
                  <w:tcBorders>
                    <w:tl2br w:val="nil"/>
                    <w:tr2bl w:val="nil"/>
                  </w:tcBorders>
                  <w:tcMar>
                    <w:top w:w="0" w:type="dxa"/>
                    <w:left w:w="51" w:type="dxa"/>
                    <w:bottom w:w="0" w:type="dxa"/>
                    <w:right w:w="51" w:type="dxa"/>
                  </w:tcMar>
                  <w:vAlign w:val="center"/>
                </w:tcPr>
                <w:p w14:paraId="00A7D6BC">
                  <w:pPr>
                    <w:adjustRightInd w:val="0"/>
                    <w:snapToGrid w:val="0"/>
                    <w:jc w:val="center"/>
                    <w:rPr>
                      <w:rFonts w:ascii="Times New Roman" w:hAnsi="Times New Roman"/>
                      <w:color w:val="auto"/>
                      <w:szCs w:val="21"/>
                    </w:rPr>
                  </w:pPr>
                  <w:r>
                    <w:rPr>
                      <w:rFonts w:hint="eastAsia" w:ascii="Times New Roman" w:hAnsi="Times New Roman"/>
                      <w:color w:val="auto"/>
                      <w:szCs w:val="21"/>
                    </w:rPr>
                    <w:t>金沙江下游地带的水土保持</w:t>
                  </w:r>
                </w:p>
              </w:tc>
              <w:tc>
                <w:tcPr>
                  <w:tcW w:w="1245" w:type="dxa"/>
                  <w:tcBorders>
                    <w:tl2br w:val="nil"/>
                    <w:tr2bl w:val="nil"/>
                  </w:tcBorders>
                  <w:tcMar>
                    <w:top w:w="0" w:type="dxa"/>
                    <w:left w:w="51" w:type="dxa"/>
                    <w:bottom w:w="0" w:type="dxa"/>
                    <w:right w:w="51" w:type="dxa"/>
                  </w:tcMar>
                  <w:vAlign w:val="center"/>
                </w:tcPr>
                <w:p w14:paraId="41E59CB9">
                  <w:pPr>
                    <w:adjustRightInd w:val="0"/>
                    <w:snapToGrid w:val="0"/>
                    <w:jc w:val="center"/>
                    <w:rPr>
                      <w:rFonts w:ascii="Times New Roman" w:hAnsi="Times New Roman"/>
                      <w:color w:val="auto"/>
                      <w:szCs w:val="21"/>
                    </w:rPr>
                  </w:pPr>
                  <w:r>
                    <w:rPr>
                      <w:rFonts w:hint="eastAsia" w:ascii="Times New Roman" w:hAnsi="Times New Roman"/>
                      <w:color w:val="auto"/>
                      <w:szCs w:val="21"/>
                    </w:rPr>
                    <w:t>调整产业结构，严格退耕还林，注意矿产资源开发后的生态保护，对生态环境严重恶化地区实施生态移民</w:t>
                  </w:r>
                </w:p>
              </w:tc>
            </w:tr>
          </w:tbl>
          <w:p w14:paraId="2578DC55">
            <w:pPr>
              <w:adjustRightInd w:val="0"/>
              <w:snapToGrid w:val="0"/>
              <w:jc w:val="center"/>
              <w:rPr>
                <w:rFonts w:ascii="Times New Roman" w:hAnsi="Times New Roman"/>
                <w:color w:val="auto"/>
                <w:sz w:val="10"/>
                <w:szCs w:val="10"/>
              </w:rPr>
            </w:pPr>
          </w:p>
          <w:p w14:paraId="28A969D8">
            <w:pPr>
              <w:adjustRightInd w:val="0"/>
              <w:snapToGrid w:val="0"/>
              <w:jc w:val="center"/>
              <w:rPr>
                <w:rFonts w:ascii="Times New Roman" w:hAnsi="Times New Roman"/>
                <w:b/>
                <w:bCs/>
                <w:color w:val="auto"/>
                <w:sz w:val="24"/>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2566670</wp:posOffset>
                      </wp:positionH>
                      <wp:positionV relativeFrom="paragraph">
                        <wp:posOffset>1281430</wp:posOffset>
                      </wp:positionV>
                      <wp:extent cx="66040" cy="102235"/>
                      <wp:effectExtent l="13970" t="8255" r="15240" b="22860"/>
                      <wp:wrapNone/>
                      <wp:docPr id="72" name="任意多边形 47"/>
                      <wp:cNvGraphicFramePr/>
                      <a:graphic xmlns:a="http://schemas.openxmlformats.org/drawingml/2006/main">
                        <a:graphicData uri="http://schemas.microsoft.com/office/word/2010/wordprocessingShape">
                          <wps:wsp>
                            <wps:cNvSpPr/>
                            <wps:spPr>
                              <a:xfrm rot="-10560000">
                                <a:off x="0" y="0"/>
                                <a:ext cx="66040" cy="102235"/>
                              </a:xfrm>
                              <a:custGeom>
                                <a:avLst/>
                                <a:gdLst/>
                                <a:ahLst/>
                                <a:cxnLst>
                                  <a:cxn ang="0">
                                    <a:pos x="29203" y="0"/>
                                  </a:cxn>
                                  <a:cxn ang="0">
                                    <a:pos x="65391" y="36830"/>
                                  </a:cxn>
                                  <a:cxn ang="0">
                                    <a:pos x="0" y="102235"/>
                                  </a:cxn>
                                </a:cxnLst>
                                <a:pathLst>
                                  <a:path w="66054" h="102235">
                                    <a:moveTo>
                                      <a:pt x="29210" y="0"/>
                                    </a:moveTo>
                                    <a:cubicBezTo>
                                      <a:pt x="37465" y="6350"/>
                                      <a:pt x="71120" y="16510"/>
                                      <a:pt x="65405" y="36830"/>
                                    </a:cubicBezTo>
                                    <a:cubicBezTo>
                                      <a:pt x="59690" y="57150"/>
                                      <a:pt x="13970" y="90170"/>
                                      <a:pt x="0" y="102235"/>
                                    </a:cubicBezTo>
                                  </a:path>
                                </a:pathLst>
                              </a:custGeom>
                              <a:noFill/>
                              <a:ln w="25400" cap="flat" cmpd="sng">
                                <a:solidFill>
                                  <a:srgbClr val="FF0000"/>
                                </a:solidFill>
                                <a:prstDash val="solid"/>
                                <a:headEnd type="none" w="med" len="med"/>
                                <a:tailEnd type="none" w="med" len="med"/>
                              </a:ln>
                            </wps:spPr>
                            <wps:bodyPr upright="1"/>
                          </wps:wsp>
                        </a:graphicData>
                      </a:graphic>
                    </wp:anchor>
                  </w:drawing>
                </mc:Choice>
                <mc:Fallback>
                  <w:pict>
                    <v:shape id="任意多边形 47" o:spid="_x0000_s1026" o:spt="100" style="position:absolute;left:0pt;margin-left:202.1pt;margin-top:100.9pt;height:8.05pt;width:5.2pt;rotation:-11534336f;z-index:251659264;mso-width-relative:page;mso-height-relative:page;" filled="f" stroked="t" coordsize="66054,102235" o:gfxdata="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HPSHm2QAAAAsBAAAPAAAAAAAAAAEA&#10;IAAAACIAAABkcnMvZG93bnJldi54bWxQSwECFAAUAAAACACHTuJAcQ4bnbkCAAD1BQAADgAAAAAA&#10;AAABACAAAAAoAQAAZHJzL2Uyb0RvYy54bWxQSwUGAAAAAAYABgBZAQAAUwYAAAAA&#10;" path="m29210,0c37465,6350,71120,16510,65405,36830c59690,57150,13970,90170,0,102235e">
                      <v:path o:connectlocs="29203,0;65391,36830;0,102235" o:connectangles="0,0,0"/>
                      <v:fill on="f" focussize="0,0"/>
                      <v:stroke weight="2pt" color="#FF0000" joinstyle="round"/>
                      <v:imagedata o:title=""/>
                      <o:lock v:ext="edit" aspectratio="f"/>
                    </v:shape>
                  </w:pict>
                </mc:Fallback>
              </mc:AlternateContent>
            </w: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1300480</wp:posOffset>
                      </wp:positionH>
                      <wp:positionV relativeFrom="paragraph">
                        <wp:posOffset>251460</wp:posOffset>
                      </wp:positionV>
                      <wp:extent cx="866140" cy="495300"/>
                      <wp:effectExtent l="5080" t="5080" r="443230" b="604520"/>
                      <wp:wrapNone/>
                      <wp:docPr id="73" name="自选图形 39"/>
                      <wp:cNvGraphicFramePr/>
                      <a:graphic xmlns:a="http://schemas.openxmlformats.org/drawingml/2006/main">
                        <a:graphicData uri="http://schemas.microsoft.com/office/word/2010/wordprocessingShape">
                          <wps:wsp>
                            <wps:cNvSpPr/>
                            <wps:spPr>
                              <a:xfrm>
                                <a:off x="0" y="0"/>
                                <a:ext cx="866140" cy="495300"/>
                              </a:xfrm>
                              <a:prstGeom prst="wedgeEllipseCallout">
                                <a:avLst>
                                  <a:gd name="adj1" fmla="val 99120"/>
                                  <a:gd name="adj2" fmla="val 167948"/>
                                </a:avLst>
                              </a:prstGeom>
                              <a:solidFill>
                                <a:srgbClr val="DBEEF4"/>
                              </a:solidFill>
                              <a:ln w="6350" cap="flat" cmpd="sng">
                                <a:solidFill>
                                  <a:srgbClr val="FF0000"/>
                                </a:solidFill>
                                <a:prstDash val="solid"/>
                                <a:round/>
                                <a:headEnd type="none" w="med" len="med"/>
                                <a:tailEnd type="none" w="med" len="med"/>
                              </a:ln>
                              <a:effectLst/>
                            </wps:spPr>
                            <wps:txbx>
                              <w:txbxContent>
                                <w:p w14:paraId="00C0E9CB">
                                  <w:pPr>
                                    <w:adjustRightInd w:val="0"/>
                                    <w:snapToGrid w:val="0"/>
                                    <w:jc w:val="center"/>
                                    <w:rPr>
                                      <w:b/>
                                      <w:bCs/>
                                      <w:color w:val="FF0000"/>
                                    </w:rPr>
                                  </w:pPr>
                                  <w:r>
                                    <w:rPr>
                                      <w:rFonts w:hint="eastAsia"/>
                                      <w:b/>
                                      <w:bCs/>
                                      <w:color w:val="FF0000"/>
                                    </w:rPr>
                                    <w:t>项目区</w:t>
                                  </w:r>
                                </w:p>
                              </w:txbxContent>
                            </wps:txbx>
                            <wps:bodyPr anchor="ctr" anchorCtr="0" upright="1"/>
                          </wps:wsp>
                        </a:graphicData>
                      </a:graphic>
                    </wp:anchor>
                  </w:drawing>
                </mc:Choice>
                <mc:Fallback>
                  <w:pict>
                    <v:shape id="自选图形 39" o:spid="_x0000_s1026" o:spt="63" type="#_x0000_t63" style="position:absolute;left:0pt;margin-left:102.4pt;margin-top:19.8pt;height:39pt;width:68.2pt;z-index:251659264;v-text-anchor:middle;mso-width-relative:page;mso-height-relative:page;" fillcolor="#DBEEF4" filled="t" stroked="t" coordsize="21600,21600" o:gfxdata="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rO7iy&#10;2gAAAAoBAAAPAAAAAAAAAAEAIAAAACIAAABkcnMvZG93bnJldi54bWxQSwECFAAUAAAACACHTuJA&#10;G2fc0FgCAAC6BAAADgAAAAAAAAABACAAAAApAQAAZHJzL2Uyb0RvYy54bWxQSwUGAAAAAAYABgBZ&#10;AQAA8wUAAAAA&#10;" adj="32210,47077">
                      <v:fill on="t" focussize="0,0"/>
                      <v:stroke weight="0.5pt" color="#FF0000" joinstyle="round"/>
                      <v:imagedata o:title=""/>
                      <o:lock v:ext="edit" aspectratio="f"/>
                      <v:textbox>
                        <w:txbxContent>
                          <w:p w14:paraId="00C0E9CB">
                            <w:pPr>
                              <w:adjustRightInd w:val="0"/>
                              <w:snapToGrid w:val="0"/>
                              <w:jc w:val="center"/>
                              <w:rPr>
                                <w:b/>
                                <w:bCs/>
                                <w:color w:val="FF0000"/>
                              </w:rPr>
                            </w:pPr>
                            <w:r>
                              <w:rPr>
                                <w:rFonts w:hint="eastAsia"/>
                                <w:b/>
                                <w:bCs/>
                                <w:color w:val="FF0000"/>
                              </w:rPr>
                              <w:t>项目区</w:t>
                            </w:r>
                          </w:p>
                        </w:txbxContent>
                      </v:textbox>
                    </v:shape>
                  </w:pict>
                </mc:Fallback>
              </mc:AlternateContent>
            </w:r>
            <w:r>
              <w:rPr>
                <w:rFonts w:ascii="Times New Roman" w:hAnsi="Times New Roman"/>
                <w:color w:val="auto"/>
                <w:sz w:val="24"/>
                <w:szCs w:val="24"/>
                <w:highlight w:val="green"/>
              </w:rPr>
              <w:drawing>
                <wp:inline distT="0" distB="0" distL="114300" distR="114300">
                  <wp:extent cx="5353050" cy="3543300"/>
                  <wp:effectExtent l="0" t="0" r="0" b="0"/>
                  <wp:docPr id="89" name="图片 15" descr="src=http-%2F%2Fsthjt.yn.gov.cn%2Fzwxx%2Fzfwj%2Fyhf%2F200911%2FW020140409585563285155.jpg&amp;refer=http-%2F%2Fsthjt.yn.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5" descr="src=http-%2F%2Fsthjt.yn.gov.cn%2Fzwxx%2Fzfwj%2Fyhf%2F200911%2FW020140409585563285155.jpg&amp;refer=http-%2F%2Fsthjt.yn.gov"/>
                          <pic:cNvPicPr>
                            <a:picLocks noChangeAspect="1"/>
                          </pic:cNvPicPr>
                        </pic:nvPicPr>
                        <pic:blipFill>
                          <a:blip r:embed="rId32"/>
                          <a:stretch>
                            <a:fillRect/>
                          </a:stretch>
                        </pic:blipFill>
                        <pic:spPr>
                          <a:xfrm>
                            <a:off x="0" y="0"/>
                            <a:ext cx="5353050" cy="3543300"/>
                          </a:xfrm>
                          <a:prstGeom prst="rect">
                            <a:avLst/>
                          </a:prstGeom>
                          <a:noFill/>
                          <a:ln>
                            <a:noFill/>
                          </a:ln>
                        </pic:spPr>
                      </pic:pic>
                    </a:graphicData>
                  </a:graphic>
                </wp:inline>
              </w:drawing>
            </w:r>
          </w:p>
          <w:p w14:paraId="064E4975">
            <w:pPr>
              <w:adjustRightInd w:val="0"/>
              <w:snapToGrid w:val="0"/>
              <w:jc w:val="center"/>
              <w:rPr>
                <w:rFonts w:ascii="Times New Roman" w:hAnsi="Times New Roman"/>
                <w:b/>
                <w:bCs/>
                <w:color w:val="auto"/>
                <w:kern w:val="0"/>
                <w:sz w:val="24"/>
                <w:szCs w:val="24"/>
              </w:rPr>
            </w:pPr>
            <w:r>
              <w:rPr>
                <w:rFonts w:ascii="Times New Roman" w:hAnsi="Times New Roman"/>
                <w:b/>
                <w:bCs/>
                <w:color w:val="auto"/>
                <w:kern w:val="0"/>
                <w:sz w:val="24"/>
                <w:szCs w:val="24"/>
              </w:rPr>
              <w:t>图3-1  与云南省生态功能类型关系示意图</w:t>
            </w:r>
          </w:p>
          <w:p w14:paraId="0464B3A5">
            <w:pPr>
              <w:topLinePunct/>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本项目为输变电工程，位于</w:t>
            </w:r>
            <w:r>
              <w:rPr>
                <w:rFonts w:hint="eastAsia" w:ascii="Times New Roman" w:hAnsi="Times New Roman"/>
                <w:color w:val="auto"/>
                <w:sz w:val="24"/>
              </w:rPr>
              <w:t>会泽县乐业镇境内</w:t>
            </w:r>
            <w:r>
              <w:rPr>
                <w:rFonts w:ascii="Times New Roman" w:hAnsi="Times New Roman"/>
                <w:color w:val="auto"/>
                <w:sz w:val="24"/>
              </w:rPr>
              <w:t>，项目不涉及自然保护区、风景名胜区、</w:t>
            </w:r>
            <w:r>
              <w:rPr>
                <w:rFonts w:hint="eastAsia" w:ascii="Times New Roman" w:hAnsi="Times New Roman"/>
                <w:color w:val="auto"/>
                <w:sz w:val="24"/>
                <w:lang w:eastAsia="zh-CN"/>
              </w:rPr>
              <w:t>饮用水水源保护区</w:t>
            </w:r>
            <w:r>
              <w:rPr>
                <w:rFonts w:ascii="Times New Roman" w:hAnsi="Times New Roman"/>
                <w:color w:val="auto"/>
                <w:sz w:val="24"/>
              </w:rPr>
              <w:t>等环境敏感区，项目占地面积较小，通过实施相应的水土保持措施可将水土流失控制在可接受的范围内，且项目运行对周边环境影响不大。因此，项目建设符合《云南省生态功能区划》的要求。</w:t>
            </w:r>
          </w:p>
          <w:p w14:paraId="264C85E1">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3.1.2与《云南省主体功能区规划》的符合性分析</w:t>
            </w:r>
          </w:p>
          <w:p w14:paraId="60B8C069">
            <w:pPr>
              <w:adjustRightInd w:val="0"/>
              <w:snapToGrid w:val="0"/>
              <w:spacing w:line="440" w:lineRule="exact"/>
              <w:ind w:firstLine="480" w:firstLineChars="200"/>
              <w:rPr>
                <w:rFonts w:ascii="Times New Roman" w:hAnsi="Times New Roman"/>
                <w:color w:val="auto"/>
                <w:kern w:val="0"/>
                <w:sz w:val="24"/>
                <w:szCs w:val="20"/>
              </w:rPr>
            </w:pPr>
            <w:r>
              <w:rPr>
                <w:rFonts w:ascii="Times New Roman" w:hAnsi="Times New Roman"/>
                <w:color w:val="auto"/>
                <w:kern w:val="0"/>
                <w:sz w:val="24"/>
                <w:szCs w:val="20"/>
              </w:rPr>
              <w:t>云南省人民政府于2014年1月6日印发《云南省主体功能区规划》，将全省国土空间开发按照开发方式分为重点开发区域、限制开发区域和禁止开发区域3类主体功能区。</w:t>
            </w:r>
          </w:p>
          <w:p w14:paraId="2ABA5469">
            <w:pPr>
              <w:adjustRightInd w:val="0"/>
              <w:snapToGrid w:val="0"/>
              <w:spacing w:line="440" w:lineRule="exact"/>
              <w:ind w:firstLine="480" w:firstLineChars="200"/>
              <w:rPr>
                <w:rFonts w:ascii="Times New Roman" w:hAnsi="Times New Roman"/>
                <w:color w:val="auto"/>
                <w:kern w:val="0"/>
                <w:sz w:val="24"/>
                <w:szCs w:val="20"/>
              </w:rPr>
            </w:pPr>
            <w:r>
              <w:rPr>
                <w:rFonts w:ascii="Times New Roman" w:hAnsi="Times New Roman"/>
                <w:color w:val="auto"/>
                <w:kern w:val="0"/>
                <w:sz w:val="24"/>
                <w:szCs w:val="20"/>
              </w:rPr>
              <w:t>项目所在的</w:t>
            </w:r>
            <w:r>
              <w:rPr>
                <w:rFonts w:hint="eastAsia" w:ascii="Times New Roman" w:hAnsi="Times New Roman"/>
                <w:color w:val="auto"/>
                <w:kern w:val="0"/>
                <w:sz w:val="24"/>
                <w:szCs w:val="20"/>
              </w:rPr>
              <w:t>会泽县乐业镇境内，</w:t>
            </w:r>
            <w:r>
              <w:rPr>
                <w:rFonts w:ascii="Times New Roman" w:hAnsi="Times New Roman"/>
                <w:color w:val="auto"/>
                <w:kern w:val="0"/>
                <w:sz w:val="24"/>
                <w:szCs w:val="20"/>
              </w:rPr>
              <w:t>属《云南省主体功能区规划》中云南省限制开发区域名录</w:t>
            </w:r>
            <w:r>
              <w:rPr>
                <w:rFonts w:hint="eastAsia" w:ascii="Times New Roman" w:hAnsi="Times New Roman"/>
                <w:color w:val="auto"/>
                <w:kern w:val="0"/>
                <w:sz w:val="24"/>
                <w:szCs w:val="20"/>
              </w:rPr>
              <w:t>中国家级农产品主产区</w:t>
            </w:r>
            <w:r>
              <w:rPr>
                <w:rFonts w:ascii="Times New Roman" w:hAnsi="Times New Roman"/>
                <w:color w:val="auto"/>
                <w:kern w:val="0"/>
                <w:sz w:val="24"/>
                <w:szCs w:val="20"/>
              </w:rPr>
              <w:t>，不涉及云南省限制开发区域和云南省禁止开发区域。</w:t>
            </w:r>
          </w:p>
          <w:p w14:paraId="494518EF">
            <w:pPr>
              <w:adjustRightInd w:val="0"/>
              <w:snapToGrid w:val="0"/>
              <w:spacing w:line="440" w:lineRule="exact"/>
              <w:ind w:firstLine="480" w:firstLineChars="200"/>
              <w:rPr>
                <w:rFonts w:ascii="Times New Roman" w:hAnsi="Times New Roman"/>
                <w:color w:val="auto"/>
                <w:kern w:val="0"/>
                <w:sz w:val="24"/>
                <w:szCs w:val="20"/>
              </w:rPr>
            </w:pPr>
            <w:r>
              <w:rPr>
                <w:rFonts w:ascii="Times New Roman" w:hAnsi="Times New Roman"/>
                <w:color w:val="auto"/>
                <w:kern w:val="0"/>
                <w:sz w:val="24"/>
                <w:szCs w:val="20"/>
              </w:rPr>
              <w:t>该区域的功能定位为：农产品主产区是保障粮食产品和主要农产品供给安全的基地，全省农业产业化的重要地区，现代农业的示范基地，农村居民安居乐业的美好家园，社会主义新农村建设的示范区。农产品主产区要以大力发展高原特色农业为重点，切实保护耕地，稳定粮食生产，发展现代农业，增强农业综合生产能力，增加农民收入，加快建设社会主义新农村，有效增强农产品供给保障能力，确保国家粮食安全和食品安全。</w:t>
            </w:r>
          </w:p>
          <w:p w14:paraId="7ADA6C07">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此外，《云南省主体功能区规划》</w:t>
            </w:r>
            <w:r>
              <w:rPr>
                <w:rFonts w:hint="eastAsia" w:ascii="Times New Roman" w:hAnsi="Times New Roman"/>
                <w:color w:val="auto"/>
                <w:sz w:val="24"/>
                <w:szCs w:val="24"/>
              </w:rPr>
              <w:t>对</w:t>
            </w:r>
            <w:r>
              <w:rPr>
                <w:rFonts w:ascii="Times New Roman" w:hAnsi="Times New Roman"/>
                <w:color w:val="auto"/>
                <w:sz w:val="24"/>
                <w:szCs w:val="24"/>
              </w:rPr>
              <w:t>能源开发与布局有以下相关要求：新能源示范基地—依托资源优势，稳步发展太阳能发电和热利用，积极开发生物质能，产业化开发天然铀资源。在丽江中部和东部、大理东部、楚雄北部、文山等区域，利用石漠化等未利用土地发展太阳能光伏并网发电项目。</w:t>
            </w:r>
          </w:p>
          <w:p w14:paraId="286F3544">
            <w:pPr>
              <w:adjustRightInd w:val="0"/>
              <w:snapToGrid w:val="0"/>
              <w:jc w:val="center"/>
              <w:rPr>
                <w:rFonts w:ascii="Times New Roman" w:hAnsi="Times New Roman"/>
                <w:color w:val="auto"/>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3268345</wp:posOffset>
                      </wp:positionH>
                      <wp:positionV relativeFrom="paragraph">
                        <wp:posOffset>1038860</wp:posOffset>
                      </wp:positionV>
                      <wp:extent cx="66040" cy="102235"/>
                      <wp:effectExtent l="12700" t="10160" r="16510" b="20955"/>
                      <wp:wrapNone/>
                      <wp:docPr id="74" name="任意多边形 48"/>
                      <wp:cNvGraphicFramePr/>
                      <a:graphic xmlns:a="http://schemas.openxmlformats.org/drawingml/2006/main">
                        <a:graphicData uri="http://schemas.microsoft.com/office/word/2010/wordprocessingShape">
                          <wps:wsp>
                            <wps:cNvSpPr/>
                            <wps:spPr>
                              <a:xfrm rot="10800000">
                                <a:off x="0" y="0"/>
                                <a:ext cx="66040" cy="102235"/>
                              </a:xfrm>
                              <a:custGeom>
                                <a:avLst/>
                                <a:gdLst/>
                                <a:ahLst/>
                                <a:cxnLst>
                                  <a:cxn ang="0">
                                    <a:pos x="29203" y="0"/>
                                  </a:cxn>
                                  <a:cxn ang="0">
                                    <a:pos x="65391" y="36830"/>
                                  </a:cxn>
                                  <a:cxn ang="0">
                                    <a:pos x="0" y="102235"/>
                                  </a:cxn>
                                </a:cxnLst>
                                <a:pathLst>
                                  <a:path w="66054" h="102235">
                                    <a:moveTo>
                                      <a:pt x="29210" y="0"/>
                                    </a:moveTo>
                                    <a:cubicBezTo>
                                      <a:pt x="37465" y="6350"/>
                                      <a:pt x="71120" y="16510"/>
                                      <a:pt x="65405" y="36830"/>
                                    </a:cubicBezTo>
                                    <a:cubicBezTo>
                                      <a:pt x="59690" y="57150"/>
                                      <a:pt x="13970" y="90170"/>
                                      <a:pt x="0" y="102235"/>
                                    </a:cubicBezTo>
                                  </a:path>
                                </a:pathLst>
                              </a:custGeom>
                              <a:noFill/>
                              <a:ln w="25400" cap="flat" cmpd="sng">
                                <a:solidFill>
                                  <a:srgbClr val="FF0000"/>
                                </a:solidFill>
                                <a:prstDash val="solid"/>
                                <a:headEnd type="none" w="med" len="med"/>
                                <a:tailEnd type="none" w="med" len="med"/>
                              </a:ln>
                            </wps:spPr>
                            <wps:bodyPr upright="1"/>
                          </wps:wsp>
                        </a:graphicData>
                      </a:graphic>
                    </wp:anchor>
                  </w:drawing>
                </mc:Choice>
                <mc:Fallback>
                  <w:pict>
                    <v:shape id="任意多边形 48" o:spid="_x0000_s1026" o:spt="100" style="position:absolute;left:0pt;margin-left:257.35pt;margin-top:81.8pt;height:8.05pt;width:5.2pt;rotation:11796480f;z-index:251659264;mso-width-relative:page;mso-height-relative:page;" filled="f" stroked="t" coordsize="66054,102235" o:gfxdata="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NeT3tfYAAAACwEAAA8AAAAAAAAAAQAgAAAA&#10;IgAAAGRycy9kb3ducmV2LnhtbFBLAQIUABQAAAAIAIdO4kAuKCRwtgIAAPQFAAAOAAAAAAAAAAEA&#10;IAAAACcBAABkcnMvZTJvRG9jLnhtbFBLBQYAAAAABgAGAFkBAABPBgAAAAA=&#10;" path="m29210,0c37465,6350,71120,16510,65405,36830c59690,57150,13970,90170,0,102235e">
                      <v:path o:connectlocs="29203,0;65391,36830;0,102235" o:connectangles="0,0,0"/>
                      <v:fill on="f" focussize="0,0"/>
                      <v:stroke weight="2pt" color="#FF0000" joinstyle="round"/>
                      <v:imagedata o:title=""/>
                      <o:lock v:ext="edit" aspectratio="f"/>
                    </v:shape>
                  </w:pict>
                </mc:Fallback>
              </mc:AlternateContent>
            </w: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4220210</wp:posOffset>
                      </wp:positionH>
                      <wp:positionV relativeFrom="paragraph">
                        <wp:posOffset>386080</wp:posOffset>
                      </wp:positionV>
                      <wp:extent cx="866140" cy="495300"/>
                      <wp:effectExtent l="866140" t="5080" r="20320" b="204470"/>
                      <wp:wrapNone/>
                      <wp:docPr id="75" name="椭圆形标注 13"/>
                      <wp:cNvGraphicFramePr/>
                      <a:graphic xmlns:a="http://schemas.openxmlformats.org/drawingml/2006/main">
                        <a:graphicData uri="http://schemas.microsoft.com/office/word/2010/wordprocessingShape">
                          <wps:wsp>
                            <wps:cNvSpPr/>
                            <wps:spPr>
                              <a:xfrm>
                                <a:off x="0" y="0"/>
                                <a:ext cx="866140" cy="495300"/>
                              </a:xfrm>
                              <a:prstGeom prst="wedgeEllipseCallout">
                                <a:avLst>
                                  <a:gd name="adj1" fmla="val -149486"/>
                                  <a:gd name="adj2" fmla="val 89487"/>
                                </a:avLst>
                              </a:prstGeom>
                              <a:solidFill>
                                <a:srgbClr val="DBEEF4">
                                  <a:lumMod val="20000"/>
                                  <a:lumOff val="80000"/>
                                </a:srgbClr>
                              </a:solidFill>
                              <a:ln w="6350" cap="flat" cmpd="sng" algn="ctr">
                                <a:solidFill>
                                  <a:srgbClr val="FF0000"/>
                                </a:solidFill>
                                <a:prstDash val="solid"/>
                              </a:ln>
                              <a:effectLst/>
                            </wps:spPr>
                            <wps:txbx>
                              <w:txbxContent>
                                <w:p w14:paraId="38C4A82D">
                                  <w:pPr>
                                    <w:adjustRightInd w:val="0"/>
                                    <w:snapToGrid w:val="0"/>
                                    <w:jc w:val="center"/>
                                    <w:rPr>
                                      <w:b/>
                                      <w:bCs/>
                                      <w:color w:val="FF0000"/>
                                    </w:rPr>
                                  </w:pPr>
                                  <w:r>
                                    <w:rPr>
                                      <w:rFonts w:hint="eastAsia"/>
                                      <w:b/>
                                      <w:bCs/>
                                      <w:color w:val="FF0000"/>
                                    </w:rPr>
                                    <w:t>项目区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3" o:spid="_x0000_s1026" o:spt="63" type="#_x0000_t63" style="position:absolute;left:0pt;margin-left:332.3pt;margin-top:30.4pt;height:39pt;width:68.2pt;z-index:251659264;v-text-anchor:middle;mso-width-relative:page;mso-height-relative:page;" fillcolor="#F8FCFD" filled="t" stroked="t" coordsize="21600,21600" o:gfxdata="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It5&#10;7ujYAAAACgEAAA8AAAAAAAAAAQAgAAAAIgAAAGRycy9kb3ducmV2LnhtbFBLAQIUABQAAAAIAIdO&#10;4kCt/2bCzgIAAJoFAAAOAAAAAAAAAAEAIAAAACcBAABkcnMvZTJvRG9jLnhtbFBLBQYAAAAABgAG&#10;AFkBAABnBgAAAAA=&#10;" adj="-21489,30129">
                      <v:fill on="t" focussize="0,0"/>
                      <v:stroke weight="0.5pt" color="#FF0000" joinstyle="round"/>
                      <v:imagedata o:title=""/>
                      <o:lock v:ext="edit" aspectratio="f"/>
                      <v:textbox>
                        <w:txbxContent>
                          <w:p w14:paraId="38C4A82D">
                            <w:pPr>
                              <w:adjustRightInd w:val="0"/>
                              <w:snapToGrid w:val="0"/>
                              <w:jc w:val="center"/>
                              <w:rPr>
                                <w:b/>
                                <w:bCs/>
                                <w:color w:val="FF0000"/>
                              </w:rPr>
                            </w:pPr>
                            <w:r>
                              <w:rPr>
                                <w:rFonts w:hint="eastAsia"/>
                                <w:b/>
                                <w:bCs/>
                                <w:color w:val="FF0000"/>
                              </w:rPr>
                              <w:t>项目区</w:t>
                            </w:r>
                          </w:p>
                        </w:txbxContent>
                      </v:textbox>
                    </v:shape>
                  </w:pict>
                </mc:Fallback>
              </mc:AlternateContent>
            </w:r>
            <w:r>
              <w:rPr>
                <w:rFonts w:ascii="Times New Roman" w:hAnsi="Times New Roman"/>
                <w:color w:val="auto"/>
              </w:rPr>
              <w:drawing>
                <wp:inline distT="0" distB="0" distL="114300" distR="114300">
                  <wp:extent cx="5372100" cy="3352800"/>
                  <wp:effectExtent l="0" t="0" r="0" b="0"/>
                  <wp:docPr id="90" name="图片 16" descr="6057e3700435852e74925df2cae5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6" descr="6057e3700435852e74925df2cae59aa"/>
                          <pic:cNvPicPr>
                            <a:picLocks noChangeAspect="1"/>
                          </pic:cNvPicPr>
                        </pic:nvPicPr>
                        <pic:blipFill>
                          <a:blip r:embed="rId33"/>
                          <a:stretch>
                            <a:fillRect/>
                          </a:stretch>
                        </pic:blipFill>
                        <pic:spPr>
                          <a:xfrm>
                            <a:off x="0" y="0"/>
                            <a:ext cx="5372100" cy="3352800"/>
                          </a:xfrm>
                          <a:prstGeom prst="rect">
                            <a:avLst/>
                          </a:prstGeom>
                          <a:noFill/>
                          <a:ln>
                            <a:noFill/>
                          </a:ln>
                        </pic:spPr>
                      </pic:pic>
                    </a:graphicData>
                  </a:graphic>
                </wp:inline>
              </w:drawing>
            </w:r>
          </w:p>
          <w:p w14:paraId="4D5B3AC2">
            <w:pPr>
              <w:adjustRightInd w:val="0"/>
              <w:snapToGrid w:val="0"/>
              <w:jc w:val="center"/>
              <w:rPr>
                <w:rFonts w:ascii="Times New Roman" w:hAnsi="Times New Roman"/>
                <w:b/>
                <w:bCs/>
                <w:color w:val="auto"/>
                <w:sz w:val="24"/>
              </w:rPr>
            </w:pPr>
            <w:r>
              <w:rPr>
                <w:rFonts w:ascii="Times New Roman" w:hAnsi="Times New Roman"/>
                <w:b/>
                <w:bCs/>
                <w:color w:val="auto"/>
                <w:sz w:val="24"/>
              </w:rPr>
              <w:t>图3-2  云南省主体功能区规划位置关系图</w:t>
            </w:r>
          </w:p>
          <w:p w14:paraId="3FEA0223">
            <w:pPr>
              <w:adjustRightInd w:val="0"/>
              <w:snapToGrid w:val="0"/>
              <w:spacing w:line="440" w:lineRule="exact"/>
              <w:ind w:firstLine="480" w:firstLineChars="200"/>
              <w:rPr>
                <w:rFonts w:ascii="Times New Roman" w:hAnsi="Times New Roman"/>
                <w:color w:val="auto"/>
                <w:kern w:val="0"/>
                <w:sz w:val="24"/>
                <w:szCs w:val="24"/>
              </w:rPr>
            </w:pPr>
            <w:r>
              <w:rPr>
                <w:rFonts w:hint="eastAsia" w:ascii="Times New Roman" w:hAnsi="Times New Roman"/>
                <w:color w:val="auto"/>
                <w:kern w:val="0"/>
                <w:sz w:val="24"/>
                <w:szCs w:val="24"/>
              </w:rPr>
              <w:t>另外</w:t>
            </w:r>
            <w:r>
              <w:rPr>
                <w:rFonts w:ascii="Times New Roman" w:hAnsi="Times New Roman"/>
                <w:color w:val="auto"/>
                <w:kern w:val="0"/>
                <w:sz w:val="24"/>
                <w:szCs w:val="24"/>
              </w:rPr>
              <w:t>，根据《云南省国土空间规划（2021—2035年）》，落实国家战略部署，发挥地区比较优势，立足资源禀赋和经济社会发展实际，依据资源环境承载能力和国土空间开发适宜性评价、“三区三线”划定等成果，优化形成“3＋5”主体功能分区布局。“3”为以县（市、区）为单元划分农产品主产区、重点生态功能区和城市化地区。在3类主体功能区的基础上，叠加确定重点小城镇、自然景观保护功能区、边境地区、历史文化资源富集区、能源资源富集区等5个其他功能区。</w:t>
            </w:r>
          </w:p>
          <w:p w14:paraId="0F60D481">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kern w:val="0"/>
                <w:sz w:val="24"/>
                <w:szCs w:val="24"/>
              </w:rPr>
              <w:t>项目区</w:t>
            </w:r>
            <w:r>
              <w:rPr>
                <w:rFonts w:ascii="Times New Roman" w:hAnsi="Times New Roman"/>
                <w:color w:val="auto"/>
                <w:sz w:val="24"/>
              </w:rPr>
              <w:t>位于</w:t>
            </w:r>
            <w:r>
              <w:rPr>
                <w:rFonts w:hint="eastAsia" w:ascii="Times New Roman" w:hAnsi="Times New Roman"/>
                <w:color w:val="auto"/>
                <w:sz w:val="24"/>
              </w:rPr>
              <w:t>会泽县乐业镇境内</w:t>
            </w:r>
            <w:r>
              <w:rPr>
                <w:rFonts w:ascii="Times New Roman" w:hAnsi="Times New Roman"/>
                <w:color w:val="auto"/>
                <w:sz w:val="24"/>
              </w:rPr>
              <w:t>，</w:t>
            </w:r>
            <w:r>
              <w:rPr>
                <w:rFonts w:ascii="Times New Roman" w:hAnsi="Times New Roman"/>
                <w:color w:val="auto"/>
                <w:kern w:val="0"/>
                <w:sz w:val="24"/>
                <w:szCs w:val="24"/>
              </w:rPr>
              <w:t>属于</w:t>
            </w:r>
            <w:r>
              <w:rPr>
                <w:rFonts w:hint="eastAsia" w:ascii="Times New Roman" w:hAnsi="Times New Roman"/>
                <w:color w:val="auto"/>
                <w:kern w:val="0"/>
                <w:sz w:val="24"/>
                <w:szCs w:val="24"/>
              </w:rPr>
              <w:t>国家级农产品主产区</w:t>
            </w:r>
            <w:r>
              <w:rPr>
                <w:rFonts w:ascii="Times New Roman" w:hAnsi="Times New Roman"/>
                <w:color w:val="auto"/>
                <w:kern w:val="0"/>
                <w:sz w:val="24"/>
                <w:szCs w:val="24"/>
              </w:rPr>
              <w:t>，</w:t>
            </w:r>
            <w:r>
              <w:rPr>
                <w:rFonts w:ascii="Times New Roman" w:hAnsi="Times New Roman"/>
                <w:color w:val="auto"/>
                <w:sz w:val="24"/>
              </w:rPr>
              <w:t>本项目为输变电工程，</w:t>
            </w:r>
            <w:r>
              <w:rPr>
                <w:rFonts w:ascii="Times New Roman" w:hAnsi="Times New Roman"/>
                <w:color w:val="auto"/>
                <w:kern w:val="0"/>
                <w:sz w:val="24"/>
                <w:szCs w:val="20"/>
              </w:rPr>
              <w:t>不涉及自然保护区、风景名胜区、</w:t>
            </w:r>
            <w:r>
              <w:rPr>
                <w:rFonts w:hint="eastAsia" w:ascii="Times New Roman" w:hAnsi="Times New Roman"/>
                <w:color w:val="auto"/>
                <w:kern w:val="0"/>
                <w:sz w:val="24"/>
                <w:szCs w:val="20"/>
                <w:lang w:eastAsia="zh-CN"/>
              </w:rPr>
              <w:t>饮用水水源保护区</w:t>
            </w:r>
            <w:r>
              <w:rPr>
                <w:rFonts w:ascii="Times New Roman" w:hAnsi="Times New Roman"/>
                <w:color w:val="auto"/>
                <w:kern w:val="0"/>
                <w:sz w:val="24"/>
                <w:szCs w:val="20"/>
              </w:rPr>
              <w:t>、风景名胜区、湿地公园等环境敏感区，</w:t>
            </w:r>
            <w:r>
              <w:rPr>
                <w:rFonts w:ascii="Times New Roman" w:hAnsi="Times New Roman"/>
                <w:color w:val="auto"/>
                <w:sz w:val="24"/>
              </w:rPr>
              <w:t>不位于禁止建设区内。因此，项目建设与《云南省主体功能区规划》</w:t>
            </w:r>
            <w:r>
              <w:rPr>
                <w:rFonts w:hint="eastAsia" w:ascii="Times New Roman" w:hAnsi="Times New Roman"/>
                <w:color w:val="auto"/>
                <w:sz w:val="24"/>
              </w:rPr>
              <w:t>和</w:t>
            </w:r>
            <w:r>
              <w:rPr>
                <w:rFonts w:ascii="Times New Roman" w:hAnsi="Times New Roman"/>
                <w:color w:val="auto"/>
                <w:kern w:val="0"/>
                <w:sz w:val="24"/>
                <w:szCs w:val="24"/>
              </w:rPr>
              <w:t>《云南省国土空间规划（2021—2035年）》</w:t>
            </w:r>
            <w:r>
              <w:rPr>
                <w:rFonts w:ascii="Times New Roman" w:hAnsi="Times New Roman"/>
                <w:color w:val="auto"/>
                <w:sz w:val="24"/>
              </w:rPr>
              <w:t>不冲突。</w:t>
            </w:r>
          </w:p>
          <w:p w14:paraId="10C51FE6">
            <w:pPr>
              <w:adjustRightInd w:val="0"/>
              <w:snapToGrid w:val="0"/>
              <w:jc w:val="center"/>
              <w:rPr>
                <w:rFonts w:ascii="Times New Roman" w:hAnsi="Times New Roman"/>
                <w:color w:val="auto"/>
                <w:kern w:val="0"/>
                <w:sz w:val="24"/>
                <w:szCs w:val="24"/>
              </w:rPr>
            </w:pP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3660775</wp:posOffset>
                      </wp:positionH>
                      <wp:positionV relativeFrom="paragraph">
                        <wp:posOffset>1217295</wp:posOffset>
                      </wp:positionV>
                      <wp:extent cx="517525" cy="764540"/>
                      <wp:effectExtent l="0" t="2540" r="15875" b="13970"/>
                      <wp:wrapNone/>
                      <wp:docPr id="76" name="直接连接符 18"/>
                      <wp:cNvGraphicFramePr/>
                      <a:graphic xmlns:a="http://schemas.openxmlformats.org/drawingml/2006/main">
                        <a:graphicData uri="http://schemas.microsoft.com/office/word/2010/wordprocessingShape">
                          <wps:wsp>
                            <wps:cNvCnPr/>
                            <wps:spPr>
                              <a:xfrm flipH="1">
                                <a:off x="0" y="0"/>
                                <a:ext cx="517525" cy="764540"/>
                              </a:xfrm>
                              <a:prstGeom prst="line">
                                <a:avLst/>
                              </a:prstGeom>
                              <a:ln w="9525" cap="flat" cmpd="sng">
                                <a:solidFill>
                                  <a:srgbClr val="1D08E8"/>
                                </a:solidFill>
                                <a:prstDash val="solid"/>
                                <a:headEnd type="none" w="med" len="med"/>
                                <a:tailEnd type="arrow" w="med" len="med"/>
                              </a:ln>
                              <a:effectLst/>
                            </wps:spPr>
                            <wps:bodyPr upright="1"/>
                          </wps:wsp>
                        </a:graphicData>
                      </a:graphic>
                    </wp:anchor>
                  </w:drawing>
                </mc:Choice>
                <mc:Fallback>
                  <w:pict>
                    <v:line id="直接连接符 18" o:spid="_x0000_s1026" o:spt="20" style="position:absolute;left:0pt;flip:x;margin-left:288.25pt;margin-top:95.85pt;height:60.2pt;width:40.75pt;z-index:251659264;mso-width-relative:page;mso-height-relative:page;" filled="f" stroked="t" coordsize="21600,21600" o:gfxdata="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ReGi72gAAAAsBAAAPAAAAAAAA&#10;AAEAIAAAACIAAABkcnMvZG93bnJldi54bWxQSwECFAAUAAAACACHTuJA1O0m9xACAAADBAAADgAA&#10;AAAAAAABACAAAAApAQAAZHJzL2Uyb0RvYy54bWxQSwUGAAAAAAYABgBZAQAAqwUAAAAA&#10;">
                      <v:fill on="f" focussize="0,0"/>
                      <v:stroke color="#1D08E8"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3594100</wp:posOffset>
                      </wp:positionH>
                      <wp:positionV relativeFrom="paragraph">
                        <wp:posOffset>1954530</wp:posOffset>
                      </wp:positionV>
                      <wp:extent cx="66040" cy="102235"/>
                      <wp:effectExtent l="11430" t="10795" r="17780" b="20320"/>
                      <wp:wrapNone/>
                      <wp:docPr id="77" name="任意多边形 49"/>
                      <wp:cNvGraphicFramePr/>
                      <a:graphic xmlns:a="http://schemas.openxmlformats.org/drawingml/2006/main">
                        <a:graphicData uri="http://schemas.microsoft.com/office/word/2010/wordprocessingShape">
                          <wps:wsp>
                            <wps:cNvSpPr/>
                            <wps:spPr>
                              <a:xfrm rot="10620000">
                                <a:off x="0" y="0"/>
                                <a:ext cx="66040" cy="102235"/>
                              </a:xfrm>
                              <a:custGeom>
                                <a:avLst/>
                                <a:gdLst/>
                                <a:ahLst/>
                                <a:cxnLst>
                                  <a:cxn ang="0">
                                    <a:pos x="29203" y="0"/>
                                  </a:cxn>
                                  <a:cxn ang="0">
                                    <a:pos x="65391" y="36830"/>
                                  </a:cxn>
                                  <a:cxn ang="0">
                                    <a:pos x="0" y="102235"/>
                                  </a:cxn>
                                </a:cxnLst>
                                <a:pathLst>
                                  <a:path w="66054" h="102235">
                                    <a:moveTo>
                                      <a:pt x="29210" y="0"/>
                                    </a:moveTo>
                                    <a:cubicBezTo>
                                      <a:pt x="37465" y="6350"/>
                                      <a:pt x="71120" y="16510"/>
                                      <a:pt x="65405" y="36830"/>
                                    </a:cubicBezTo>
                                    <a:cubicBezTo>
                                      <a:pt x="59690" y="57150"/>
                                      <a:pt x="13970" y="90170"/>
                                      <a:pt x="0" y="102235"/>
                                    </a:cubicBezTo>
                                  </a:path>
                                </a:pathLst>
                              </a:custGeom>
                              <a:noFill/>
                              <a:ln w="25400" cap="flat" cmpd="sng">
                                <a:solidFill>
                                  <a:srgbClr val="FF0000"/>
                                </a:solidFill>
                                <a:prstDash val="solid"/>
                                <a:headEnd type="none" w="med" len="med"/>
                                <a:tailEnd type="none" w="med" len="med"/>
                              </a:ln>
                            </wps:spPr>
                            <wps:bodyPr upright="1"/>
                          </wps:wsp>
                        </a:graphicData>
                      </a:graphic>
                    </wp:anchor>
                  </w:drawing>
                </mc:Choice>
                <mc:Fallback>
                  <w:pict>
                    <v:shape id="任意多边形 49" o:spid="_x0000_s1026" o:spt="100" style="position:absolute;left:0pt;margin-left:283pt;margin-top:153.9pt;height:8.05pt;width:5.2pt;rotation:11599872f;z-index:251659264;mso-width-relative:page;mso-height-relative:page;" filled="f" stroked="t" coordsize="66054,102235" o:gfxdata="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Bv3nEF2wAAAAsBAAAPAAAAAAAAAAEA&#10;IAAAACIAAABkcnMvZG93bnJldi54bWxQSwECFAAUAAAACACHTuJACxH93bcCAAD0BQAADgAAAAAA&#10;AAABACAAAAAqAQAAZHJzL2Uyb0RvYy54bWxQSwUGAAAAAAYABgBZAQAAUwYAAAAA&#10;" path="m29210,0c37465,6350,71120,16510,65405,36830c59690,57150,13970,90170,0,102235e">
                      <v:path o:connectlocs="29203,0;65391,36830;0,102235" o:connectangles="0,0,0"/>
                      <v:fill on="f" focussize="0,0"/>
                      <v:stroke weight="2pt" color="#FF0000" joinstyle="round"/>
                      <v:imagedata o:title=""/>
                      <o:lock v:ext="edit" aspectratio="f"/>
                    </v:shape>
                  </w:pict>
                </mc:Fallback>
              </mc:AlternateContent>
            </w: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3932555</wp:posOffset>
                      </wp:positionH>
                      <wp:positionV relativeFrom="paragraph">
                        <wp:posOffset>962025</wp:posOffset>
                      </wp:positionV>
                      <wp:extent cx="917575" cy="313055"/>
                      <wp:effectExtent l="0" t="0" r="0" b="0"/>
                      <wp:wrapNone/>
                      <wp:docPr id="78" name="文本框 17"/>
                      <wp:cNvGraphicFramePr/>
                      <a:graphic xmlns:a="http://schemas.openxmlformats.org/drawingml/2006/main">
                        <a:graphicData uri="http://schemas.microsoft.com/office/word/2010/wordprocessingShape">
                          <wps:wsp>
                            <wps:cNvSpPr txBox="1"/>
                            <wps:spPr>
                              <a:xfrm>
                                <a:off x="0" y="0"/>
                                <a:ext cx="917575" cy="313055"/>
                              </a:xfrm>
                              <a:prstGeom prst="rect">
                                <a:avLst/>
                              </a:prstGeom>
                              <a:noFill/>
                              <a:ln>
                                <a:noFill/>
                              </a:ln>
                              <a:effectLst/>
                            </wps:spPr>
                            <wps:txbx>
                              <w:txbxContent>
                                <w:p w14:paraId="74810195">
                                  <w:pPr>
                                    <w:rPr>
                                      <w:b/>
                                      <w:bCs/>
                                      <w:color w:val="0000FF"/>
                                    </w:rPr>
                                  </w:pPr>
                                  <w:r>
                                    <w:rPr>
                                      <w:rFonts w:hint="eastAsia"/>
                                      <w:b/>
                                      <w:bCs/>
                                      <w:color w:val="0000FF"/>
                                    </w:rPr>
                                    <w:t>项目区位置</w:t>
                                  </w:r>
                                </w:p>
                              </w:txbxContent>
                            </wps:txbx>
                            <wps:bodyPr upright="1"/>
                          </wps:wsp>
                        </a:graphicData>
                      </a:graphic>
                    </wp:anchor>
                  </w:drawing>
                </mc:Choice>
                <mc:Fallback>
                  <w:pict>
                    <v:shape id="文本框 17" o:spid="_x0000_s1026" o:spt="202" type="#_x0000_t202" style="position:absolute;left:0pt;margin-left:309.65pt;margin-top:75.75pt;height:24.65pt;width:72.25pt;z-index:251659264;mso-width-relative:page;mso-height-relative:page;" filled="f" stroked="f" coordsize="21600,21600" o:gfxdata="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ek&#10;PcbXAAAACwEAAA8AAAAAAAAAAQAgAAAAIgAAAGRycy9kb3ducmV2LnhtbFBLAQIUABQAAAAIAIdO&#10;4kDrlK7osgEAAF0DAAAOAAAAAAAAAAEAIAAAACYBAABkcnMvZTJvRG9jLnhtbFBLBQYAAAAABgAG&#10;AFkBAABKBQAAAAA=&#10;">
                      <v:fill on="f" focussize="0,0"/>
                      <v:stroke on="f"/>
                      <v:imagedata o:title=""/>
                      <o:lock v:ext="edit" aspectratio="f"/>
                      <v:textbox>
                        <w:txbxContent>
                          <w:p w14:paraId="74810195">
                            <w:pPr>
                              <w:rPr>
                                <w:b/>
                                <w:bCs/>
                                <w:color w:val="0000FF"/>
                              </w:rPr>
                            </w:pPr>
                            <w:r>
                              <w:rPr>
                                <w:rFonts w:hint="eastAsia"/>
                                <w:b/>
                                <w:bCs/>
                                <w:color w:val="0000FF"/>
                              </w:rPr>
                              <w:t>项目区位置</w:t>
                            </w:r>
                          </w:p>
                        </w:txbxContent>
                      </v:textbox>
                    </v:shape>
                  </w:pict>
                </mc:Fallback>
              </mc:AlternateContent>
            </w:r>
            <w:r>
              <w:rPr>
                <w:rFonts w:ascii="Times New Roman" w:hAnsi="Times New Roman"/>
                <w:color w:val="auto"/>
                <w:kern w:val="0"/>
                <w:sz w:val="24"/>
                <w:szCs w:val="24"/>
              </w:rPr>
              <w:drawing>
                <wp:inline distT="0" distB="0" distL="114300" distR="114300">
                  <wp:extent cx="5429250" cy="5800725"/>
                  <wp:effectExtent l="0" t="0" r="0" b="9525"/>
                  <wp:docPr id="91" name="图片 17" descr="W02024102454049994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7" descr="W020241024540499945130"/>
                          <pic:cNvPicPr>
                            <a:picLocks noChangeAspect="1"/>
                          </pic:cNvPicPr>
                        </pic:nvPicPr>
                        <pic:blipFill>
                          <a:blip r:embed="rId34"/>
                          <a:stretch>
                            <a:fillRect/>
                          </a:stretch>
                        </pic:blipFill>
                        <pic:spPr>
                          <a:xfrm>
                            <a:off x="0" y="0"/>
                            <a:ext cx="5429250" cy="5800725"/>
                          </a:xfrm>
                          <a:prstGeom prst="rect">
                            <a:avLst/>
                          </a:prstGeom>
                          <a:noFill/>
                          <a:ln>
                            <a:noFill/>
                          </a:ln>
                        </pic:spPr>
                      </pic:pic>
                    </a:graphicData>
                  </a:graphic>
                </wp:inline>
              </w:drawing>
            </w:r>
          </w:p>
          <w:p w14:paraId="75657585">
            <w:pPr>
              <w:adjustRightInd w:val="0"/>
              <w:snapToGrid w:val="0"/>
              <w:jc w:val="center"/>
              <w:rPr>
                <w:rFonts w:ascii="Times New Roman" w:hAnsi="Times New Roman"/>
                <w:b/>
                <w:bCs/>
                <w:color w:val="auto"/>
                <w:kern w:val="0"/>
                <w:sz w:val="24"/>
                <w:szCs w:val="24"/>
              </w:rPr>
            </w:pPr>
            <w:r>
              <w:rPr>
                <w:rFonts w:ascii="Times New Roman" w:hAnsi="Times New Roman"/>
                <w:b/>
                <w:bCs/>
                <w:color w:val="auto"/>
                <w:kern w:val="0"/>
                <w:sz w:val="24"/>
                <w:szCs w:val="24"/>
              </w:rPr>
              <w:t>图</w:t>
            </w:r>
            <w:r>
              <w:rPr>
                <w:rFonts w:hint="eastAsia" w:ascii="Times New Roman" w:hAnsi="Times New Roman"/>
                <w:b/>
                <w:bCs/>
                <w:color w:val="auto"/>
                <w:kern w:val="0"/>
                <w:sz w:val="24"/>
                <w:szCs w:val="24"/>
              </w:rPr>
              <w:t>3</w:t>
            </w:r>
            <w:r>
              <w:rPr>
                <w:rFonts w:ascii="Times New Roman" w:hAnsi="Times New Roman"/>
                <w:b/>
                <w:bCs/>
                <w:color w:val="auto"/>
                <w:kern w:val="0"/>
                <w:sz w:val="24"/>
                <w:szCs w:val="24"/>
              </w:rPr>
              <w:t>-</w:t>
            </w:r>
            <w:r>
              <w:rPr>
                <w:rFonts w:hint="eastAsia" w:ascii="Times New Roman" w:hAnsi="Times New Roman"/>
                <w:b/>
                <w:bCs/>
                <w:color w:val="auto"/>
                <w:kern w:val="0"/>
                <w:sz w:val="24"/>
                <w:szCs w:val="24"/>
              </w:rPr>
              <w:t>3</w:t>
            </w:r>
            <w:r>
              <w:rPr>
                <w:rFonts w:ascii="Times New Roman" w:hAnsi="Times New Roman"/>
                <w:b/>
                <w:bCs/>
                <w:color w:val="auto"/>
                <w:kern w:val="0"/>
                <w:sz w:val="24"/>
                <w:szCs w:val="24"/>
              </w:rPr>
              <w:t xml:space="preserve">  云南省国家级和省级</w:t>
            </w:r>
            <w:r>
              <w:rPr>
                <w:rFonts w:hint="eastAsia" w:ascii="Times New Roman" w:hAnsi="Times New Roman"/>
                <w:b/>
                <w:bCs/>
                <w:color w:val="auto"/>
                <w:kern w:val="0"/>
                <w:sz w:val="24"/>
                <w:szCs w:val="24"/>
              </w:rPr>
              <w:t>主体</w:t>
            </w:r>
            <w:r>
              <w:rPr>
                <w:rFonts w:ascii="Times New Roman" w:hAnsi="Times New Roman"/>
                <w:b/>
                <w:bCs/>
                <w:color w:val="auto"/>
                <w:kern w:val="0"/>
                <w:sz w:val="24"/>
                <w:szCs w:val="24"/>
              </w:rPr>
              <w:t>功能区分布图</w:t>
            </w:r>
          </w:p>
          <w:p w14:paraId="505A6DA5">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3.2生态环境现状</w:t>
            </w:r>
          </w:p>
          <w:p w14:paraId="382D365F">
            <w:pPr>
              <w:adjustRightInd w:val="0"/>
              <w:snapToGrid w:val="0"/>
              <w:spacing w:line="440" w:lineRule="exact"/>
              <w:ind w:firstLine="482" w:firstLineChars="200"/>
              <w:rPr>
                <w:rFonts w:ascii="Times New Roman" w:hAnsi="Times New Roman"/>
                <w:b/>
                <w:color w:val="auto"/>
                <w:sz w:val="24"/>
                <w:szCs w:val="24"/>
              </w:rPr>
            </w:pPr>
            <w:bookmarkStart w:id="29" w:name="_Toc399233461"/>
            <w:bookmarkStart w:id="30" w:name="_Toc63243810"/>
            <w:bookmarkStart w:id="31" w:name="_Toc534485245"/>
            <w:bookmarkStart w:id="32" w:name="_Toc399235659"/>
            <w:bookmarkStart w:id="33" w:name="_Toc377115110"/>
            <w:bookmarkStart w:id="34" w:name="_Toc377831868"/>
            <w:bookmarkStart w:id="35" w:name="_Toc377420749"/>
            <w:r>
              <w:rPr>
                <w:rFonts w:ascii="Times New Roman" w:hAnsi="Times New Roman"/>
                <w:b/>
                <w:color w:val="auto"/>
                <w:sz w:val="24"/>
                <w:szCs w:val="24"/>
              </w:rPr>
              <w:t>3.2.1陆生植被和植物资源</w:t>
            </w:r>
            <w:bookmarkEnd w:id="29"/>
            <w:bookmarkEnd w:id="30"/>
            <w:bookmarkEnd w:id="31"/>
            <w:bookmarkEnd w:id="32"/>
            <w:bookmarkEnd w:id="33"/>
            <w:bookmarkEnd w:id="34"/>
            <w:bookmarkEnd w:id="35"/>
          </w:p>
          <w:p w14:paraId="398BB5C6">
            <w:pPr>
              <w:adjustRightInd w:val="0"/>
              <w:snapToGrid w:val="0"/>
              <w:spacing w:line="440" w:lineRule="exact"/>
              <w:ind w:firstLine="482" w:firstLineChars="200"/>
              <w:rPr>
                <w:rFonts w:ascii="Times New Roman" w:hAnsi="Times New Roman"/>
                <w:b/>
                <w:bCs/>
                <w:color w:val="auto"/>
                <w:sz w:val="24"/>
                <w:szCs w:val="24"/>
              </w:rPr>
            </w:pPr>
            <w:bookmarkStart w:id="36" w:name="_Toc311489745"/>
            <w:bookmarkStart w:id="37" w:name="_Toc534485716"/>
            <w:bookmarkStart w:id="38" w:name="_Toc377831869"/>
            <w:bookmarkStart w:id="39" w:name="_Toc534485966"/>
            <w:bookmarkStart w:id="40" w:name="_Toc399233462"/>
            <w:bookmarkStart w:id="41" w:name="_Toc377420750"/>
            <w:bookmarkStart w:id="42" w:name="_Toc399235660"/>
            <w:bookmarkStart w:id="43" w:name="_Toc534485467"/>
            <w:r>
              <w:rPr>
                <w:rFonts w:hint="eastAsia" w:ascii="Times New Roman" w:hAnsi="Times New Roman"/>
                <w:b/>
                <w:bCs/>
                <w:color w:val="auto"/>
                <w:sz w:val="24"/>
                <w:szCs w:val="24"/>
              </w:rPr>
              <w:t>3.2.1.1</w:t>
            </w:r>
            <w:r>
              <w:rPr>
                <w:rFonts w:ascii="Times New Roman" w:hAnsi="Times New Roman"/>
                <w:b/>
                <w:bCs/>
                <w:color w:val="auto"/>
                <w:sz w:val="24"/>
                <w:szCs w:val="24"/>
              </w:rPr>
              <w:t>调查方法、范围和内容</w:t>
            </w:r>
            <w:bookmarkEnd w:id="36"/>
            <w:bookmarkEnd w:id="37"/>
            <w:bookmarkEnd w:id="38"/>
            <w:bookmarkEnd w:id="39"/>
            <w:bookmarkEnd w:id="40"/>
            <w:bookmarkEnd w:id="41"/>
            <w:bookmarkEnd w:id="42"/>
            <w:bookmarkEnd w:id="43"/>
          </w:p>
          <w:p w14:paraId="3FC94FE9">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根据《环境影响评价技术导则 生态影响》（HJ19-2022），我单位组织专业人员于2026年</w:t>
            </w:r>
            <w:r>
              <w:rPr>
                <w:rFonts w:hint="eastAsia" w:ascii="Times New Roman" w:hAnsi="Times New Roman"/>
                <w:color w:val="auto"/>
                <w:sz w:val="24"/>
                <w:szCs w:val="24"/>
                <w:lang w:val="en-US" w:eastAsia="zh-CN"/>
              </w:rPr>
              <w:t>5</w:t>
            </w:r>
            <w:r>
              <w:rPr>
                <w:rFonts w:ascii="Times New Roman" w:hAnsi="Times New Roman"/>
                <w:color w:val="auto"/>
                <w:sz w:val="24"/>
                <w:szCs w:val="24"/>
              </w:rPr>
              <w:t>月1</w:t>
            </w:r>
            <w:r>
              <w:rPr>
                <w:rFonts w:hint="eastAsia" w:ascii="Times New Roman" w:hAnsi="Times New Roman"/>
                <w:color w:val="auto"/>
                <w:sz w:val="24"/>
                <w:szCs w:val="24"/>
                <w:lang w:val="en-US" w:eastAsia="zh-CN"/>
              </w:rPr>
              <w:t>2</w:t>
            </w:r>
            <w:r>
              <w:rPr>
                <w:rFonts w:ascii="Times New Roman" w:hAnsi="Times New Roman"/>
                <w:color w:val="auto"/>
                <w:sz w:val="24"/>
                <w:szCs w:val="24"/>
              </w:rPr>
              <w:t>日</w:t>
            </w:r>
            <w:r>
              <w:rPr>
                <w:rFonts w:hint="eastAsia" w:ascii="Times New Roman" w:hAnsi="Times New Roman"/>
                <w:color w:val="auto"/>
                <w:sz w:val="24"/>
                <w:szCs w:val="24"/>
                <w:lang w:eastAsia="zh-CN"/>
              </w:rPr>
              <w:t>、</w:t>
            </w:r>
            <w:r>
              <w:rPr>
                <w:rFonts w:ascii="Times New Roman" w:hAnsi="Times New Roman"/>
                <w:color w:val="auto"/>
                <w:sz w:val="24"/>
                <w:szCs w:val="24"/>
              </w:rPr>
              <w:t>2026年7月11日~7月15日实地考察了工程评价区周围的植被和植物。并查阅了六合一光伏项目及</w:t>
            </w:r>
            <w:r>
              <w:rPr>
                <w:rFonts w:hint="eastAsia" w:ascii="Times New Roman" w:hAnsi="Times New Roman"/>
                <w:color w:val="auto"/>
                <w:sz w:val="24"/>
                <w:szCs w:val="24"/>
              </w:rPr>
              <w:t>500kV乐业变</w:t>
            </w:r>
            <w:r>
              <w:rPr>
                <w:rFonts w:ascii="Times New Roman" w:hAnsi="Times New Roman"/>
                <w:color w:val="auto"/>
                <w:sz w:val="24"/>
                <w:szCs w:val="24"/>
              </w:rPr>
              <w:t>生态调查相关资料。</w:t>
            </w:r>
          </w:p>
          <w:p w14:paraId="290B7576">
            <w:pPr>
              <w:overflowPunct w:val="0"/>
              <w:topLinePunct/>
              <w:autoSpaceDE w:val="0"/>
              <w:autoSpaceDN w:val="0"/>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（1）调查方法</w:t>
            </w:r>
          </w:p>
          <w:p w14:paraId="37A60536">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1）基础资料收集</w:t>
            </w:r>
          </w:p>
          <w:p w14:paraId="7722BE2F">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收集评价区及邻近地区的地形图、近期土地详查、土壤普查成果及图件，调查工程区土壤类型、面积、分布和土地利用情况。</w:t>
            </w:r>
          </w:p>
          <w:p w14:paraId="0AE6FB8D">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收集评价区及邻近地区土壤侵蚀调查及规划成果图件，包括土壤侵蚀类型、面积、强度、分布、危害情况以及土壤侵蚀现状分布图、治理措施分布图等。</w:t>
            </w:r>
          </w:p>
          <w:p w14:paraId="5A4D080B">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收集评价区及邻近地区森林资源清查、验收成果及图件。包括森林资源组成、林种、林分面积、覆盖率、蓄积量及构成、分布及保护状况；退耕还林面积及其分布；水源涵养林面积及其分布等。</w:t>
            </w:r>
          </w:p>
          <w:p w14:paraId="583A7432">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2）野外实地考察</w:t>
            </w:r>
          </w:p>
          <w:p w14:paraId="55889913">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①GPS记录</w:t>
            </w:r>
          </w:p>
          <w:p w14:paraId="746551DB">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野外调查GPS记录是卫星遥感影像判读植被类型和土地利用类型的基础，根据室内初步判读的植被与土地利用类型图，现场核实判读的精度，并对每个GPS采样点作如下记录：海拔（注意相应植被类型的垂直变化）；记录样点植被类型（群系、群系组或植被亚型），特别是类型发生变化的地方要做准确详细的记录；记录样点优势植物和重要物种如珍稀濒危植物；拍摄典型植被特征（外貌与结构）；在视野广阔清晰之处，拍摄周围植被或景观的照片，并进行记录。</w:t>
            </w:r>
          </w:p>
          <w:p w14:paraId="6E02243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②群落调查</w:t>
            </w:r>
          </w:p>
          <w:p w14:paraId="6334FE5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实地踏查和遥感卫星影像数据分析的基础上，结合研究区的地形地貌特点和交通状况及工程分布状况，在线路调查的基础上，确定重点调查地段和重要植被类型。根据《云南省环境影响评价维管植物及植被现状调查技术要求（试行）》，本次调查采用法瑞学派样地调查法进行</w:t>
            </w:r>
            <w:r>
              <w:rPr>
                <w:rFonts w:hint="eastAsia" w:ascii="Times New Roman" w:hAnsi="Times New Roman"/>
                <w:color w:val="auto"/>
                <w:sz w:val="24"/>
                <w:szCs w:val="24"/>
              </w:rPr>
              <w:t>样地</w:t>
            </w:r>
            <w:r>
              <w:rPr>
                <w:rFonts w:ascii="Times New Roman" w:hAnsi="Times New Roman"/>
                <w:color w:val="auto"/>
                <w:sz w:val="24"/>
                <w:szCs w:val="24"/>
              </w:rPr>
              <w:t>选择和记录进行群落调查。其中稀树灌木草丛、灌丛样地面积10×10m</w:t>
            </w:r>
            <w:r>
              <w:rPr>
                <w:rFonts w:ascii="Times New Roman" w:hAnsi="Times New Roman"/>
                <w:color w:val="auto"/>
                <w:sz w:val="24"/>
                <w:szCs w:val="24"/>
                <w:vertAlign w:val="superscript"/>
              </w:rPr>
              <w:t>2</w:t>
            </w:r>
            <w:r>
              <w:rPr>
                <w:rFonts w:ascii="Times New Roman" w:hAnsi="Times New Roman"/>
                <w:color w:val="auto"/>
                <w:sz w:val="24"/>
                <w:szCs w:val="24"/>
              </w:rPr>
              <w:t>。记录样地的所有植物种类，并按Braun-Blanquet多优度—群聚度记分，利用GPS确定样地位置。</w:t>
            </w:r>
          </w:p>
          <w:p w14:paraId="030F3DA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③植物种类调查</w:t>
            </w:r>
          </w:p>
          <w:p w14:paraId="7ABC2F6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采取路线调查与样地调查相结合的方法进行植物调查，在植被线路调查和群落调查中，同时记录植物种类、资源状况、珍稀濒危植物的种类及生存状况等。对资源植物和珍稀濒危植物调查采取野外调查和访问调查、市场调查相结合的方法进行。对有疑问、经济植物和珍稀濒危植物还要采集凭证标本和拍摄照片。</w:t>
            </w:r>
          </w:p>
          <w:p w14:paraId="2072EA5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根据实地调查资料，结合区域林业、环境和生物多样性相关研究结果确定评价区分布的植物种类，编制植物名录。</w:t>
            </w:r>
          </w:p>
          <w:p w14:paraId="56C631B9">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（2）调查范围</w:t>
            </w:r>
          </w:p>
          <w:p w14:paraId="0C6E7208">
            <w:pPr>
              <w:pStyle w:val="83"/>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color w:val="auto"/>
                <w:sz w:val="24"/>
                <w:szCs w:val="24"/>
              </w:rPr>
              <w:t>本项目对陆生植物、植被的调查工作重点为占地红线范围内、集电线路两侧影响区域，其次是与工程直接影响相邻的地区；调查范围主要为线路、临时工程区域周边外延300m范围。评价区总面积1323.172hm²，评价区海</w:t>
            </w:r>
            <w:r>
              <w:rPr>
                <w:rFonts w:ascii="Times New Roman" w:hAnsi="Times New Roman"/>
                <w:color w:val="auto"/>
                <w:sz w:val="24"/>
                <w:szCs w:val="24"/>
                <w:highlight w:val="none"/>
              </w:rPr>
              <w:t>拔为1</w:t>
            </w:r>
            <w:r>
              <w:rPr>
                <w:rFonts w:hint="eastAsia" w:ascii="Times New Roman" w:hAnsi="Times New Roman"/>
                <w:color w:val="auto"/>
                <w:sz w:val="24"/>
                <w:szCs w:val="24"/>
                <w:highlight w:val="none"/>
                <w:lang w:val="en-US" w:eastAsia="zh-CN"/>
              </w:rPr>
              <w:t>7</w:t>
            </w:r>
            <w:r>
              <w:rPr>
                <w:rFonts w:ascii="Times New Roman" w:hAnsi="Times New Roman"/>
                <w:color w:val="auto"/>
                <w:sz w:val="24"/>
                <w:szCs w:val="24"/>
                <w:highlight w:val="none"/>
              </w:rPr>
              <w:t>95-2</w:t>
            </w:r>
            <w:r>
              <w:rPr>
                <w:rFonts w:hint="eastAsia" w:ascii="Times New Roman" w:hAnsi="Times New Roman"/>
                <w:color w:val="auto"/>
                <w:sz w:val="24"/>
                <w:szCs w:val="24"/>
                <w:highlight w:val="none"/>
                <w:lang w:val="en-US" w:eastAsia="zh-CN"/>
              </w:rPr>
              <w:t>218</w:t>
            </w:r>
            <w:r>
              <w:rPr>
                <w:rFonts w:ascii="Times New Roman" w:hAnsi="Times New Roman"/>
                <w:color w:val="auto"/>
                <w:sz w:val="24"/>
                <w:szCs w:val="24"/>
                <w:highlight w:val="none"/>
              </w:rPr>
              <w:t>m</w:t>
            </w:r>
            <w:r>
              <w:rPr>
                <w:rFonts w:ascii="Times New Roman" w:hAnsi="Times New Roman"/>
                <w:color w:val="auto"/>
                <w:sz w:val="24"/>
                <w:szCs w:val="24"/>
              </w:rPr>
              <w:t>。</w:t>
            </w:r>
          </w:p>
          <w:p w14:paraId="04195EFF">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（3）调查内容</w:t>
            </w:r>
          </w:p>
          <w:p w14:paraId="5C5E180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陆生植被和植物调查的主要内容是评价区植被类型及分布特征，评价区植物资源现状，国家重点保护野生植物数量及分布情况，云南省重点保护野生植物数量及分布情况，名木古树数量及分布情况等。</w:t>
            </w:r>
          </w:p>
          <w:p w14:paraId="20CDAC80">
            <w:pPr>
              <w:adjustRightInd w:val="0"/>
              <w:snapToGrid w:val="0"/>
              <w:spacing w:line="440" w:lineRule="exact"/>
              <w:ind w:firstLine="482" w:firstLineChars="200"/>
              <w:rPr>
                <w:rFonts w:ascii="Times New Roman" w:hAnsi="Times New Roman"/>
                <w:b/>
                <w:bCs/>
                <w:color w:val="auto"/>
                <w:sz w:val="24"/>
                <w:szCs w:val="24"/>
              </w:rPr>
            </w:pPr>
            <w:bookmarkStart w:id="44" w:name="_Toc534485967"/>
            <w:bookmarkStart w:id="45" w:name="_Toc534485468"/>
            <w:bookmarkStart w:id="46" w:name="_Toc399235661"/>
            <w:bookmarkStart w:id="47" w:name="_Toc534485717"/>
            <w:bookmarkStart w:id="48" w:name="_Toc399233463"/>
            <w:bookmarkStart w:id="49" w:name="_Toc377831870"/>
            <w:bookmarkStart w:id="50" w:name="_Toc377420751"/>
            <w:bookmarkStart w:id="51" w:name="_Toc311489746"/>
            <w:r>
              <w:rPr>
                <w:rFonts w:hint="eastAsia" w:ascii="Times New Roman" w:hAnsi="Times New Roman"/>
                <w:b/>
                <w:bCs/>
                <w:color w:val="auto"/>
                <w:sz w:val="24"/>
                <w:szCs w:val="24"/>
              </w:rPr>
              <w:t>3.2.1.2</w:t>
            </w:r>
            <w:bookmarkEnd w:id="44"/>
            <w:bookmarkEnd w:id="45"/>
            <w:bookmarkEnd w:id="46"/>
            <w:bookmarkEnd w:id="47"/>
            <w:bookmarkEnd w:id="48"/>
            <w:bookmarkEnd w:id="49"/>
            <w:bookmarkEnd w:id="50"/>
            <w:bookmarkEnd w:id="51"/>
            <w:r>
              <w:rPr>
                <w:rFonts w:hint="eastAsia" w:ascii="Times New Roman" w:hAnsi="Times New Roman"/>
                <w:b/>
                <w:bCs/>
                <w:color w:val="auto"/>
                <w:sz w:val="24"/>
                <w:szCs w:val="24"/>
              </w:rPr>
              <w:t>评价区</w:t>
            </w:r>
            <w:bookmarkStart w:id="52" w:name="_Toc76673410"/>
            <w:r>
              <w:rPr>
                <w:rFonts w:hint="eastAsia" w:ascii="Times New Roman" w:hAnsi="Times New Roman"/>
                <w:b/>
                <w:bCs/>
                <w:color w:val="auto"/>
                <w:sz w:val="24"/>
                <w:szCs w:val="24"/>
              </w:rPr>
              <w:t>植被分类系统及分布特征</w:t>
            </w:r>
            <w:bookmarkEnd w:id="52"/>
          </w:p>
          <w:p w14:paraId="0D5F750F">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（1）</w:t>
            </w:r>
            <w:r>
              <w:rPr>
                <w:rFonts w:hint="eastAsia" w:ascii="Times New Roman" w:hAnsi="Times New Roman"/>
                <w:b/>
                <w:bCs/>
                <w:color w:val="auto"/>
                <w:sz w:val="24"/>
                <w:szCs w:val="24"/>
                <w:lang w:val="zh-CN"/>
              </w:rPr>
              <w:t>植被分类系统</w:t>
            </w:r>
          </w:p>
          <w:p w14:paraId="221A69A9">
            <w:pPr>
              <w:adjustRightInd w:val="0"/>
              <w:snapToGrid w:val="0"/>
              <w:spacing w:line="440" w:lineRule="exact"/>
              <w:ind w:firstLine="480" w:firstLineChars="200"/>
              <w:rPr>
                <w:rFonts w:ascii="Times New Roman" w:hAnsi="Times New Roman"/>
                <w:color w:val="auto"/>
                <w:sz w:val="24"/>
                <w:szCs w:val="32"/>
              </w:rPr>
            </w:pPr>
            <w:r>
              <w:rPr>
                <w:rFonts w:ascii="Times New Roman" w:hAnsi="Times New Roman"/>
                <w:color w:val="auto"/>
                <w:sz w:val="24"/>
                <w:szCs w:val="32"/>
                <w:lang w:val="zh-CN"/>
              </w:rPr>
              <w:t>依据《云南植被》专著中采用的分类系统，遵循群落学－生态学的分类原则，采用3个主级分类单位，即植被型</w:t>
            </w:r>
            <w:r>
              <w:rPr>
                <w:rFonts w:hint="eastAsia" w:ascii="Times New Roman" w:hAnsi="Times New Roman"/>
                <w:color w:val="auto"/>
                <w:sz w:val="24"/>
                <w:szCs w:val="32"/>
                <w:lang w:val="zh-CN"/>
              </w:rPr>
              <w:t>（</w:t>
            </w:r>
            <w:r>
              <w:rPr>
                <w:rFonts w:ascii="Times New Roman" w:hAnsi="Times New Roman"/>
                <w:color w:val="auto"/>
                <w:sz w:val="24"/>
                <w:szCs w:val="32"/>
                <w:lang w:val="zh-CN"/>
              </w:rPr>
              <w:t>高级分类单位</w:t>
            </w:r>
            <w:r>
              <w:rPr>
                <w:rFonts w:hint="eastAsia" w:ascii="Times New Roman" w:hAnsi="Times New Roman"/>
                <w:color w:val="auto"/>
                <w:sz w:val="24"/>
                <w:szCs w:val="32"/>
                <w:lang w:val="zh-CN"/>
              </w:rPr>
              <w:t>）</w:t>
            </w:r>
            <w:r>
              <w:rPr>
                <w:rFonts w:ascii="Times New Roman" w:hAnsi="Times New Roman"/>
                <w:color w:val="auto"/>
                <w:sz w:val="24"/>
                <w:szCs w:val="32"/>
                <w:lang w:val="zh-CN"/>
              </w:rPr>
              <w:t>、群系</w:t>
            </w:r>
            <w:r>
              <w:rPr>
                <w:rFonts w:hint="eastAsia" w:ascii="Times New Roman" w:hAnsi="Times New Roman"/>
                <w:color w:val="auto"/>
                <w:sz w:val="24"/>
                <w:szCs w:val="32"/>
                <w:lang w:val="zh-CN"/>
              </w:rPr>
              <w:t>（</w:t>
            </w:r>
            <w:r>
              <w:rPr>
                <w:rFonts w:ascii="Times New Roman" w:hAnsi="Times New Roman"/>
                <w:color w:val="auto"/>
                <w:sz w:val="24"/>
                <w:szCs w:val="32"/>
                <w:lang w:val="zh-CN"/>
              </w:rPr>
              <w:t>中级分类单位</w:t>
            </w:r>
            <w:r>
              <w:rPr>
                <w:rFonts w:hint="eastAsia" w:ascii="Times New Roman" w:hAnsi="Times New Roman"/>
                <w:color w:val="auto"/>
                <w:sz w:val="24"/>
                <w:szCs w:val="32"/>
                <w:lang w:val="zh-CN"/>
              </w:rPr>
              <w:t>）</w:t>
            </w:r>
            <w:r>
              <w:rPr>
                <w:rFonts w:ascii="Times New Roman" w:hAnsi="Times New Roman"/>
                <w:color w:val="auto"/>
                <w:sz w:val="24"/>
                <w:szCs w:val="32"/>
                <w:lang w:val="zh-CN"/>
              </w:rPr>
              <w:t>和群丛</w:t>
            </w:r>
            <w:r>
              <w:rPr>
                <w:rFonts w:hint="eastAsia" w:ascii="Times New Roman" w:hAnsi="Times New Roman"/>
                <w:color w:val="auto"/>
                <w:sz w:val="24"/>
                <w:szCs w:val="32"/>
                <w:lang w:val="zh-CN"/>
              </w:rPr>
              <w:t>（</w:t>
            </w:r>
            <w:r>
              <w:rPr>
                <w:rFonts w:ascii="Times New Roman" w:hAnsi="Times New Roman"/>
                <w:color w:val="auto"/>
                <w:sz w:val="24"/>
                <w:szCs w:val="32"/>
                <w:lang w:val="zh-CN"/>
              </w:rPr>
              <w:t>低级分类单位</w:t>
            </w:r>
            <w:r>
              <w:rPr>
                <w:rFonts w:hint="eastAsia" w:ascii="Times New Roman" w:hAnsi="Times New Roman"/>
                <w:color w:val="auto"/>
                <w:sz w:val="24"/>
                <w:szCs w:val="32"/>
                <w:lang w:val="zh-CN"/>
              </w:rPr>
              <w:t>）</w:t>
            </w:r>
            <w:r>
              <w:rPr>
                <w:rFonts w:ascii="Times New Roman" w:hAnsi="Times New Roman"/>
                <w:color w:val="auto"/>
                <w:sz w:val="24"/>
                <w:szCs w:val="32"/>
                <w:lang w:val="zh-CN"/>
              </w:rPr>
              <w:t>，各级再设亚级或辅助单位。</w:t>
            </w:r>
          </w:p>
          <w:p w14:paraId="6A544E7C">
            <w:pPr>
              <w:adjustRightInd w:val="0"/>
              <w:snapToGrid w:val="0"/>
              <w:spacing w:line="440" w:lineRule="exact"/>
              <w:ind w:firstLine="480" w:firstLineChars="200"/>
              <w:rPr>
                <w:rFonts w:ascii="Times New Roman" w:hAnsi="Times New Roman"/>
                <w:color w:val="auto"/>
                <w:sz w:val="24"/>
                <w:szCs w:val="32"/>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hint="eastAsia" w:ascii="Times New Roman" w:hAnsi="Times New Roman"/>
                <w:color w:val="auto"/>
                <w:sz w:val="24"/>
                <w:szCs w:val="32"/>
                <w:lang w:val="zh-CN"/>
              </w:rPr>
              <w:t>区域</w:t>
            </w:r>
            <w:r>
              <w:rPr>
                <w:rFonts w:ascii="Times New Roman" w:hAnsi="Times New Roman"/>
                <w:color w:val="auto"/>
                <w:sz w:val="24"/>
                <w:szCs w:val="32"/>
                <w:lang w:val="zh-CN"/>
              </w:rPr>
              <w:t>所在地处于</w:t>
            </w:r>
            <w:r>
              <w:rPr>
                <w:rFonts w:ascii="Times New Roman" w:hAnsi="Times New Roman"/>
                <w:color w:val="auto"/>
                <w:sz w:val="24"/>
                <w:szCs w:val="32"/>
              </w:rPr>
              <w:t>亚热带常绿阔叶林区域(II)，西部（半湿润）常绿阔叶林亚区域(IIA)；高原亚热带北部常绿阔叶林地带(II-Aii)，滇中、滇东、高原半湿润常绿阔叶林、云南松林区(IIAii-1)、滇东北高原高、中山云南松林羊草草甸亚区(IIAii-1</w:t>
            </w:r>
            <w:r>
              <w:rPr>
                <w:rFonts w:hint="eastAsia" w:ascii="Times New Roman" w:hAnsi="Times New Roman"/>
                <w:color w:val="auto"/>
                <w:sz w:val="24"/>
                <w:szCs w:val="32"/>
              </w:rPr>
              <w:t>d</w:t>
            </w:r>
            <w:r>
              <w:rPr>
                <w:rFonts w:ascii="Times New Roman" w:hAnsi="Times New Roman"/>
                <w:color w:val="auto"/>
                <w:sz w:val="24"/>
                <w:szCs w:val="32"/>
              </w:rPr>
              <w:t>)。</w:t>
            </w:r>
            <w:r>
              <w:rPr>
                <w:rFonts w:ascii="Times New Roman" w:hAnsi="Times New Roman"/>
                <w:color w:val="auto"/>
                <w:sz w:val="24"/>
                <w:szCs w:val="32"/>
                <w:lang w:val="zh-CN"/>
              </w:rPr>
              <w:t>项目评价区地带性植被为半湿润常绿阔叶林，除此之外，受气候影响以及更多的人为活动干扰，大量种植耕地，评价区范围内镶嵌分布较广的</w:t>
            </w:r>
            <w:r>
              <w:rPr>
                <w:rFonts w:hint="eastAsia" w:ascii="Times New Roman" w:hAnsi="Times New Roman"/>
                <w:color w:val="auto"/>
                <w:sz w:val="24"/>
                <w:szCs w:val="32"/>
                <w:lang w:val="zh-CN"/>
              </w:rPr>
              <w:t>暖温性</w:t>
            </w:r>
            <w:r>
              <w:rPr>
                <w:rFonts w:ascii="Times New Roman" w:hAnsi="Times New Roman"/>
                <w:color w:val="auto"/>
                <w:sz w:val="24"/>
                <w:szCs w:val="32"/>
                <w:lang w:val="zh-CN"/>
              </w:rPr>
              <w:t>稀树灌木草丛。</w:t>
            </w:r>
            <w:r>
              <w:rPr>
                <w:rFonts w:hint="eastAsia" w:ascii="Times New Roman" w:hAnsi="Times New Roman"/>
                <w:color w:val="auto"/>
                <w:sz w:val="24"/>
                <w:szCs w:val="32"/>
                <w:lang w:val="zh-CN"/>
              </w:rPr>
              <w:t>项目区域的植被可划分为</w:t>
            </w:r>
            <w:r>
              <w:rPr>
                <w:rFonts w:hint="eastAsia" w:ascii="Times New Roman" w:hAnsi="Times New Roman"/>
                <w:color w:val="auto"/>
                <w:sz w:val="24"/>
                <w:szCs w:val="32"/>
              </w:rPr>
              <w:t>3</w:t>
            </w:r>
            <w:r>
              <w:rPr>
                <w:rFonts w:hint="eastAsia" w:ascii="Times New Roman" w:hAnsi="Times New Roman"/>
                <w:color w:val="auto"/>
                <w:sz w:val="24"/>
                <w:szCs w:val="32"/>
                <w:lang w:val="zh-CN"/>
              </w:rPr>
              <w:t>个植被型，</w:t>
            </w:r>
            <w:r>
              <w:rPr>
                <w:rFonts w:hint="eastAsia" w:ascii="Times New Roman" w:hAnsi="Times New Roman"/>
                <w:color w:val="auto"/>
                <w:sz w:val="24"/>
                <w:szCs w:val="32"/>
              </w:rPr>
              <w:t>3</w:t>
            </w:r>
            <w:r>
              <w:rPr>
                <w:rFonts w:hint="eastAsia" w:ascii="Times New Roman" w:hAnsi="Times New Roman"/>
                <w:color w:val="auto"/>
                <w:sz w:val="24"/>
                <w:szCs w:val="32"/>
                <w:lang w:val="zh-CN"/>
              </w:rPr>
              <w:t>个植被亚型，</w:t>
            </w:r>
            <w:r>
              <w:rPr>
                <w:rFonts w:hint="eastAsia" w:ascii="Times New Roman" w:hAnsi="Times New Roman"/>
                <w:color w:val="auto"/>
                <w:sz w:val="24"/>
                <w:szCs w:val="32"/>
              </w:rPr>
              <w:t>3</w:t>
            </w:r>
            <w:r>
              <w:rPr>
                <w:rFonts w:hint="eastAsia" w:ascii="Times New Roman" w:hAnsi="Times New Roman"/>
                <w:color w:val="auto"/>
                <w:sz w:val="24"/>
                <w:szCs w:val="32"/>
                <w:lang w:val="zh-CN"/>
              </w:rPr>
              <w:t>个群系。</w:t>
            </w:r>
            <w:r>
              <w:rPr>
                <w:rFonts w:ascii="Times New Roman" w:hAnsi="Times New Roman"/>
                <w:color w:val="auto"/>
                <w:sz w:val="24"/>
                <w:szCs w:val="32"/>
                <w:lang w:val="zh-CN"/>
              </w:rPr>
              <w:t>根据野外实地考察，</w:t>
            </w:r>
            <w:r>
              <w:rPr>
                <w:rFonts w:ascii="Times New Roman" w:hAnsi="Times New Roman"/>
                <w:color w:val="auto"/>
                <w:sz w:val="24"/>
                <w:szCs w:val="32"/>
              </w:rPr>
              <w:t>将评价区</w:t>
            </w:r>
            <w:r>
              <w:rPr>
                <w:rFonts w:ascii="Times New Roman" w:hAnsi="Times New Roman"/>
                <w:color w:val="auto"/>
                <w:sz w:val="24"/>
                <w:szCs w:val="32"/>
                <w:lang w:val="zh-CN"/>
              </w:rPr>
              <w:t>植被划分为3个植被型、3</w:t>
            </w:r>
            <w:r>
              <w:rPr>
                <w:rFonts w:hint="eastAsia" w:ascii="Times New Roman" w:hAnsi="Times New Roman"/>
                <w:color w:val="auto"/>
                <w:sz w:val="24"/>
                <w:szCs w:val="32"/>
                <w:lang w:val="zh-CN"/>
              </w:rPr>
              <w:t>个</w:t>
            </w:r>
            <w:r>
              <w:rPr>
                <w:rFonts w:ascii="Times New Roman" w:hAnsi="Times New Roman"/>
                <w:color w:val="auto"/>
                <w:sz w:val="24"/>
                <w:szCs w:val="32"/>
                <w:lang w:val="zh-CN"/>
              </w:rPr>
              <w:t>群系</w:t>
            </w:r>
            <w:r>
              <w:rPr>
                <w:rFonts w:hint="eastAsia" w:ascii="Times New Roman" w:hAnsi="Times New Roman"/>
                <w:color w:val="auto"/>
                <w:sz w:val="24"/>
                <w:szCs w:val="32"/>
                <w:lang w:val="zh-CN"/>
              </w:rPr>
              <w:t>、</w:t>
            </w:r>
            <w:r>
              <w:rPr>
                <w:rFonts w:ascii="Times New Roman" w:hAnsi="Times New Roman"/>
                <w:color w:val="auto"/>
                <w:sz w:val="24"/>
                <w:szCs w:val="32"/>
                <w:lang w:val="zh-CN"/>
              </w:rPr>
              <w:t>3个群落，</w:t>
            </w:r>
            <w:r>
              <w:rPr>
                <w:rFonts w:ascii="Times New Roman" w:hAnsi="Times New Roman"/>
                <w:color w:val="auto"/>
                <w:sz w:val="24"/>
                <w:szCs w:val="32"/>
              </w:rPr>
              <w:t>（具体分布情况见评价区植被图）</w:t>
            </w:r>
            <w:r>
              <w:rPr>
                <w:rFonts w:hint="eastAsia" w:ascii="Times New Roman" w:hAnsi="Times New Roman"/>
                <w:color w:val="auto"/>
                <w:sz w:val="24"/>
                <w:szCs w:val="32"/>
              </w:rPr>
              <w:t>。</w:t>
            </w:r>
          </w:p>
          <w:p w14:paraId="3F53DFEF">
            <w:pPr>
              <w:adjustRightInd w:val="0"/>
              <w:snapToGrid w:val="0"/>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3-3</w:t>
            </w:r>
            <w:r>
              <w:rPr>
                <w:rFonts w:ascii="Times New Roman" w:hAnsi="Times New Roman"/>
                <w:b/>
                <w:color w:val="auto"/>
                <w:sz w:val="24"/>
                <w:szCs w:val="32"/>
              </w:rPr>
              <w:t xml:space="preserve">  评价区植被类型统计表</w:t>
            </w:r>
          </w:p>
          <w:tbl>
            <w:tblPr>
              <w:tblStyle w:val="2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26"/>
            </w:tblGrid>
            <w:tr w14:paraId="6E9EA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tcBorders>
                    <w:tl2br w:val="nil"/>
                    <w:tr2bl w:val="nil"/>
                  </w:tcBorders>
                </w:tcPr>
                <w:p w14:paraId="0FC2BB74">
                  <w:pPr>
                    <w:adjustRightInd w:val="0"/>
                    <w:snapToGrid w:val="0"/>
                    <w:ind w:firstLine="422" w:firstLineChars="200"/>
                    <w:rPr>
                      <w:rFonts w:ascii="Times New Roman" w:hAnsi="Times New Roman"/>
                      <w:b/>
                      <w:color w:val="auto"/>
                      <w:szCs w:val="21"/>
                    </w:rPr>
                  </w:pPr>
                  <w:r>
                    <w:rPr>
                      <w:rFonts w:ascii="Times New Roman" w:hAnsi="Times New Roman"/>
                      <w:b/>
                      <w:color w:val="auto"/>
                      <w:szCs w:val="21"/>
                    </w:rPr>
                    <w:t>A.自然植被</w:t>
                  </w:r>
                </w:p>
                <w:p w14:paraId="3C9E0CA2">
                  <w:pPr>
                    <w:adjustRightInd w:val="0"/>
                    <w:snapToGrid w:val="0"/>
                    <w:ind w:firstLine="420" w:firstLineChars="200"/>
                    <w:rPr>
                      <w:rFonts w:ascii="Times New Roman" w:hAnsi="Times New Roman"/>
                      <w:color w:val="auto"/>
                      <w:szCs w:val="21"/>
                    </w:rPr>
                  </w:pPr>
                  <w:r>
                    <w:rPr>
                      <w:rFonts w:ascii="Times New Roman" w:hAnsi="Times New Roman"/>
                      <w:color w:val="auto"/>
                      <w:szCs w:val="21"/>
                    </w:rPr>
                    <w:t>Ⅰ.暖性针叶林</w:t>
                  </w:r>
                </w:p>
                <w:p w14:paraId="1657853C">
                  <w:pPr>
                    <w:adjustRightInd w:val="0"/>
                    <w:snapToGrid w:val="0"/>
                    <w:ind w:firstLine="315" w:firstLineChars="150"/>
                    <w:rPr>
                      <w:rFonts w:ascii="Times New Roman" w:hAnsi="Times New Roman"/>
                      <w:color w:val="auto"/>
                      <w:szCs w:val="21"/>
                    </w:rPr>
                  </w:pPr>
                  <w:r>
                    <w:rPr>
                      <w:rFonts w:ascii="Times New Roman" w:hAnsi="Times New Roman"/>
                      <w:color w:val="auto"/>
                      <w:szCs w:val="21"/>
                    </w:rPr>
                    <w:t>（Ⅰ）暖温性针叶林</w:t>
                  </w:r>
                </w:p>
                <w:p w14:paraId="369F153B">
                  <w:pPr>
                    <w:adjustRightInd w:val="0"/>
                    <w:snapToGrid w:val="0"/>
                    <w:ind w:firstLine="630" w:firstLineChars="300"/>
                    <w:rPr>
                      <w:rFonts w:ascii="Times New Roman" w:hAnsi="Times New Roman"/>
                      <w:color w:val="auto"/>
                      <w:szCs w:val="21"/>
                    </w:rPr>
                  </w:pPr>
                  <w:r>
                    <w:rPr>
                      <w:rFonts w:ascii="Times New Roman" w:hAnsi="Times New Roman"/>
                      <w:color w:val="auto"/>
                      <w:szCs w:val="21"/>
                    </w:rPr>
                    <w:t>（</w:t>
                  </w:r>
                  <w:r>
                    <w:rPr>
                      <w:rFonts w:ascii="Times New Roman" w:hAnsi="Times New Roman"/>
                      <w:color w:val="auto"/>
                      <w:szCs w:val="21"/>
                      <w:lang w:val="pt-BR"/>
                    </w:rPr>
                    <w:t>一</w:t>
                  </w:r>
                  <w:r>
                    <w:rPr>
                      <w:rFonts w:ascii="Times New Roman" w:hAnsi="Times New Roman"/>
                      <w:color w:val="auto"/>
                      <w:szCs w:val="21"/>
                    </w:rPr>
                    <w:t>）云南松林</w:t>
                  </w:r>
                </w:p>
                <w:p w14:paraId="0FFE4863">
                  <w:pPr>
                    <w:adjustRightInd w:val="0"/>
                    <w:snapToGrid w:val="0"/>
                    <w:ind w:firstLine="945" w:firstLineChars="450"/>
                    <w:rPr>
                      <w:rFonts w:ascii="Times New Roman" w:hAnsi="Times New Roman"/>
                      <w:color w:val="auto"/>
                      <w:szCs w:val="21"/>
                    </w:rPr>
                  </w:pPr>
                  <w:r>
                    <w:rPr>
                      <w:rFonts w:ascii="Times New Roman" w:hAnsi="Times New Roman"/>
                      <w:color w:val="auto"/>
                      <w:szCs w:val="21"/>
                    </w:rPr>
                    <w:t>（1）云南松群落</w:t>
                  </w:r>
                </w:p>
                <w:p w14:paraId="292BAA2D">
                  <w:pPr>
                    <w:adjustRightInd w:val="0"/>
                    <w:snapToGrid w:val="0"/>
                    <w:ind w:firstLine="420" w:firstLineChars="200"/>
                    <w:rPr>
                      <w:rFonts w:ascii="Times New Roman" w:hAnsi="Times New Roman"/>
                      <w:color w:val="auto"/>
                      <w:szCs w:val="21"/>
                    </w:rPr>
                  </w:pPr>
                  <w:r>
                    <w:rPr>
                      <w:rFonts w:ascii="Times New Roman" w:hAnsi="Times New Roman"/>
                      <w:color w:val="auto"/>
                      <w:szCs w:val="21"/>
                    </w:rPr>
                    <w:t>Ⅱ.稀树灌木草丛</w:t>
                  </w:r>
                </w:p>
                <w:p w14:paraId="0B2C3A45">
                  <w:pPr>
                    <w:adjustRightInd w:val="0"/>
                    <w:snapToGrid w:val="0"/>
                    <w:ind w:firstLine="420" w:firstLineChars="200"/>
                    <w:rPr>
                      <w:rFonts w:ascii="Times New Roman" w:hAnsi="Times New Roman"/>
                      <w:color w:val="auto"/>
                      <w:szCs w:val="21"/>
                    </w:rPr>
                  </w:pPr>
                  <w:r>
                    <w:rPr>
                      <w:rFonts w:ascii="Times New Roman" w:hAnsi="Times New Roman"/>
                      <w:color w:val="auto"/>
                      <w:szCs w:val="21"/>
                    </w:rPr>
                    <w:t>（II）暖温性稀树灌木草丛</w:t>
                  </w:r>
                </w:p>
                <w:p w14:paraId="3AC42C34">
                  <w:pPr>
                    <w:adjustRightInd w:val="0"/>
                    <w:snapToGrid w:val="0"/>
                    <w:ind w:firstLine="630" w:firstLineChars="300"/>
                    <w:rPr>
                      <w:rFonts w:ascii="Times New Roman" w:hAnsi="Times New Roman"/>
                      <w:color w:val="auto"/>
                      <w:kern w:val="0"/>
                      <w:szCs w:val="21"/>
                    </w:rPr>
                  </w:pPr>
                  <w:r>
                    <w:rPr>
                      <w:rFonts w:ascii="Times New Roman" w:hAnsi="Times New Roman"/>
                      <w:color w:val="auto"/>
                      <w:szCs w:val="21"/>
                    </w:rPr>
                    <w:t>（二）</w:t>
                  </w:r>
                  <w:r>
                    <w:rPr>
                      <w:rFonts w:hint="eastAsia" w:ascii="Times New Roman" w:hAnsi="Times New Roman"/>
                      <w:color w:val="auto"/>
                      <w:szCs w:val="21"/>
                      <w:lang w:val="zh-CN"/>
                    </w:rPr>
                    <w:t>含云南松、</w:t>
                  </w:r>
                  <w:r>
                    <w:rPr>
                      <w:rFonts w:ascii="Times New Roman" w:hAnsi="Times New Roman"/>
                      <w:color w:val="auto"/>
                      <w:szCs w:val="21"/>
                    </w:rPr>
                    <w:t>苦刺花</w:t>
                  </w:r>
                  <w:r>
                    <w:rPr>
                      <w:rFonts w:hint="eastAsia" w:ascii="Times New Roman" w:hAnsi="Times New Roman"/>
                      <w:color w:val="auto"/>
                      <w:szCs w:val="21"/>
                      <w:lang w:val="zh-CN"/>
                    </w:rPr>
                    <w:t>的中草草丛</w:t>
                  </w:r>
                </w:p>
                <w:p w14:paraId="12E09724">
                  <w:pPr>
                    <w:adjustRightInd w:val="0"/>
                    <w:snapToGrid w:val="0"/>
                    <w:ind w:firstLine="945" w:firstLineChars="450"/>
                    <w:rPr>
                      <w:rFonts w:ascii="Times New Roman" w:hAnsi="Times New Roman"/>
                      <w:color w:val="auto"/>
                      <w:kern w:val="0"/>
                      <w:szCs w:val="21"/>
                    </w:rPr>
                  </w:pPr>
                  <w:r>
                    <w:rPr>
                      <w:rFonts w:ascii="Times New Roman" w:hAnsi="Times New Roman" w:eastAsia="方正楷体_GB2312"/>
                      <w:color w:val="auto"/>
                      <w:kern w:val="0"/>
                      <w:szCs w:val="21"/>
                    </w:rPr>
                    <w:t>（2）</w:t>
                  </w:r>
                  <w:r>
                    <w:rPr>
                      <w:rFonts w:ascii="Times New Roman" w:hAnsi="Times New Roman"/>
                      <w:color w:val="auto"/>
                      <w:szCs w:val="21"/>
                      <w:lang w:val="zh-CN"/>
                    </w:rPr>
                    <w:t>云南松、</w:t>
                  </w:r>
                  <w:r>
                    <w:rPr>
                      <w:rFonts w:hint="eastAsia" w:ascii="Times New Roman" w:hAnsi="Times New Roman"/>
                      <w:color w:val="auto"/>
                      <w:szCs w:val="21"/>
                    </w:rPr>
                    <w:t>苦刺花、刺芒野古草</w:t>
                  </w:r>
                  <w:r>
                    <w:rPr>
                      <w:rFonts w:ascii="Times New Roman" w:hAnsi="Times New Roman"/>
                      <w:color w:val="auto"/>
                      <w:szCs w:val="21"/>
                      <w:lang w:val="zh-CN"/>
                    </w:rPr>
                    <w:t>群落</w:t>
                  </w:r>
                </w:p>
                <w:p w14:paraId="4D130829">
                  <w:pPr>
                    <w:adjustRightInd w:val="0"/>
                    <w:snapToGrid w:val="0"/>
                    <w:ind w:firstLine="420" w:firstLineChars="200"/>
                    <w:rPr>
                      <w:rFonts w:ascii="Times New Roman" w:hAnsi="Times New Roman"/>
                      <w:color w:val="auto"/>
                      <w:szCs w:val="21"/>
                    </w:rPr>
                  </w:pPr>
                  <w:r>
                    <w:rPr>
                      <w:rFonts w:ascii="Times New Roman" w:hAnsi="Times New Roman"/>
                      <w:color w:val="auto"/>
                      <w:szCs w:val="21"/>
                    </w:rPr>
                    <w:t>III.灌丛</w:t>
                  </w:r>
                </w:p>
                <w:p w14:paraId="6E2CDCB1">
                  <w:pPr>
                    <w:adjustRightInd w:val="0"/>
                    <w:snapToGrid w:val="0"/>
                    <w:ind w:firstLine="420" w:firstLineChars="200"/>
                    <w:rPr>
                      <w:rFonts w:ascii="Times New Roman" w:hAnsi="Times New Roman"/>
                      <w:color w:val="auto"/>
                      <w:szCs w:val="21"/>
                    </w:rPr>
                  </w:pPr>
                  <w:r>
                    <w:rPr>
                      <w:rFonts w:ascii="Times New Roman" w:hAnsi="Times New Roman"/>
                      <w:color w:val="auto"/>
                      <w:szCs w:val="21"/>
                    </w:rPr>
                    <w:t xml:space="preserve">  （III）暖性石灰岩灌丛</w:t>
                  </w:r>
                </w:p>
                <w:p w14:paraId="4A1B5D4C">
                  <w:pPr>
                    <w:adjustRightInd w:val="0"/>
                    <w:snapToGrid w:val="0"/>
                    <w:ind w:firstLine="420" w:firstLineChars="200"/>
                    <w:rPr>
                      <w:rFonts w:ascii="Times New Roman" w:hAnsi="Times New Roman"/>
                      <w:color w:val="auto"/>
                      <w:szCs w:val="21"/>
                    </w:rPr>
                  </w:pPr>
                  <w:r>
                    <w:rPr>
                      <w:rFonts w:ascii="Times New Roman" w:hAnsi="Times New Roman"/>
                      <w:color w:val="auto"/>
                      <w:szCs w:val="21"/>
                    </w:rPr>
                    <w:t xml:space="preserve">    （三）</w:t>
                  </w:r>
                  <w:r>
                    <w:rPr>
                      <w:rFonts w:hint="eastAsia" w:ascii="Times New Roman" w:hAnsi="Times New Roman"/>
                      <w:color w:val="auto"/>
                      <w:szCs w:val="21"/>
                    </w:rPr>
                    <w:t>黑面神</w:t>
                  </w:r>
                  <w:r>
                    <w:rPr>
                      <w:rFonts w:ascii="Times New Roman" w:hAnsi="Times New Roman"/>
                      <w:color w:val="auto"/>
                      <w:szCs w:val="21"/>
                    </w:rPr>
                    <w:t>灌丛</w:t>
                  </w:r>
                </w:p>
                <w:p w14:paraId="16D71523">
                  <w:pPr>
                    <w:adjustRightInd w:val="0"/>
                    <w:snapToGrid w:val="0"/>
                    <w:ind w:firstLine="420" w:firstLineChars="200"/>
                    <w:rPr>
                      <w:rFonts w:ascii="Times New Roman" w:hAnsi="Times New Roman"/>
                      <w:color w:val="auto"/>
                      <w:szCs w:val="21"/>
                    </w:rPr>
                  </w:pPr>
                  <w:r>
                    <w:rPr>
                      <w:rFonts w:ascii="Times New Roman" w:hAnsi="Times New Roman"/>
                      <w:color w:val="auto"/>
                      <w:szCs w:val="21"/>
                    </w:rPr>
                    <w:t xml:space="preserve">       （3）</w:t>
                  </w:r>
                  <w:r>
                    <w:rPr>
                      <w:rFonts w:hint="eastAsia" w:ascii="Times New Roman" w:hAnsi="Times New Roman"/>
                      <w:color w:val="auto"/>
                      <w:szCs w:val="21"/>
                    </w:rPr>
                    <w:t>黑面神、马桑、茅叶荩草</w:t>
                  </w:r>
                  <w:r>
                    <w:rPr>
                      <w:rFonts w:ascii="Times New Roman" w:hAnsi="Times New Roman"/>
                      <w:color w:val="auto"/>
                      <w:szCs w:val="21"/>
                    </w:rPr>
                    <w:t>群落</w:t>
                  </w:r>
                </w:p>
                <w:p w14:paraId="5452A21A">
                  <w:pPr>
                    <w:adjustRightInd w:val="0"/>
                    <w:snapToGrid w:val="0"/>
                    <w:ind w:firstLine="422" w:firstLineChars="200"/>
                    <w:rPr>
                      <w:rFonts w:ascii="Times New Roman" w:hAnsi="Times New Roman"/>
                      <w:b/>
                      <w:bCs/>
                      <w:color w:val="auto"/>
                      <w:szCs w:val="21"/>
                    </w:rPr>
                  </w:pPr>
                  <w:r>
                    <w:rPr>
                      <w:rFonts w:ascii="Times New Roman" w:hAnsi="Times New Roman"/>
                      <w:b/>
                      <w:bCs/>
                      <w:color w:val="auto"/>
                      <w:szCs w:val="21"/>
                    </w:rPr>
                    <w:t>B. 人工植被</w:t>
                  </w:r>
                </w:p>
                <w:p w14:paraId="012196BE">
                  <w:pPr>
                    <w:adjustRightInd w:val="0"/>
                    <w:snapToGrid w:val="0"/>
                    <w:ind w:firstLine="315" w:firstLineChars="150"/>
                    <w:rPr>
                      <w:rFonts w:ascii="Times New Roman" w:hAnsi="Times New Roman"/>
                      <w:color w:val="auto"/>
                      <w:szCs w:val="21"/>
                    </w:rPr>
                  </w:pPr>
                  <w:r>
                    <w:rPr>
                      <w:rFonts w:ascii="Times New Roman" w:hAnsi="Times New Roman"/>
                      <w:color w:val="auto"/>
                      <w:szCs w:val="21"/>
                    </w:rPr>
                    <w:t>耕地（旱地、水田）</w:t>
                  </w:r>
                </w:p>
                <w:p w14:paraId="2C7DBBE9">
                  <w:pPr>
                    <w:adjustRightInd w:val="0"/>
                    <w:snapToGrid w:val="0"/>
                    <w:ind w:firstLine="315" w:firstLineChars="150"/>
                    <w:rPr>
                      <w:rFonts w:hint="eastAsia" w:ascii="Times New Roman" w:hAnsi="Times New Roman"/>
                      <w:color w:val="auto"/>
                      <w:szCs w:val="21"/>
                    </w:rPr>
                  </w:pPr>
                  <w:r>
                    <w:rPr>
                      <w:rFonts w:ascii="Times New Roman" w:hAnsi="Times New Roman"/>
                      <w:color w:val="auto"/>
                      <w:szCs w:val="21"/>
                    </w:rPr>
                    <w:t>人工林（柳杉林</w:t>
                  </w:r>
                  <w:r>
                    <w:rPr>
                      <w:rFonts w:hint="eastAsia" w:ascii="Times New Roman" w:hAnsi="Times New Roman"/>
                      <w:color w:val="auto"/>
                      <w:szCs w:val="21"/>
                    </w:rPr>
                    <w:t>、云南松林、华山松林等</w:t>
                  </w:r>
                  <w:r>
                    <w:rPr>
                      <w:rFonts w:ascii="Times New Roman" w:hAnsi="Times New Roman"/>
                      <w:color w:val="auto"/>
                      <w:szCs w:val="21"/>
                    </w:rPr>
                    <w:t>）</w:t>
                  </w:r>
                </w:p>
              </w:tc>
            </w:tr>
          </w:tbl>
          <w:p w14:paraId="576B5CE5">
            <w:pPr>
              <w:ind w:firstLine="360"/>
              <w:rPr>
                <w:rFonts w:ascii="Times New Roman" w:hAnsi="Times New Roman"/>
                <w:color w:val="auto"/>
                <w:sz w:val="18"/>
                <w:szCs w:val="18"/>
              </w:rPr>
            </w:pPr>
            <w:r>
              <w:rPr>
                <w:rFonts w:ascii="Times New Roman" w:hAnsi="Times New Roman"/>
                <w:color w:val="auto"/>
                <w:sz w:val="18"/>
                <w:szCs w:val="18"/>
              </w:rPr>
              <w:t>注：I、II、III…植被型；（I）、（II）、（III）…植被亚型；（一）、（二）、（三）…群系；（1）、（2）、（3）…群落。</w:t>
            </w:r>
          </w:p>
          <w:p w14:paraId="4CD79CB9">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（2）评价区植被类型</w:t>
            </w:r>
          </w:p>
          <w:p w14:paraId="06A455C1">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A.自然植被：</w:t>
            </w:r>
          </w:p>
          <w:p w14:paraId="697A79D8">
            <w:pPr>
              <w:adjustRightInd w:val="0"/>
              <w:snapToGrid w:val="0"/>
              <w:spacing w:line="440" w:lineRule="exact"/>
              <w:ind w:firstLine="482" w:firstLineChars="200"/>
              <w:rPr>
                <w:rFonts w:ascii="Times New Roman" w:hAnsi="Times New Roman"/>
                <w:bCs/>
                <w:color w:val="auto"/>
                <w:sz w:val="24"/>
                <w:szCs w:val="24"/>
                <w:lang w:val="zh-CN"/>
              </w:rPr>
            </w:pPr>
            <w:r>
              <w:rPr>
                <w:rFonts w:ascii="Times New Roman" w:hAnsi="Times New Roman"/>
                <w:b/>
                <w:bCs/>
                <w:color w:val="auto"/>
                <w:sz w:val="24"/>
                <w:szCs w:val="24"/>
              </w:rPr>
              <w:t>1）</w:t>
            </w:r>
            <w:r>
              <w:rPr>
                <w:rFonts w:ascii="Times New Roman" w:hAnsi="Times New Roman"/>
                <w:b/>
                <w:bCs/>
                <w:color w:val="auto"/>
                <w:sz w:val="24"/>
                <w:szCs w:val="24"/>
                <w:lang w:val="zh-CN"/>
              </w:rPr>
              <w:t>暖性</w:t>
            </w:r>
            <w:r>
              <w:rPr>
                <w:rFonts w:ascii="Times New Roman" w:hAnsi="Times New Roman"/>
                <w:b/>
                <w:color w:val="auto"/>
                <w:sz w:val="24"/>
                <w:szCs w:val="24"/>
                <w:lang w:val="zh-CN"/>
              </w:rPr>
              <w:t>针叶林</w:t>
            </w:r>
          </w:p>
          <w:p w14:paraId="1AA13E2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暖性针叶林在云南主要分布在除干热河谷和亚高山中部以上的山地以外的大部分区域，其分布的海拔</w:t>
            </w:r>
            <w:r>
              <w:rPr>
                <w:rFonts w:ascii="Times New Roman" w:hAnsi="Times New Roman"/>
                <w:color w:val="auto"/>
                <w:sz w:val="24"/>
                <w:szCs w:val="24"/>
                <w:highlight w:val="none"/>
              </w:rPr>
              <w:t>范围主要为800~2800m。暖性</w:t>
            </w:r>
            <w:r>
              <w:rPr>
                <w:rFonts w:ascii="Times New Roman" w:hAnsi="Times New Roman"/>
                <w:color w:val="auto"/>
                <w:sz w:val="24"/>
                <w:szCs w:val="24"/>
              </w:rPr>
              <w:t>针叶林在本项目评价区内主要分布暖温性针叶林亚型的云南松林，在评价区内记录有</w:t>
            </w:r>
            <w:r>
              <w:rPr>
                <w:rFonts w:ascii="Times New Roman" w:hAnsi="Times New Roman"/>
                <w:bCs/>
                <w:color w:val="auto"/>
                <w:sz w:val="24"/>
                <w:szCs w:val="24"/>
              </w:rPr>
              <w:t>云南松群落</w:t>
            </w:r>
            <w:r>
              <w:rPr>
                <w:rFonts w:ascii="Times New Roman" w:hAnsi="Times New Roman"/>
                <w:color w:val="auto"/>
                <w:sz w:val="24"/>
                <w:szCs w:val="24"/>
              </w:rPr>
              <w:t>。</w:t>
            </w:r>
          </w:p>
          <w:p w14:paraId="36DAC44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（一）云南松林</w:t>
            </w:r>
          </w:p>
          <w:p w14:paraId="01A8844E">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①云南松群落</w:t>
            </w:r>
          </w:p>
          <w:p w14:paraId="38E853C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该群落最高达12m，建群种为云南松，群落位于评价区山坡上部。由于项目评价区内云南松林为次生林，受人工扰动明显，本群落结构较简单，乔木层和草本层较发达，灌木层不明显，藤本植物不发达，群落郁闭度较低，疏散透光，林相优良，为单层林，群落林冠较整齐，同时林下有明显的采伐和放牧痕迹。</w:t>
            </w:r>
          </w:p>
          <w:p w14:paraId="43E25F3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群落可分为3层。乔木层高6m，最高可达7m，层盖度45%，建群种为云南松</w:t>
            </w:r>
            <w:r>
              <w:rPr>
                <w:rFonts w:ascii="Times New Roman" w:hAnsi="Times New Roman"/>
                <w:i/>
                <w:color w:val="auto"/>
                <w:sz w:val="24"/>
                <w:szCs w:val="24"/>
              </w:rPr>
              <w:t>Pinus yunnanensis</w:t>
            </w:r>
            <w:r>
              <w:rPr>
                <w:rFonts w:ascii="Times New Roman" w:hAnsi="Times New Roman"/>
                <w:color w:val="auto"/>
                <w:sz w:val="24"/>
                <w:szCs w:val="24"/>
              </w:rPr>
              <w:t>，乔木层还分布有大叶栎</w:t>
            </w:r>
            <w:r>
              <w:rPr>
                <w:rFonts w:ascii="Times New Roman" w:hAnsi="Times New Roman"/>
                <w:i/>
                <w:iCs/>
                <w:color w:val="auto"/>
                <w:sz w:val="24"/>
                <w:szCs w:val="24"/>
              </w:rPr>
              <w:t>Quercus griffithii</w:t>
            </w:r>
            <w:r>
              <w:rPr>
                <w:rFonts w:ascii="Times New Roman" w:hAnsi="Times New Roman"/>
                <w:color w:val="auto"/>
                <w:sz w:val="24"/>
                <w:szCs w:val="24"/>
              </w:rPr>
              <w:t>、滇石栎</w:t>
            </w:r>
            <w:r>
              <w:rPr>
                <w:rFonts w:ascii="Times New Roman" w:hAnsi="Times New Roman"/>
                <w:i/>
                <w:iCs/>
                <w:color w:val="auto"/>
                <w:sz w:val="24"/>
                <w:szCs w:val="24"/>
              </w:rPr>
              <w:t>Lithocarpus dealbatus</w:t>
            </w:r>
            <w:r>
              <w:rPr>
                <w:rFonts w:ascii="Times New Roman" w:hAnsi="Times New Roman"/>
                <w:color w:val="auto"/>
                <w:sz w:val="24"/>
                <w:szCs w:val="24"/>
              </w:rPr>
              <w:t>、滇青冈</w:t>
            </w:r>
            <w:r>
              <w:rPr>
                <w:rFonts w:ascii="Times New Roman" w:hAnsi="Times New Roman"/>
                <w:i/>
                <w:iCs/>
                <w:color w:val="auto"/>
                <w:sz w:val="24"/>
                <w:szCs w:val="24"/>
              </w:rPr>
              <w:t>Quercus glaucoides</w:t>
            </w:r>
            <w:r>
              <w:rPr>
                <w:rFonts w:ascii="Times New Roman" w:hAnsi="Times New Roman"/>
                <w:color w:val="auto"/>
                <w:sz w:val="24"/>
                <w:szCs w:val="24"/>
              </w:rPr>
              <w:t>、厚皮香</w:t>
            </w:r>
            <w:r>
              <w:rPr>
                <w:rFonts w:ascii="Times New Roman" w:hAnsi="Times New Roman"/>
                <w:i/>
                <w:iCs/>
                <w:color w:val="auto"/>
                <w:sz w:val="24"/>
                <w:szCs w:val="24"/>
              </w:rPr>
              <w:t>Ternstroemia gymnanthera</w:t>
            </w:r>
            <w:r>
              <w:rPr>
                <w:rFonts w:ascii="Times New Roman" w:hAnsi="Times New Roman"/>
                <w:color w:val="auto"/>
                <w:sz w:val="24"/>
                <w:szCs w:val="24"/>
              </w:rPr>
              <w:t>、高山栲</w:t>
            </w:r>
            <w:r>
              <w:rPr>
                <w:rFonts w:ascii="Times New Roman" w:hAnsi="Times New Roman"/>
                <w:i/>
                <w:color w:val="auto"/>
                <w:sz w:val="24"/>
                <w:szCs w:val="24"/>
              </w:rPr>
              <w:t>Castanopsis delavayi</w:t>
            </w:r>
            <w:r>
              <w:rPr>
                <w:rFonts w:ascii="Times New Roman" w:hAnsi="Times New Roman"/>
                <w:color w:val="auto"/>
                <w:sz w:val="24"/>
                <w:szCs w:val="24"/>
              </w:rPr>
              <w:t>等。同时，乔木层内还可见少量落叶成分，主要为麻栎、槲栎等。</w:t>
            </w:r>
          </w:p>
          <w:p w14:paraId="5E6BC48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灌木层不发达，约为1m~2.5m，层盖度约为25%，以苦刺花</w:t>
            </w:r>
            <w:r>
              <w:rPr>
                <w:rFonts w:ascii="Times New Roman" w:hAnsi="Times New Roman"/>
                <w:i/>
                <w:color w:val="auto"/>
                <w:sz w:val="24"/>
                <w:szCs w:val="24"/>
              </w:rPr>
              <w:t>Sophora viciifolia</w:t>
            </w:r>
            <w:r>
              <w:rPr>
                <w:rFonts w:ascii="Times New Roman" w:hAnsi="Times New Roman"/>
                <w:iCs/>
                <w:color w:val="auto"/>
                <w:sz w:val="24"/>
                <w:szCs w:val="24"/>
              </w:rPr>
              <w:t>为主，其余可见</w:t>
            </w:r>
            <w:r>
              <w:rPr>
                <w:rFonts w:ascii="Times New Roman" w:hAnsi="Times New Roman"/>
                <w:color w:val="auto"/>
                <w:sz w:val="24"/>
                <w:szCs w:val="24"/>
              </w:rPr>
              <w:t>大白花杜鹃</w:t>
            </w:r>
            <w:r>
              <w:rPr>
                <w:rFonts w:ascii="Times New Roman" w:hAnsi="Times New Roman"/>
                <w:i/>
                <w:color w:val="auto"/>
                <w:sz w:val="24"/>
                <w:szCs w:val="24"/>
              </w:rPr>
              <w:t>Rhododendron decorum</w:t>
            </w:r>
            <w:r>
              <w:rPr>
                <w:rFonts w:ascii="Times New Roman" w:hAnsi="Times New Roman"/>
                <w:color w:val="auto"/>
                <w:sz w:val="24"/>
                <w:szCs w:val="24"/>
              </w:rPr>
              <w:t>、华西小石积</w:t>
            </w:r>
            <w:r>
              <w:rPr>
                <w:rFonts w:ascii="Times New Roman" w:hAnsi="Times New Roman"/>
                <w:i/>
                <w:iCs/>
                <w:color w:val="auto"/>
                <w:sz w:val="24"/>
                <w:szCs w:val="24"/>
              </w:rPr>
              <w:t>Osteomeles schwerinae</w:t>
            </w:r>
            <w:r>
              <w:rPr>
                <w:rFonts w:ascii="Times New Roman" w:hAnsi="Times New Roman"/>
                <w:color w:val="auto"/>
                <w:sz w:val="24"/>
                <w:szCs w:val="24"/>
              </w:rPr>
              <w:t>、沙针</w:t>
            </w:r>
            <w:r>
              <w:rPr>
                <w:rFonts w:ascii="Times New Roman" w:hAnsi="Times New Roman"/>
                <w:i/>
                <w:iCs/>
                <w:color w:val="auto"/>
                <w:sz w:val="24"/>
                <w:szCs w:val="24"/>
              </w:rPr>
              <w:t>Osyris lanceolata</w:t>
            </w:r>
            <w:r>
              <w:rPr>
                <w:rFonts w:ascii="Times New Roman" w:hAnsi="Times New Roman"/>
                <w:color w:val="auto"/>
                <w:sz w:val="24"/>
                <w:szCs w:val="24"/>
              </w:rPr>
              <w:t>、小叶栒子</w:t>
            </w:r>
            <w:r>
              <w:rPr>
                <w:rFonts w:ascii="Times New Roman" w:hAnsi="Times New Roman"/>
                <w:i/>
                <w:color w:val="auto"/>
                <w:sz w:val="24"/>
                <w:szCs w:val="24"/>
              </w:rPr>
              <w:t>Cotoneaster microphyllus</w:t>
            </w:r>
            <w:r>
              <w:rPr>
                <w:rFonts w:ascii="Times New Roman" w:hAnsi="Times New Roman"/>
                <w:color w:val="auto"/>
                <w:sz w:val="24"/>
                <w:szCs w:val="24"/>
              </w:rPr>
              <w:t>、多花笐子梢</w:t>
            </w:r>
            <w:r>
              <w:rPr>
                <w:rFonts w:ascii="Times New Roman" w:hAnsi="Times New Roman"/>
                <w:i/>
                <w:iCs/>
                <w:color w:val="auto"/>
                <w:sz w:val="24"/>
                <w:szCs w:val="24"/>
              </w:rPr>
              <w:t>Campylotropis macrocarpa</w:t>
            </w:r>
            <w:r>
              <w:rPr>
                <w:rFonts w:ascii="Times New Roman" w:hAnsi="Times New Roman"/>
                <w:color w:val="auto"/>
                <w:sz w:val="24"/>
                <w:szCs w:val="24"/>
              </w:rPr>
              <w:t>、炮仗杜鹃</w:t>
            </w:r>
            <w:r>
              <w:rPr>
                <w:rFonts w:ascii="Times New Roman" w:hAnsi="Times New Roman"/>
                <w:i/>
                <w:iCs/>
                <w:color w:val="auto"/>
                <w:sz w:val="24"/>
                <w:szCs w:val="24"/>
              </w:rPr>
              <w:t>Rhododendron spinuliferum</w:t>
            </w:r>
            <w:r>
              <w:rPr>
                <w:rFonts w:ascii="Times New Roman" w:hAnsi="Times New Roman"/>
                <w:color w:val="auto"/>
                <w:sz w:val="24"/>
                <w:szCs w:val="24"/>
              </w:rPr>
              <w:t>、野拔子</w:t>
            </w:r>
            <w:r>
              <w:rPr>
                <w:rFonts w:ascii="Times New Roman" w:hAnsi="Times New Roman"/>
                <w:i/>
                <w:iCs/>
                <w:color w:val="auto"/>
                <w:sz w:val="24"/>
                <w:szCs w:val="24"/>
              </w:rPr>
              <w:t>Elsholtzia rugulosa</w:t>
            </w:r>
            <w:r>
              <w:rPr>
                <w:rFonts w:ascii="Times New Roman" w:hAnsi="Times New Roman"/>
                <w:color w:val="auto"/>
                <w:sz w:val="24"/>
                <w:szCs w:val="24"/>
              </w:rPr>
              <w:t>、地檀香</w:t>
            </w:r>
            <w:r>
              <w:rPr>
                <w:rFonts w:ascii="Times New Roman" w:hAnsi="Times New Roman"/>
                <w:i/>
                <w:iCs/>
                <w:color w:val="auto"/>
                <w:sz w:val="24"/>
                <w:szCs w:val="24"/>
              </w:rPr>
              <w:t>Gaultheria fragrantissima</w:t>
            </w:r>
            <w:r>
              <w:rPr>
                <w:rFonts w:ascii="Times New Roman" w:hAnsi="Times New Roman"/>
                <w:color w:val="auto"/>
                <w:sz w:val="24"/>
                <w:szCs w:val="24"/>
              </w:rPr>
              <w:t>、四川木蓝</w:t>
            </w:r>
            <w:r>
              <w:rPr>
                <w:rFonts w:ascii="Times New Roman" w:hAnsi="Times New Roman"/>
                <w:i/>
                <w:iCs/>
                <w:color w:val="auto"/>
                <w:sz w:val="24"/>
                <w:szCs w:val="24"/>
              </w:rPr>
              <w:t>Indigofera szechuensis</w:t>
            </w:r>
            <w:r>
              <w:rPr>
                <w:rFonts w:ascii="Times New Roman" w:hAnsi="Times New Roman"/>
                <w:color w:val="auto"/>
                <w:sz w:val="24"/>
                <w:szCs w:val="24"/>
              </w:rPr>
              <w:t>、矮生胡枝子</w:t>
            </w:r>
            <w:r>
              <w:rPr>
                <w:rFonts w:ascii="Times New Roman" w:hAnsi="Times New Roman"/>
                <w:i/>
                <w:color w:val="auto"/>
                <w:sz w:val="24"/>
                <w:szCs w:val="24"/>
              </w:rPr>
              <w:t>Lespedeza forrestii</w:t>
            </w:r>
            <w:r>
              <w:rPr>
                <w:rFonts w:ascii="Times New Roman" w:hAnsi="Times New Roman"/>
                <w:color w:val="auto"/>
                <w:sz w:val="24"/>
                <w:szCs w:val="24"/>
              </w:rPr>
              <w:t>等。</w:t>
            </w:r>
          </w:p>
          <w:p w14:paraId="676053E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群落草本层较发达，草本层高较低，约为0.4-1.0m，层盖40%，多分布刺芒野古草</w:t>
            </w:r>
            <w:r>
              <w:rPr>
                <w:rFonts w:ascii="Times New Roman" w:hAnsi="Times New Roman"/>
                <w:i/>
                <w:color w:val="auto"/>
                <w:sz w:val="24"/>
                <w:szCs w:val="24"/>
              </w:rPr>
              <w:t>Arundinella setosa</w:t>
            </w:r>
            <w:r>
              <w:rPr>
                <w:rFonts w:ascii="Times New Roman" w:hAnsi="Times New Roman"/>
                <w:color w:val="auto"/>
                <w:sz w:val="24"/>
                <w:szCs w:val="24"/>
              </w:rPr>
              <w:t>、穗序野古草</w:t>
            </w:r>
            <w:r>
              <w:rPr>
                <w:rStyle w:val="31"/>
                <w:rFonts w:ascii="Times New Roman" w:hAnsi="Times New Roman"/>
                <w:color w:val="auto"/>
                <w:sz w:val="24"/>
                <w:szCs w:val="24"/>
              </w:rPr>
              <w:t>Arundinella hookeri</w:t>
            </w:r>
            <w:r>
              <w:rPr>
                <w:rFonts w:ascii="Times New Roman" w:hAnsi="Times New Roman"/>
                <w:color w:val="auto"/>
                <w:sz w:val="24"/>
                <w:szCs w:val="24"/>
              </w:rPr>
              <w:t xml:space="preserve"> Munro ex Keng、紫茎泽兰</w:t>
            </w:r>
            <w:r>
              <w:rPr>
                <w:rStyle w:val="31"/>
                <w:rFonts w:ascii="Times New Roman" w:hAnsi="Times New Roman"/>
                <w:color w:val="auto"/>
                <w:sz w:val="24"/>
                <w:szCs w:val="24"/>
              </w:rPr>
              <w:t>Ageratina adenophora</w:t>
            </w:r>
            <w:r>
              <w:rPr>
                <w:rFonts w:ascii="Times New Roman" w:hAnsi="Times New Roman"/>
                <w:color w:val="auto"/>
                <w:sz w:val="24"/>
                <w:szCs w:val="24"/>
              </w:rPr>
              <w:t xml:space="preserve"> (Spreng.)R.M.King&amp;H.Rob.、云南兔儿风</w:t>
            </w:r>
            <w:r>
              <w:rPr>
                <w:rFonts w:ascii="Times New Roman" w:hAnsi="Times New Roman"/>
                <w:i/>
                <w:iCs/>
                <w:color w:val="auto"/>
                <w:sz w:val="24"/>
                <w:szCs w:val="24"/>
              </w:rPr>
              <w:t>Ainsliaea yunnanensis</w:t>
            </w:r>
            <w:r>
              <w:rPr>
                <w:rFonts w:ascii="Times New Roman" w:hAnsi="Times New Roman"/>
                <w:color w:val="auto"/>
                <w:sz w:val="24"/>
                <w:szCs w:val="24"/>
              </w:rPr>
              <w:t>、心叶兔儿风</w:t>
            </w:r>
            <w:r>
              <w:rPr>
                <w:rFonts w:ascii="Times New Roman" w:hAnsi="Times New Roman"/>
                <w:i/>
                <w:iCs/>
                <w:color w:val="auto"/>
                <w:sz w:val="24"/>
                <w:szCs w:val="24"/>
              </w:rPr>
              <w:t>Ainsliaea bonatii</w:t>
            </w:r>
            <w:r>
              <w:rPr>
                <w:rFonts w:ascii="Times New Roman" w:hAnsi="Times New Roman"/>
                <w:color w:val="auto"/>
                <w:sz w:val="24"/>
                <w:szCs w:val="24"/>
              </w:rPr>
              <w:t>、三花兔儿风</w:t>
            </w:r>
            <w:r>
              <w:rPr>
                <w:rFonts w:ascii="Times New Roman" w:hAnsi="Times New Roman"/>
                <w:i/>
                <w:color w:val="auto"/>
                <w:sz w:val="24"/>
                <w:szCs w:val="24"/>
              </w:rPr>
              <w:t>Ainsliaea latifolia</w:t>
            </w:r>
            <w:r>
              <w:rPr>
                <w:rFonts w:ascii="Times New Roman" w:hAnsi="Times New Roman"/>
                <w:color w:val="auto"/>
                <w:sz w:val="24"/>
                <w:szCs w:val="24"/>
              </w:rPr>
              <w:t>、铁线莲</w:t>
            </w:r>
            <w:r>
              <w:rPr>
                <w:rFonts w:ascii="Times New Roman" w:hAnsi="Times New Roman"/>
                <w:i/>
                <w:iCs/>
                <w:color w:val="auto"/>
                <w:sz w:val="24"/>
                <w:szCs w:val="24"/>
              </w:rPr>
              <w:t>Clematis</w:t>
            </w:r>
            <w:r>
              <w:rPr>
                <w:rFonts w:ascii="Times New Roman" w:hAnsi="Times New Roman"/>
                <w:color w:val="auto"/>
                <w:sz w:val="24"/>
                <w:szCs w:val="24"/>
              </w:rPr>
              <w:t>.sp、黄花堇</w:t>
            </w:r>
            <w:r>
              <w:rPr>
                <w:rFonts w:ascii="Times New Roman" w:hAnsi="Times New Roman"/>
                <w:i/>
                <w:color w:val="auto"/>
                <w:sz w:val="24"/>
                <w:szCs w:val="24"/>
              </w:rPr>
              <w:t>Vida biflora</w:t>
            </w:r>
            <w:r>
              <w:rPr>
                <w:rFonts w:ascii="Times New Roman" w:hAnsi="Times New Roman"/>
                <w:color w:val="auto"/>
                <w:sz w:val="24"/>
                <w:szCs w:val="24"/>
              </w:rPr>
              <w:t>、香茶菜</w:t>
            </w:r>
            <w:r>
              <w:rPr>
                <w:rFonts w:ascii="Times New Roman" w:hAnsi="Times New Roman"/>
                <w:i/>
                <w:iCs/>
                <w:color w:val="auto"/>
                <w:sz w:val="24"/>
                <w:szCs w:val="24"/>
              </w:rPr>
              <w:t>Isodon amethystoides</w:t>
            </w:r>
            <w:r>
              <w:rPr>
                <w:rFonts w:ascii="Times New Roman" w:hAnsi="Times New Roman"/>
                <w:color w:val="auto"/>
                <w:sz w:val="24"/>
                <w:szCs w:val="24"/>
              </w:rPr>
              <w:t>、火绒草</w:t>
            </w:r>
            <w:r>
              <w:rPr>
                <w:rFonts w:ascii="Times New Roman" w:hAnsi="Times New Roman"/>
                <w:i/>
                <w:color w:val="auto"/>
                <w:sz w:val="24"/>
                <w:szCs w:val="24"/>
              </w:rPr>
              <w:t>Leontopodium alpinum</w:t>
            </w:r>
            <w:r>
              <w:rPr>
                <w:rFonts w:ascii="Times New Roman" w:hAnsi="Times New Roman"/>
                <w:color w:val="auto"/>
                <w:sz w:val="24"/>
                <w:szCs w:val="24"/>
              </w:rPr>
              <w:t>、毛蕨菜</w:t>
            </w:r>
            <w:r>
              <w:rPr>
                <w:rFonts w:ascii="Times New Roman" w:hAnsi="Times New Roman"/>
                <w:i/>
                <w:iCs/>
                <w:color w:val="auto"/>
                <w:sz w:val="24"/>
                <w:szCs w:val="24"/>
              </w:rPr>
              <w:t>Pteridium revolutum</w:t>
            </w:r>
            <w:r>
              <w:rPr>
                <w:rFonts w:ascii="Times New Roman" w:hAnsi="Times New Roman"/>
                <w:color w:val="auto"/>
                <w:sz w:val="24"/>
                <w:szCs w:val="24"/>
              </w:rPr>
              <w:t>、西南</w:t>
            </w:r>
            <w:r>
              <w:rPr>
                <w:rFonts w:hint="eastAsia" w:ascii="Times New Roman" w:hAnsi="Times New Roman"/>
                <w:color w:val="auto"/>
                <w:sz w:val="24"/>
                <w:szCs w:val="24"/>
              </w:rPr>
              <w:t>委陵菜</w:t>
            </w:r>
            <w:r>
              <w:rPr>
                <w:rFonts w:ascii="Times New Roman" w:hAnsi="Times New Roman"/>
                <w:i/>
                <w:color w:val="auto"/>
                <w:sz w:val="24"/>
                <w:szCs w:val="24"/>
              </w:rPr>
              <w:t>Potentilla fulgens</w:t>
            </w:r>
            <w:r>
              <w:rPr>
                <w:rFonts w:ascii="Times New Roman" w:hAnsi="Times New Roman"/>
                <w:color w:val="auto"/>
                <w:sz w:val="24"/>
                <w:szCs w:val="24"/>
              </w:rPr>
              <w:t>、天南星</w:t>
            </w:r>
            <w:r>
              <w:rPr>
                <w:rFonts w:ascii="Times New Roman" w:hAnsi="Times New Roman"/>
                <w:i/>
                <w:iCs/>
                <w:color w:val="auto"/>
                <w:sz w:val="24"/>
                <w:szCs w:val="24"/>
              </w:rPr>
              <w:t>Arisaema heterophyllum</w:t>
            </w:r>
            <w:r>
              <w:rPr>
                <w:rFonts w:ascii="Times New Roman" w:hAnsi="Times New Roman"/>
                <w:color w:val="auto"/>
                <w:sz w:val="24"/>
                <w:szCs w:val="24"/>
              </w:rPr>
              <w:t>、苔草</w:t>
            </w:r>
            <w:r>
              <w:rPr>
                <w:rFonts w:ascii="Times New Roman" w:hAnsi="Times New Roman"/>
                <w:i/>
                <w:iCs/>
                <w:color w:val="auto"/>
                <w:sz w:val="24"/>
                <w:szCs w:val="24"/>
              </w:rPr>
              <w:t>Carex</w:t>
            </w:r>
            <w:r>
              <w:rPr>
                <w:rFonts w:ascii="Times New Roman" w:hAnsi="Times New Roman"/>
                <w:color w:val="auto"/>
                <w:sz w:val="24"/>
                <w:szCs w:val="24"/>
              </w:rPr>
              <w:t> .sp、沿阶草</w:t>
            </w:r>
            <w:r>
              <w:rPr>
                <w:rFonts w:ascii="Times New Roman" w:hAnsi="Times New Roman"/>
                <w:i/>
                <w:iCs/>
                <w:color w:val="auto"/>
                <w:sz w:val="24"/>
                <w:szCs w:val="24"/>
              </w:rPr>
              <w:t>Ophiopogon bodinieri</w:t>
            </w:r>
            <w:r>
              <w:rPr>
                <w:rFonts w:ascii="Times New Roman" w:hAnsi="Times New Roman"/>
                <w:color w:val="auto"/>
                <w:sz w:val="24"/>
                <w:szCs w:val="24"/>
              </w:rPr>
              <w:t> 、滇假银莲花</w:t>
            </w:r>
            <w:r>
              <w:rPr>
                <w:rFonts w:ascii="Times New Roman" w:hAnsi="Times New Roman"/>
                <w:i/>
                <w:color w:val="auto"/>
                <w:sz w:val="24"/>
                <w:szCs w:val="24"/>
              </w:rPr>
              <w:t>Anemonopsis macrophylla</w:t>
            </w:r>
            <w:r>
              <w:rPr>
                <w:rFonts w:ascii="Times New Roman" w:hAnsi="Times New Roman"/>
                <w:color w:val="auto"/>
                <w:sz w:val="24"/>
                <w:szCs w:val="24"/>
              </w:rPr>
              <w:t>等。</w:t>
            </w:r>
          </w:p>
          <w:p w14:paraId="75808ADA">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bCs/>
                <w:color w:val="auto"/>
                <w:sz w:val="24"/>
                <w:szCs w:val="24"/>
              </w:rPr>
              <w:t>2）</w:t>
            </w:r>
            <w:r>
              <w:rPr>
                <w:rFonts w:ascii="Times New Roman" w:hAnsi="Times New Roman"/>
                <w:b/>
                <w:color w:val="auto"/>
                <w:sz w:val="24"/>
                <w:szCs w:val="24"/>
              </w:rPr>
              <w:t>稀树灌木草丛</w:t>
            </w:r>
          </w:p>
          <w:p w14:paraId="5F5BD2A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稀树灌木草丛的群落类型以草丛为主，其间散生灌木和乔木，灌木一般低矮，散生的乔木一般生长不良，不规则在成片草丛上散布。本项目内的稀树灌木草丛植被型主要表现为暖温性稀树灌木草丛。</w:t>
            </w:r>
          </w:p>
          <w:p w14:paraId="60ACCAB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（二）含云南松、苦刺花的中草草丛</w:t>
            </w:r>
          </w:p>
          <w:p w14:paraId="5FEAF42D">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②</w:t>
            </w:r>
            <w:r>
              <w:rPr>
                <w:rFonts w:ascii="Times New Roman" w:hAnsi="Times New Roman"/>
                <w:b/>
                <w:bCs/>
                <w:color w:val="auto"/>
                <w:sz w:val="24"/>
                <w:szCs w:val="24"/>
                <w:lang w:val="zh-CN"/>
              </w:rPr>
              <w:t>云南松、苦刺花、刺芒野古草</w:t>
            </w:r>
            <w:r>
              <w:rPr>
                <w:rFonts w:ascii="Times New Roman" w:hAnsi="Times New Roman"/>
                <w:b/>
                <w:bCs/>
                <w:color w:val="auto"/>
                <w:sz w:val="24"/>
                <w:szCs w:val="24"/>
              </w:rPr>
              <w:t>群落</w:t>
            </w:r>
          </w:p>
          <w:p w14:paraId="53A646AD">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该群落乔木层仅有零星</w:t>
            </w:r>
            <w:r>
              <w:rPr>
                <w:rStyle w:val="30"/>
                <w:rFonts w:ascii="Times New Roman" w:hAnsi="Times New Roman"/>
                <w:b w:val="0"/>
                <w:color w:val="auto"/>
                <w:kern w:val="0"/>
                <w:sz w:val="24"/>
                <w:szCs w:val="24"/>
                <w:lang w:bidi="ar"/>
              </w:rPr>
              <w:t>云南松</w:t>
            </w:r>
            <w:r>
              <w:rPr>
                <w:rStyle w:val="31"/>
                <w:rFonts w:ascii="Times New Roman" w:hAnsi="Times New Roman"/>
                <w:color w:val="auto"/>
                <w:kern w:val="0"/>
                <w:sz w:val="24"/>
                <w:szCs w:val="24"/>
                <w:lang w:bidi="ar"/>
              </w:rPr>
              <w:t>Pinus yunnanensis</w:t>
            </w:r>
            <w:r>
              <w:rPr>
                <w:rFonts w:ascii="Times New Roman" w:hAnsi="Times New Roman"/>
                <w:color w:val="auto"/>
                <w:kern w:val="0"/>
                <w:sz w:val="24"/>
                <w:szCs w:val="24"/>
                <w:lang w:bidi="ar"/>
              </w:rPr>
              <w:t>分布，盖度仅5-8%左右。灌木层盖度约5%，高约1m，物种组成为</w:t>
            </w:r>
            <w:r>
              <w:rPr>
                <w:rFonts w:ascii="Times New Roman" w:hAnsi="Times New Roman"/>
                <w:color w:val="auto"/>
                <w:sz w:val="24"/>
                <w:szCs w:val="24"/>
              </w:rPr>
              <w:t>苦刺花</w:t>
            </w:r>
            <w:r>
              <w:rPr>
                <w:rFonts w:ascii="Times New Roman" w:hAnsi="Times New Roman"/>
                <w:i/>
                <w:color w:val="auto"/>
                <w:sz w:val="24"/>
                <w:szCs w:val="24"/>
              </w:rPr>
              <w:t>Sophora viciifolia</w:t>
            </w:r>
            <w:r>
              <w:rPr>
                <w:rFonts w:ascii="Times New Roman" w:hAnsi="Times New Roman"/>
                <w:color w:val="auto"/>
                <w:kern w:val="0"/>
                <w:sz w:val="24"/>
                <w:szCs w:val="24"/>
                <w:lang w:bidi="ar"/>
              </w:rPr>
              <w:t>、粉背黄栌</w:t>
            </w:r>
            <w:r>
              <w:rPr>
                <w:rStyle w:val="31"/>
                <w:rFonts w:ascii="Times New Roman" w:hAnsi="Times New Roman"/>
                <w:color w:val="auto"/>
                <w:kern w:val="0"/>
                <w:sz w:val="24"/>
                <w:szCs w:val="24"/>
                <w:lang w:bidi="ar"/>
              </w:rPr>
              <w:t>Cotinus coggygria</w:t>
            </w:r>
            <w:r>
              <w:rPr>
                <w:rFonts w:ascii="Times New Roman" w:hAnsi="Times New Roman"/>
                <w:color w:val="auto"/>
                <w:kern w:val="0"/>
                <w:sz w:val="24"/>
                <w:szCs w:val="24"/>
                <w:lang w:bidi="ar"/>
              </w:rPr>
              <w:t xml:space="preserve"> var.</w:t>
            </w:r>
            <w:r>
              <w:rPr>
                <w:rStyle w:val="31"/>
                <w:rFonts w:ascii="Times New Roman" w:hAnsi="Times New Roman"/>
                <w:color w:val="auto"/>
                <w:kern w:val="0"/>
                <w:sz w:val="24"/>
                <w:szCs w:val="24"/>
                <w:lang w:bidi="ar"/>
              </w:rPr>
              <w:t>cinerea</w:t>
            </w:r>
            <w:r>
              <w:rPr>
                <w:rFonts w:ascii="Times New Roman" w:hAnsi="Times New Roman"/>
                <w:color w:val="auto"/>
                <w:kern w:val="0"/>
                <w:sz w:val="24"/>
                <w:szCs w:val="24"/>
                <w:lang w:bidi="ar"/>
              </w:rPr>
              <w:t>、川楝</w:t>
            </w:r>
            <w:r>
              <w:rPr>
                <w:rStyle w:val="31"/>
                <w:rFonts w:ascii="Times New Roman" w:hAnsi="Times New Roman"/>
                <w:color w:val="auto"/>
                <w:kern w:val="0"/>
                <w:sz w:val="24"/>
                <w:szCs w:val="24"/>
                <w:lang w:bidi="ar"/>
              </w:rPr>
              <w:t>Melia toosendan</w:t>
            </w:r>
            <w:r>
              <w:rPr>
                <w:rFonts w:ascii="Times New Roman" w:hAnsi="Times New Roman"/>
                <w:color w:val="auto"/>
                <w:kern w:val="0"/>
                <w:sz w:val="24"/>
                <w:szCs w:val="24"/>
                <w:lang w:bidi="ar"/>
              </w:rPr>
              <w:t>、地桃花</w:t>
            </w:r>
            <w:r>
              <w:rPr>
                <w:rStyle w:val="31"/>
                <w:rFonts w:ascii="Times New Roman" w:hAnsi="Times New Roman"/>
                <w:color w:val="auto"/>
                <w:kern w:val="0"/>
                <w:sz w:val="24"/>
                <w:szCs w:val="24"/>
                <w:lang w:bidi="ar"/>
              </w:rPr>
              <w:t>Urena lobata</w:t>
            </w:r>
            <w:r>
              <w:rPr>
                <w:rFonts w:ascii="Times New Roman" w:hAnsi="Times New Roman"/>
                <w:color w:val="auto"/>
                <w:kern w:val="0"/>
                <w:sz w:val="24"/>
                <w:szCs w:val="24"/>
                <w:lang w:bidi="ar"/>
              </w:rPr>
              <w:t>、清香木</w:t>
            </w:r>
            <w:r>
              <w:rPr>
                <w:rStyle w:val="31"/>
                <w:rFonts w:ascii="Times New Roman" w:hAnsi="Times New Roman"/>
                <w:color w:val="auto"/>
                <w:kern w:val="0"/>
                <w:sz w:val="24"/>
                <w:szCs w:val="24"/>
                <w:lang w:bidi="ar"/>
              </w:rPr>
              <w:t>Pistacia weinmannifolia</w:t>
            </w:r>
            <w:r>
              <w:rPr>
                <w:rFonts w:ascii="Times New Roman" w:hAnsi="Times New Roman"/>
                <w:color w:val="auto"/>
                <w:kern w:val="0"/>
                <w:sz w:val="24"/>
                <w:szCs w:val="24"/>
                <w:lang w:bidi="ar"/>
              </w:rPr>
              <w:t>等。</w:t>
            </w:r>
          </w:p>
          <w:p w14:paraId="2CF23D01">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群落以草本层为优势层，高约0.5m，盖度约50-60%，主要由刺芒野古草</w:t>
            </w:r>
            <w:r>
              <w:rPr>
                <w:rStyle w:val="31"/>
                <w:rFonts w:ascii="Times New Roman" w:hAnsi="Times New Roman"/>
                <w:color w:val="auto"/>
                <w:kern w:val="0"/>
                <w:sz w:val="24"/>
                <w:szCs w:val="24"/>
                <w:lang w:bidi="ar"/>
              </w:rPr>
              <w:t>Arundinella setosa</w:t>
            </w:r>
            <w:r>
              <w:rPr>
                <w:rFonts w:ascii="Times New Roman" w:hAnsi="Times New Roman"/>
                <w:color w:val="auto"/>
                <w:kern w:val="0"/>
                <w:sz w:val="24"/>
                <w:szCs w:val="24"/>
                <w:lang w:bidi="ar"/>
              </w:rPr>
              <w:t>、白茅</w:t>
            </w:r>
            <w:r>
              <w:rPr>
                <w:rStyle w:val="31"/>
                <w:rFonts w:ascii="Times New Roman" w:hAnsi="Times New Roman"/>
                <w:color w:val="auto"/>
                <w:kern w:val="0"/>
                <w:sz w:val="24"/>
                <w:szCs w:val="24"/>
                <w:lang w:bidi="ar"/>
              </w:rPr>
              <w:t>Imperata cylindrica</w:t>
            </w:r>
            <w:r>
              <w:rPr>
                <w:rFonts w:ascii="Times New Roman" w:hAnsi="Times New Roman"/>
                <w:color w:val="auto"/>
                <w:kern w:val="0"/>
                <w:sz w:val="24"/>
                <w:szCs w:val="24"/>
                <w:lang w:bidi="ar"/>
              </w:rPr>
              <w:t xml:space="preserve"> var. </w:t>
            </w:r>
            <w:r>
              <w:rPr>
                <w:rStyle w:val="31"/>
                <w:rFonts w:ascii="Times New Roman" w:hAnsi="Times New Roman"/>
                <w:i w:val="0"/>
                <w:color w:val="auto"/>
                <w:kern w:val="0"/>
                <w:sz w:val="24"/>
                <w:szCs w:val="24"/>
                <w:lang w:bidi="ar"/>
              </w:rPr>
              <w:t>major</w:t>
            </w:r>
            <w:r>
              <w:rPr>
                <w:rFonts w:ascii="Times New Roman" w:hAnsi="Times New Roman"/>
                <w:color w:val="auto"/>
                <w:kern w:val="0"/>
                <w:sz w:val="24"/>
                <w:szCs w:val="24"/>
                <w:lang w:bidi="ar"/>
              </w:rPr>
              <w:t>、硬秆子草</w:t>
            </w:r>
            <w:r>
              <w:rPr>
                <w:rStyle w:val="31"/>
                <w:rFonts w:ascii="Times New Roman" w:hAnsi="Times New Roman"/>
                <w:color w:val="auto"/>
                <w:kern w:val="0"/>
                <w:sz w:val="24"/>
                <w:szCs w:val="24"/>
                <w:lang w:bidi="ar"/>
              </w:rPr>
              <w:t>Capillipedium assimile</w:t>
            </w:r>
            <w:r>
              <w:rPr>
                <w:rFonts w:ascii="Times New Roman" w:hAnsi="Times New Roman"/>
                <w:color w:val="auto"/>
                <w:kern w:val="0"/>
                <w:sz w:val="24"/>
                <w:szCs w:val="24"/>
                <w:lang w:bidi="ar"/>
              </w:rPr>
              <w:t>、旱茅</w:t>
            </w:r>
            <w:r>
              <w:rPr>
                <w:rStyle w:val="31"/>
                <w:rFonts w:ascii="Times New Roman" w:hAnsi="Times New Roman"/>
                <w:color w:val="auto"/>
                <w:kern w:val="0"/>
                <w:sz w:val="24"/>
                <w:szCs w:val="24"/>
                <w:lang w:bidi="ar"/>
              </w:rPr>
              <w:t>Eremopogon delavayi</w:t>
            </w:r>
            <w:r>
              <w:rPr>
                <w:rFonts w:ascii="Times New Roman" w:hAnsi="Times New Roman"/>
                <w:color w:val="auto"/>
                <w:kern w:val="0"/>
                <w:sz w:val="24"/>
                <w:szCs w:val="24"/>
                <w:lang w:bidi="ar"/>
              </w:rPr>
              <w:t>、细柄草</w:t>
            </w:r>
            <w:r>
              <w:rPr>
                <w:rStyle w:val="31"/>
                <w:rFonts w:ascii="Times New Roman" w:hAnsi="Times New Roman"/>
                <w:color w:val="auto"/>
                <w:kern w:val="0"/>
                <w:sz w:val="24"/>
                <w:szCs w:val="24"/>
                <w:lang w:bidi="ar"/>
              </w:rPr>
              <w:t>Capillipedium parviflorum</w:t>
            </w:r>
            <w:r>
              <w:rPr>
                <w:rFonts w:ascii="Times New Roman" w:hAnsi="Times New Roman"/>
                <w:color w:val="auto"/>
                <w:kern w:val="0"/>
                <w:sz w:val="24"/>
                <w:szCs w:val="24"/>
                <w:lang w:bidi="ar"/>
              </w:rPr>
              <w:t>、荩草</w:t>
            </w:r>
            <w:r>
              <w:rPr>
                <w:rStyle w:val="31"/>
                <w:rFonts w:ascii="Times New Roman" w:hAnsi="Times New Roman"/>
                <w:color w:val="auto"/>
                <w:kern w:val="0"/>
                <w:sz w:val="24"/>
                <w:szCs w:val="24"/>
                <w:lang w:bidi="ar"/>
              </w:rPr>
              <w:t>Arthraxon hispidus</w:t>
            </w:r>
            <w:r>
              <w:rPr>
                <w:rFonts w:ascii="Times New Roman" w:hAnsi="Times New Roman"/>
                <w:color w:val="auto"/>
                <w:kern w:val="0"/>
                <w:sz w:val="24"/>
                <w:szCs w:val="24"/>
                <w:lang w:bidi="ar"/>
              </w:rPr>
              <w:t>、剪股颖</w:t>
            </w:r>
            <w:r>
              <w:rPr>
                <w:rStyle w:val="31"/>
                <w:rFonts w:ascii="Times New Roman" w:hAnsi="Times New Roman"/>
                <w:color w:val="auto"/>
                <w:kern w:val="0"/>
                <w:sz w:val="24"/>
                <w:szCs w:val="24"/>
                <w:lang w:bidi="ar"/>
              </w:rPr>
              <w:t>Agrostis matsumurae</w:t>
            </w:r>
            <w:r>
              <w:rPr>
                <w:rFonts w:ascii="Times New Roman" w:hAnsi="Times New Roman"/>
                <w:color w:val="auto"/>
                <w:kern w:val="0"/>
                <w:sz w:val="24"/>
                <w:szCs w:val="24"/>
                <w:lang w:bidi="ar"/>
              </w:rPr>
              <w:t>等禾草，以及皱叶酸模</w:t>
            </w:r>
            <w:r>
              <w:rPr>
                <w:rStyle w:val="31"/>
                <w:rFonts w:ascii="Times New Roman" w:hAnsi="Times New Roman"/>
                <w:color w:val="auto"/>
                <w:kern w:val="0"/>
                <w:sz w:val="24"/>
                <w:szCs w:val="24"/>
                <w:lang w:bidi="ar"/>
              </w:rPr>
              <w:t>Rumex crispus</w:t>
            </w:r>
            <w:r>
              <w:rPr>
                <w:rFonts w:ascii="Times New Roman" w:hAnsi="Times New Roman"/>
                <w:color w:val="auto"/>
                <w:kern w:val="0"/>
                <w:sz w:val="24"/>
                <w:szCs w:val="24"/>
                <w:lang w:bidi="ar"/>
              </w:rPr>
              <w:t>、沿阶草</w:t>
            </w:r>
            <w:r>
              <w:rPr>
                <w:rStyle w:val="31"/>
                <w:rFonts w:ascii="Times New Roman" w:hAnsi="Times New Roman"/>
                <w:color w:val="auto"/>
                <w:kern w:val="0"/>
                <w:sz w:val="24"/>
                <w:szCs w:val="24"/>
                <w:lang w:bidi="ar"/>
              </w:rPr>
              <w:t>Ophiopogon bodinieri</w:t>
            </w:r>
            <w:r>
              <w:rPr>
                <w:rFonts w:ascii="Times New Roman" w:hAnsi="Times New Roman"/>
                <w:color w:val="auto"/>
                <w:kern w:val="0"/>
                <w:sz w:val="24"/>
                <w:szCs w:val="24"/>
                <w:lang w:bidi="ar"/>
              </w:rPr>
              <w:t>、白酒草</w:t>
            </w:r>
            <w:r>
              <w:rPr>
                <w:rStyle w:val="31"/>
                <w:rFonts w:ascii="Times New Roman" w:hAnsi="Times New Roman"/>
                <w:color w:val="auto"/>
                <w:kern w:val="0"/>
                <w:sz w:val="24"/>
                <w:szCs w:val="24"/>
                <w:lang w:bidi="ar"/>
              </w:rPr>
              <w:t>Eschenbachia japonica</w:t>
            </w:r>
            <w:r>
              <w:rPr>
                <w:rFonts w:ascii="Times New Roman" w:hAnsi="Times New Roman"/>
                <w:color w:val="auto"/>
                <w:kern w:val="0"/>
                <w:sz w:val="24"/>
                <w:szCs w:val="24"/>
                <w:lang w:bidi="ar"/>
              </w:rPr>
              <w:t>、野拔子</w:t>
            </w:r>
            <w:r>
              <w:rPr>
                <w:rStyle w:val="31"/>
                <w:rFonts w:ascii="Times New Roman" w:hAnsi="Times New Roman"/>
                <w:color w:val="auto"/>
                <w:kern w:val="0"/>
                <w:sz w:val="24"/>
                <w:szCs w:val="24"/>
                <w:lang w:bidi="ar"/>
              </w:rPr>
              <w:t>Elsholtzia rugulosa</w:t>
            </w:r>
            <w:r>
              <w:rPr>
                <w:rFonts w:ascii="Times New Roman" w:hAnsi="Times New Roman"/>
                <w:color w:val="auto"/>
                <w:kern w:val="0"/>
                <w:sz w:val="24"/>
                <w:szCs w:val="24"/>
                <w:lang w:bidi="ar"/>
              </w:rPr>
              <w:t>等草本植物组成。</w:t>
            </w:r>
          </w:p>
          <w:p w14:paraId="641B2741">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3）灌丛</w:t>
            </w:r>
          </w:p>
          <w:p w14:paraId="00BDC4EE">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color w:val="auto"/>
                <w:sz w:val="24"/>
                <w:szCs w:val="24"/>
              </w:rPr>
              <w:t>（三）暖性石灰岩灌丛</w:t>
            </w:r>
          </w:p>
          <w:p w14:paraId="0B38898C">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bCs/>
                <w:color w:val="auto"/>
                <w:sz w:val="24"/>
                <w:szCs w:val="24"/>
              </w:rPr>
              <w:t>③</w:t>
            </w:r>
            <w:r>
              <w:rPr>
                <w:rFonts w:hint="eastAsia" w:ascii="Times New Roman" w:hAnsi="Times New Roman"/>
                <w:b/>
                <w:bCs/>
                <w:color w:val="auto"/>
                <w:sz w:val="24"/>
                <w:szCs w:val="24"/>
                <w:highlight w:val="none"/>
              </w:rPr>
              <w:t>黑面神、马桑、茅叶荩草</w:t>
            </w:r>
            <w:r>
              <w:rPr>
                <w:rFonts w:ascii="Times New Roman" w:hAnsi="Times New Roman"/>
                <w:b/>
                <w:bCs/>
                <w:color w:val="auto"/>
                <w:sz w:val="24"/>
                <w:szCs w:val="24"/>
              </w:rPr>
              <w:t>群落</w:t>
            </w:r>
          </w:p>
          <w:p w14:paraId="1301845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该群落在云南省主要分布在滇</w:t>
            </w:r>
            <w:r>
              <w:rPr>
                <w:rFonts w:hint="eastAsia" w:ascii="Times New Roman" w:hAnsi="Times New Roman"/>
                <w:color w:val="auto"/>
                <w:sz w:val="24"/>
                <w:szCs w:val="24"/>
              </w:rPr>
              <w:t>东</w:t>
            </w:r>
            <w:r>
              <w:rPr>
                <w:rFonts w:ascii="Times New Roman" w:hAnsi="Times New Roman"/>
                <w:color w:val="auto"/>
                <w:sz w:val="24"/>
                <w:szCs w:val="24"/>
              </w:rPr>
              <w:t>北石灰岩</w:t>
            </w:r>
            <w:r>
              <w:rPr>
                <w:rFonts w:hint="eastAsia" w:ascii="Times New Roman" w:hAnsi="Times New Roman"/>
                <w:color w:val="auto"/>
                <w:sz w:val="24"/>
                <w:szCs w:val="24"/>
              </w:rPr>
              <w:t>及玄武岩发育的</w:t>
            </w:r>
            <w:r>
              <w:rPr>
                <w:rFonts w:ascii="Times New Roman" w:hAnsi="Times New Roman"/>
                <w:color w:val="auto"/>
                <w:sz w:val="24"/>
                <w:szCs w:val="24"/>
              </w:rPr>
              <w:t>山地。由于土壤基质为石灰岩，土壤偏酸性，且不保水，因此耐旱耐热的黑面神等植物作为先锋树种占据生态位天然更新形成本群落。在本评价区内主要分布在石灰岩发育的石灰岩山地。</w:t>
            </w:r>
          </w:p>
          <w:p w14:paraId="3C3F0A0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群落整体由灌木层和草本层组成。</w:t>
            </w:r>
          </w:p>
          <w:p w14:paraId="5971BAB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灌木层盖度约为30%，主要由</w:t>
            </w:r>
            <w:bookmarkStart w:id="53" w:name="_Hlk240467467"/>
            <w:r>
              <w:rPr>
                <w:rFonts w:ascii="Times New Roman" w:hAnsi="Times New Roman"/>
                <w:color w:val="auto"/>
                <w:sz w:val="24"/>
                <w:szCs w:val="24"/>
              </w:rPr>
              <w:t>黑面神</w:t>
            </w:r>
            <w:r>
              <w:rPr>
                <w:rFonts w:ascii="Times New Roman" w:hAnsi="Times New Roman"/>
                <w:i/>
                <w:iCs/>
                <w:color w:val="auto"/>
                <w:sz w:val="24"/>
                <w:szCs w:val="24"/>
              </w:rPr>
              <w:t>Breynia fruticosa</w:t>
            </w:r>
            <w:bookmarkEnd w:id="53"/>
            <w:r>
              <w:rPr>
                <w:rFonts w:ascii="Times New Roman" w:hAnsi="Times New Roman"/>
                <w:color w:val="auto"/>
                <w:sz w:val="24"/>
                <w:szCs w:val="24"/>
              </w:rPr>
              <w:t>、</w:t>
            </w:r>
            <w:r>
              <w:rPr>
                <w:rFonts w:hint="eastAsia" w:ascii="Times New Roman" w:hAnsi="Times New Roman"/>
                <w:color w:val="auto"/>
                <w:sz w:val="24"/>
                <w:szCs w:val="24"/>
              </w:rPr>
              <w:t>马桑</w:t>
            </w:r>
            <w:r>
              <w:rPr>
                <w:rFonts w:ascii="Times New Roman" w:hAnsi="Times New Roman"/>
                <w:i/>
                <w:iCs/>
                <w:color w:val="auto"/>
                <w:sz w:val="24"/>
                <w:szCs w:val="24"/>
              </w:rPr>
              <w:t>Coriaria nepalensis</w:t>
            </w:r>
            <w:r>
              <w:rPr>
                <w:rFonts w:hint="eastAsia" w:ascii="Times New Roman" w:hAnsi="Times New Roman"/>
                <w:color w:val="auto"/>
                <w:sz w:val="24"/>
                <w:szCs w:val="24"/>
              </w:rPr>
              <w:t>、</w:t>
            </w:r>
            <w:bookmarkStart w:id="54" w:name="_Hlk240467548"/>
            <w:r>
              <w:rPr>
                <w:rFonts w:ascii="Times New Roman" w:hAnsi="Times New Roman"/>
                <w:color w:val="auto"/>
                <w:sz w:val="24"/>
                <w:szCs w:val="24"/>
              </w:rPr>
              <w:t>马棘</w:t>
            </w:r>
            <w:r>
              <w:rPr>
                <w:rFonts w:hint="eastAsia" w:ascii="Times New Roman" w:hAnsi="Times New Roman"/>
                <w:i/>
                <w:iCs/>
                <w:color w:val="auto"/>
                <w:sz w:val="24"/>
                <w:szCs w:val="24"/>
              </w:rPr>
              <w:t>I</w:t>
            </w:r>
            <w:r>
              <w:rPr>
                <w:rFonts w:ascii="Times New Roman" w:hAnsi="Times New Roman"/>
                <w:i/>
                <w:iCs/>
                <w:color w:val="auto"/>
                <w:sz w:val="24"/>
                <w:szCs w:val="24"/>
              </w:rPr>
              <w:t>ndigofera bungeana</w:t>
            </w:r>
            <w:r>
              <w:rPr>
                <w:rFonts w:ascii="Times New Roman" w:hAnsi="Times New Roman"/>
                <w:color w:val="auto"/>
                <w:sz w:val="24"/>
                <w:szCs w:val="24"/>
              </w:rPr>
              <w:t> </w:t>
            </w:r>
            <w:bookmarkEnd w:id="54"/>
            <w:r>
              <w:rPr>
                <w:rFonts w:ascii="Times New Roman" w:hAnsi="Times New Roman"/>
                <w:color w:val="auto"/>
                <w:sz w:val="24"/>
                <w:szCs w:val="24"/>
              </w:rPr>
              <w:t>、</w:t>
            </w:r>
            <w:r>
              <w:rPr>
                <w:rFonts w:hint="eastAsia" w:ascii="Times New Roman" w:hAnsi="Times New Roman"/>
                <w:color w:val="auto"/>
                <w:sz w:val="24"/>
                <w:szCs w:val="24"/>
              </w:rPr>
              <w:t>金花小檗</w:t>
            </w:r>
            <w:r>
              <w:rPr>
                <w:rFonts w:ascii="Times New Roman" w:hAnsi="Times New Roman"/>
                <w:i/>
                <w:iCs/>
                <w:color w:val="auto"/>
                <w:sz w:val="24"/>
                <w:szCs w:val="24"/>
              </w:rPr>
              <w:t>Berberis wilsonae</w:t>
            </w:r>
            <w:r>
              <w:rPr>
                <w:rFonts w:hint="eastAsia" w:ascii="Times New Roman" w:hAnsi="Times New Roman"/>
                <w:color w:val="auto"/>
                <w:sz w:val="24"/>
                <w:szCs w:val="24"/>
              </w:rPr>
              <w:t>、</w:t>
            </w:r>
            <w:r>
              <w:rPr>
                <w:rFonts w:ascii="Times New Roman" w:hAnsi="Times New Roman"/>
                <w:color w:val="auto"/>
                <w:sz w:val="24"/>
                <w:szCs w:val="24"/>
              </w:rPr>
              <w:t>过山青</w:t>
            </w:r>
            <w:r>
              <w:rPr>
                <w:rFonts w:ascii="Times New Roman" w:hAnsi="Times New Roman"/>
                <w:i/>
                <w:iCs/>
                <w:color w:val="auto"/>
                <w:sz w:val="24"/>
                <w:szCs w:val="24"/>
              </w:rPr>
              <w:t>Reinwardtia indica</w:t>
            </w:r>
            <w:r>
              <w:rPr>
                <w:rFonts w:ascii="Times New Roman" w:hAnsi="Times New Roman"/>
                <w:color w:val="auto"/>
                <w:sz w:val="24"/>
                <w:szCs w:val="24"/>
              </w:rPr>
              <w:t>、滇朴</w:t>
            </w:r>
            <w:r>
              <w:rPr>
                <w:rFonts w:ascii="Times New Roman" w:hAnsi="Times New Roman"/>
                <w:i/>
                <w:iCs/>
                <w:color w:val="auto"/>
                <w:sz w:val="24"/>
                <w:szCs w:val="24"/>
              </w:rPr>
              <w:t>Celtis tetrandra</w:t>
            </w:r>
            <w:r>
              <w:rPr>
                <w:rFonts w:ascii="Times New Roman" w:hAnsi="Times New Roman"/>
                <w:color w:val="auto"/>
                <w:sz w:val="24"/>
                <w:szCs w:val="24"/>
              </w:rPr>
              <w:t>、密蒙花</w:t>
            </w:r>
            <w:r>
              <w:rPr>
                <w:rFonts w:ascii="Times New Roman" w:hAnsi="Times New Roman"/>
                <w:i/>
                <w:iCs/>
                <w:color w:val="auto"/>
                <w:sz w:val="24"/>
                <w:szCs w:val="24"/>
              </w:rPr>
              <w:t>Buddleja officinali</w:t>
            </w:r>
            <w:r>
              <w:rPr>
                <w:rFonts w:ascii="Times New Roman" w:hAnsi="Times New Roman"/>
                <w:color w:val="auto"/>
                <w:sz w:val="24"/>
                <w:szCs w:val="24"/>
              </w:rPr>
              <w:t>、火棘Pyracantha fortuneana 、苦刺花</w:t>
            </w:r>
            <w:r>
              <w:rPr>
                <w:rFonts w:ascii="Times New Roman" w:hAnsi="Times New Roman"/>
                <w:i/>
                <w:color w:val="auto"/>
                <w:sz w:val="24"/>
                <w:szCs w:val="24"/>
              </w:rPr>
              <w:t>Sophora viciifolia、</w:t>
            </w:r>
            <w:r>
              <w:rPr>
                <w:rFonts w:ascii="Times New Roman" w:hAnsi="Times New Roman"/>
                <w:color w:val="auto"/>
                <w:sz w:val="24"/>
                <w:szCs w:val="24"/>
              </w:rPr>
              <w:t>小铁仔</w:t>
            </w:r>
            <w:r>
              <w:rPr>
                <w:rFonts w:ascii="Times New Roman" w:hAnsi="Times New Roman"/>
                <w:i/>
                <w:color w:val="auto"/>
                <w:sz w:val="24"/>
                <w:szCs w:val="24"/>
              </w:rPr>
              <w:t>Myrsine africana</w:t>
            </w:r>
            <w:r>
              <w:rPr>
                <w:rFonts w:ascii="Times New Roman" w:hAnsi="Times New Roman"/>
                <w:color w:val="auto"/>
                <w:sz w:val="24"/>
                <w:szCs w:val="24"/>
              </w:rPr>
              <w:t>、烟管荚蒾</w:t>
            </w:r>
            <w:r>
              <w:rPr>
                <w:rFonts w:ascii="Times New Roman" w:hAnsi="Times New Roman"/>
                <w:i/>
                <w:color w:val="auto"/>
                <w:sz w:val="24"/>
                <w:szCs w:val="24"/>
              </w:rPr>
              <w:t>Viburnum utile </w:t>
            </w:r>
            <w:r>
              <w:rPr>
                <w:rFonts w:ascii="Times New Roman" w:hAnsi="Times New Roman"/>
                <w:color w:val="auto"/>
                <w:sz w:val="24"/>
                <w:szCs w:val="24"/>
              </w:rPr>
              <w:t>、毡毛栒子</w:t>
            </w:r>
            <w:r>
              <w:rPr>
                <w:rFonts w:ascii="Times New Roman" w:hAnsi="Times New Roman"/>
                <w:i/>
                <w:color w:val="auto"/>
                <w:sz w:val="24"/>
                <w:szCs w:val="24"/>
              </w:rPr>
              <w:t>Cotoneaster pannosus</w:t>
            </w:r>
            <w:r>
              <w:rPr>
                <w:rFonts w:ascii="Times New Roman" w:hAnsi="Times New Roman"/>
                <w:color w:val="auto"/>
                <w:sz w:val="24"/>
                <w:szCs w:val="24"/>
              </w:rPr>
              <w:t> 等组成，层高约为2m。特别是临近道路周边，苦刺花成分逐渐增多。</w:t>
            </w:r>
          </w:p>
          <w:p w14:paraId="7B15487C">
            <w:p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sz w:val="24"/>
                <w:szCs w:val="24"/>
              </w:rPr>
              <w:t>草本层层盖度约为25%，层高约为1.5m，主要可见</w:t>
            </w:r>
            <w:r>
              <w:rPr>
                <w:rFonts w:hint="eastAsia" w:ascii="Times New Roman" w:hAnsi="Times New Roman"/>
                <w:color w:val="auto"/>
                <w:sz w:val="24"/>
                <w:szCs w:val="24"/>
              </w:rPr>
              <w:t>茅叶荩草</w:t>
            </w:r>
            <w:r>
              <w:rPr>
                <w:rFonts w:ascii="Times New Roman" w:hAnsi="Times New Roman"/>
                <w:i/>
                <w:iCs/>
                <w:color w:val="auto"/>
                <w:sz w:val="24"/>
                <w:szCs w:val="24"/>
              </w:rPr>
              <w:t>Arthraxon prionodes</w:t>
            </w:r>
            <w:r>
              <w:rPr>
                <w:rFonts w:hint="eastAsia" w:ascii="Times New Roman" w:hAnsi="Times New Roman"/>
                <w:color w:val="auto"/>
                <w:sz w:val="24"/>
                <w:szCs w:val="24"/>
              </w:rPr>
              <w:t>、</w:t>
            </w:r>
            <w:r>
              <w:rPr>
                <w:rFonts w:ascii="Times New Roman" w:hAnsi="Times New Roman"/>
                <w:color w:val="auto"/>
                <w:sz w:val="24"/>
                <w:szCs w:val="24"/>
              </w:rPr>
              <w:t>大叶竹叶草</w:t>
            </w:r>
            <w:r>
              <w:rPr>
                <w:rFonts w:ascii="Times New Roman" w:hAnsi="Times New Roman"/>
                <w:i/>
                <w:iCs/>
                <w:color w:val="auto"/>
                <w:sz w:val="24"/>
                <w:szCs w:val="24"/>
              </w:rPr>
              <w:t>Oplismenus compositus</w:t>
            </w:r>
            <w:r>
              <w:rPr>
                <w:rFonts w:ascii="Times New Roman" w:hAnsi="Times New Roman"/>
                <w:color w:val="auto"/>
                <w:sz w:val="24"/>
                <w:szCs w:val="24"/>
              </w:rPr>
              <w:t>、白茅</w:t>
            </w:r>
            <w:r>
              <w:rPr>
                <w:rFonts w:ascii="Times New Roman" w:hAnsi="Times New Roman"/>
                <w:i/>
                <w:iCs/>
                <w:color w:val="auto"/>
                <w:sz w:val="24"/>
                <w:szCs w:val="24"/>
              </w:rPr>
              <w:t>Imperata cylindrica</w:t>
            </w:r>
            <w:r>
              <w:rPr>
                <w:rFonts w:ascii="Times New Roman" w:hAnsi="Times New Roman"/>
                <w:color w:val="auto"/>
                <w:sz w:val="24"/>
                <w:szCs w:val="24"/>
              </w:rPr>
              <w:t>、五节芒</w:t>
            </w:r>
            <w:r>
              <w:rPr>
                <w:rFonts w:ascii="Times New Roman" w:hAnsi="Times New Roman"/>
                <w:i/>
                <w:iCs/>
                <w:color w:val="auto"/>
                <w:sz w:val="24"/>
                <w:szCs w:val="24"/>
              </w:rPr>
              <w:t>Miscanthus floridulus</w:t>
            </w:r>
            <w:r>
              <w:rPr>
                <w:rFonts w:ascii="Times New Roman" w:hAnsi="Times New Roman"/>
                <w:color w:val="auto"/>
                <w:sz w:val="24"/>
                <w:szCs w:val="24"/>
              </w:rPr>
              <w:t>、小菅草</w:t>
            </w:r>
            <w:r>
              <w:rPr>
                <w:rFonts w:ascii="Times New Roman" w:hAnsi="Times New Roman"/>
                <w:i/>
                <w:iCs/>
                <w:color w:val="auto"/>
                <w:sz w:val="24"/>
                <w:szCs w:val="24"/>
              </w:rPr>
              <w:t>Themeda minor</w:t>
            </w:r>
            <w:r>
              <w:rPr>
                <w:rFonts w:ascii="Times New Roman" w:hAnsi="Times New Roman"/>
                <w:color w:val="auto"/>
                <w:sz w:val="24"/>
                <w:szCs w:val="24"/>
              </w:rPr>
              <w:t>、戟叶酸模</w:t>
            </w:r>
            <w:r>
              <w:rPr>
                <w:rFonts w:ascii="Times New Roman" w:hAnsi="Times New Roman"/>
                <w:i/>
                <w:iCs/>
                <w:color w:val="auto"/>
                <w:sz w:val="24"/>
                <w:szCs w:val="24"/>
              </w:rPr>
              <w:t>Rumex hastatus</w:t>
            </w:r>
            <w:r>
              <w:rPr>
                <w:rFonts w:ascii="Times New Roman" w:hAnsi="Times New Roman"/>
                <w:color w:val="auto"/>
                <w:sz w:val="24"/>
                <w:szCs w:val="24"/>
              </w:rPr>
              <w:t>黄茅</w:t>
            </w:r>
            <w:r>
              <w:rPr>
                <w:rFonts w:ascii="Times New Roman" w:hAnsi="Times New Roman"/>
                <w:i/>
                <w:color w:val="auto"/>
                <w:sz w:val="24"/>
                <w:szCs w:val="24"/>
              </w:rPr>
              <w:t>Heteropogon contortus</w:t>
            </w:r>
            <w:r>
              <w:rPr>
                <w:rFonts w:ascii="Times New Roman" w:hAnsi="Times New Roman"/>
                <w:color w:val="auto"/>
                <w:sz w:val="24"/>
                <w:szCs w:val="24"/>
              </w:rPr>
              <w:t>、旱茅</w:t>
            </w:r>
            <w:r>
              <w:rPr>
                <w:rFonts w:ascii="Times New Roman" w:hAnsi="Times New Roman"/>
                <w:i/>
                <w:color w:val="auto"/>
                <w:sz w:val="24"/>
                <w:szCs w:val="24"/>
              </w:rPr>
              <w:t>Schizachyrium delavayi</w:t>
            </w:r>
            <w:r>
              <w:rPr>
                <w:rFonts w:ascii="Times New Roman" w:hAnsi="Times New Roman"/>
                <w:color w:val="auto"/>
                <w:sz w:val="24"/>
                <w:szCs w:val="24"/>
              </w:rPr>
              <w:t>、三花兔儿风</w:t>
            </w:r>
            <w:r>
              <w:rPr>
                <w:rFonts w:ascii="Times New Roman" w:hAnsi="Times New Roman"/>
                <w:i/>
                <w:color w:val="auto"/>
                <w:sz w:val="24"/>
                <w:szCs w:val="24"/>
              </w:rPr>
              <w:t>Ainsliaea latifolia</w:t>
            </w:r>
            <w:r>
              <w:rPr>
                <w:rFonts w:ascii="Times New Roman" w:hAnsi="Times New Roman"/>
                <w:color w:val="auto"/>
                <w:sz w:val="24"/>
                <w:szCs w:val="24"/>
              </w:rPr>
              <w:t>、唐松草</w:t>
            </w:r>
            <w:r>
              <w:rPr>
                <w:rFonts w:ascii="Times New Roman" w:hAnsi="Times New Roman"/>
                <w:i/>
                <w:color w:val="auto"/>
                <w:sz w:val="24"/>
                <w:szCs w:val="24"/>
              </w:rPr>
              <w:t>Thalictrum aquilegiifolium</w:t>
            </w:r>
            <w:r>
              <w:rPr>
                <w:rFonts w:ascii="Times New Roman" w:hAnsi="Times New Roman"/>
                <w:color w:val="auto"/>
                <w:sz w:val="24"/>
                <w:szCs w:val="24"/>
              </w:rPr>
              <w:t>、蕨</w:t>
            </w:r>
            <w:r>
              <w:rPr>
                <w:rFonts w:ascii="Times New Roman" w:hAnsi="Times New Roman"/>
                <w:i/>
                <w:color w:val="auto"/>
                <w:sz w:val="24"/>
                <w:szCs w:val="24"/>
              </w:rPr>
              <w:t>Pteridium aquilinum</w:t>
            </w:r>
            <w:r>
              <w:rPr>
                <w:rFonts w:ascii="Times New Roman" w:hAnsi="Times New Roman"/>
                <w:color w:val="auto"/>
                <w:sz w:val="24"/>
                <w:szCs w:val="24"/>
              </w:rPr>
              <w:t>等。</w:t>
            </w:r>
          </w:p>
          <w:p w14:paraId="7A8AB1DB">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B.人工植被：</w:t>
            </w:r>
          </w:p>
          <w:p w14:paraId="35D625A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1）耕地</w:t>
            </w:r>
          </w:p>
          <w:p w14:paraId="736F64B0">
            <w:pPr>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szCs w:val="24"/>
              </w:rPr>
              <w:t>评价区内的耕地包括旱地和水田，分布广泛。水田多分布于评价区海拔较低地区，主要种植水稻</w:t>
            </w:r>
            <w:r>
              <w:rPr>
                <w:rFonts w:ascii="Times New Roman" w:hAnsi="Times New Roman"/>
                <w:bCs/>
                <w:i/>
                <w:color w:val="auto"/>
                <w:sz w:val="24"/>
                <w:szCs w:val="24"/>
              </w:rPr>
              <w:t>Oryza sativa</w:t>
            </w:r>
            <w:r>
              <w:rPr>
                <w:rFonts w:ascii="Times New Roman" w:hAnsi="Times New Roman"/>
                <w:color w:val="auto"/>
                <w:sz w:val="24"/>
                <w:szCs w:val="24"/>
              </w:rPr>
              <w:t>。旱地是评价区内分布最广的人工植被类型，主要种植玉米</w:t>
            </w:r>
            <w:r>
              <w:rPr>
                <w:rFonts w:ascii="Times New Roman" w:hAnsi="Times New Roman"/>
                <w:bCs/>
                <w:i/>
                <w:color w:val="auto"/>
                <w:sz w:val="24"/>
                <w:szCs w:val="24"/>
              </w:rPr>
              <w:t>Zea</w:t>
            </w:r>
            <w:r>
              <w:rPr>
                <w:rFonts w:ascii="Times New Roman" w:hAnsi="Times New Roman"/>
                <w:bCs/>
                <w:color w:val="auto"/>
                <w:sz w:val="24"/>
                <w:szCs w:val="24"/>
              </w:rPr>
              <w:t xml:space="preserve"> </w:t>
            </w:r>
            <w:r>
              <w:rPr>
                <w:rFonts w:ascii="Times New Roman" w:hAnsi="Times New Roman"/>
                <w:bCs/>
                <w:i/>
                <w:color w:val="auto"/>
                <w:sz w:val="24"/>
                <w:szCs w:val="24"/>
              </w:rPr>
              <w:t>mays</w:t>
            </w:r>
            <w:r>
              <w:rPr>
                <w:rFonts w:ascii="Times New Roman" w:hAnsi="Times New Roman"/>
                <w:bCs/>
                <w:color w:val="auto"/>
                <w:sz w:val="24"/>
                <w:szCs w:val="24"/>
              </w:rPr>
              <w:t>、阳芋</w:t>
            </w:r>
            <w:r>
              <w:rPr>
                <w:rFonts w:ascii="Times New Roman" w:hAnsi="Times New Roman"/>
                <w:bCs/>
                <w:i/>
                <w:color w:val="auto"/>
                <w:sz w:val="24"/>
                <w:szCs w:val="24"/>
              </w:rPr>
              <w:t>Solanum tuberosum</w:t>
            </w:r>
            <w:r>
              <w:rPr>
                <w:rFonts w:ascii="Times New Roman" w:hAnsi="Times New Roman"/>
                <w:bCs/>
                <w:color w:val="auto"/>
                <w:sz w:val="24"/>
                <w:szCs w:val="24"/>
              </w:rPr>
              <w:t>等</w:t>
            </w:r>
            <w:r>
              <w:rPr>
                <w:rFonts w:ascii="Times New Roman" w:hAnsi="Times New Roman"/>
                <w:color w:val="auto"/>
                <w:sz w:val="24"/>
                <w:szCs w:val="24"/>
              </w:rPr>
              <w:t>。</w:t>
            </w:r>
          </w:p>
          <w:p w14:paraId="137698C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2）人工林</w:t>
            </w:r>
          </w:p>
          <w:p w14:paraId="47D06A1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评价区内分布有少量的人工林，包括</w:t>
            </w:r>
            <w:r>
              <w:rPr>
                <w:rFonts w:hint="eastAsia" w:ascii="Times New Roman" w:hAnsi="Times New Roman"/>
                <w:color w:val="auto"/>
                <w:sz w:val="24"/>
                <w:szCs w:val="24"/>
              </w:rPr>
              <w:t>云南松、</w:t>
            </w:r>
            <w:r>
              <w:rPr>
                <w:rFonts w:ascii="Times New Roman" w:hAnsi="Times New Roman"/>
                <w:color w:val="auto"/>
                <w:sz w:val="24"/>
                <w:szCs w:val="24"/>
              </w:rPr>
              <w:t>柳杉</w:t>
            </w:r>
            <w:r>
              <w:rPr>
                <w:rFonts w:ascii="Times New Roman" w:hAnsi="Times New Roman"/>
                <w:i/>
                <w:color w:val="auto"/>
                <w:sz w:val="24"/>
                <w:szCs w:val="24"/>
              </w:rPr>
              <w:t>Cryptomeria fortunei</w:t>
            </w:r>
            <w:r>
              <w:rPr>
                <w:rFonts w:ascii="Times New Roman" w:hAnsi="Times New Roman"/>
                <w:iCs/>
                <w:color w:val="auto"/>
                <w:sz w:val="24"/>
                <w:szCs w:val="24"/>
              </w:rPr>
              <w:t>等</w:t>
            </w:r>
            <w:r>
              <w:rPr>
                <w:rFonts w:ascii="Times New Roman" w:hAnsi="Times New Roman"/>
                <w:color w:val="auto"/>
                <w:sz w:val="24"/>
                <w:szCs w:val="24"/>
              </w:rPr>
              <w:t>。</w:t>
            </w:r>
          </w:p>
          <w:p w14:paraId="218356CA">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w:t>
            </w:r>
            <w:r>
              <w:rPr>
                <w:rFonts w:ascii="Times New Roman" w:hAnsi="Times New Roman"/>
                <w:color w:val="auto"/>
                <w:sz w:val="24"/>
                <w:szCs w:val="24"/>
              </w:rPr>
              <w:t>3</w:t>
            </w:r>
            <w:r>
              <w:rPr>
                <w:rFonts w:ascii="Times New Roman" w:hAnsi="Times New Roman"/>
                <w:color w:val="auto"/>
                <w:sz w:val="24"/>
                <w:szCs w:val="24"/>
                <w:lang w:val="zh-CN"/>
              </w:rPr>
              <w:t>）植被分布特征</w:t>
            </w:r>
          </w:p>
          <w:p w14:paraId="46A55A1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评价区总面积1323.172hm²，整体呈狭长的条带形。评价区海拔介于</w:t>
            </w:r>
            <w:r>
              <w:rPr>
                <w:rFonts w:ascii="Times New Roman" w:hAnsi="Times New Roman"/>
                <w:color w:val="auto"/>
                <w:sz w:val="24"/>
                <w:szCs w:val="24"/>
                <w:highlight w:val="none"/>
              </w:rPr>
              <w:t>1</w:t>
            </w:r>
            <w:r>
              <w:rPr>
                <w:rFonts w:hint="eastAsia" w:ascii="Times New Roman" w:hAnsi="Times New Roman"/>
                <w:color w:val="auto"/>
                <w:sz w:val="24"/>
                <w:szCs w:val="24"/>
                <w:highlight w:val="none"/>
                <w:lang w:val="en-US" w:eastAsia="zh-CN"/>
              </w:rPr>
              <w:t>7</w:t>
            </w:r>
            <w:r>
              <w:rPr>
                <w:rFonts w:ascii="Times New Roman" w:hAnsi="Times New Roman"/>
                <w:color w:val="auto"/>
                <w:sz w:val="24"/>
                <w:szCs w:val="24"/>
                <w:highlight w:val="none"/>
              </w:rPr>
              <w:t>95-2</w:t>
            </w:r>
            <w:r>
              <w:rPr>
                <w:rFonts w:hint="eastAsia" w:ascii="Times New Roman" w:hAnsi="Times New Roman"/>
                <w:color w:val="auto"/>
                <w:sz w:val="24"/>
                <w:szCs w:val="24"/>
                <w:highlight w:val="none"/>
                <w:lang w:val="en-US" w:eastAsia="zh-CN"/>
              </w:rPr>
              <w:t>218</w:t>
            </w:r>
            <w:r>
              <w:rPr>
                <w:rFonts w:ascii="Times New Roman" w:hAnsi="Times New Roman"/>
                <w:color w:val="auto"/>
                <w:sz w:val="24"/>
                <w:szCs w:val="24"/>
                <w:highlight w:val="none"/>
              </w:rPr>
              <w:t>m</w:t>
            </w:r>
            <w:r>
              <w:rPr>
                <w:rFonts w:ascii="Times New Roman" w:hAnsi="Times New Roman"/>
                <w:color w:val="auto"/>
                <w:sz w:val="24"/>
                <w:szCs w:val="24"/>
              </w:rPr>
              <w:t>之间，相对高差较大，其中海拔2100m以下人为干扰较为严重，基本已开发为耕地，自然植被分布较少。2100m以上主要分布云南松林。撂荒地、耕地边和村落边散布少量稀树灌木草丛植被。同时，石灰岩发育的地区分布有暖性石灰岩灌丛。</w:t>
            </w:r>
          </w:p>
          <w:p w14:paraId="507D6ACF">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3.2.1.3植被类型面积统计</w:t>
            </w:r>
          </w:p>
          <w:p w14:paraId="76777438">
            <w:pPr>
              <w:adjustRightInd w:val="0"/>
              <w:snapToGrid w:val="0"/>
              <w:spacing w:line="440" w:lineRule="exact"/>
              <w:ind w:firstLine="480" w:firstLineChars="200"/>
              <w:rPr>
                <w:rFonts w:ascii="Times New Roman" w:hAnsi="Times New Roman"/>
                <w:color w:val="auto"/>
                <w:kern w:val="0"/>
                <w:sz w:val="24"/>
                <w:szCs w:val="24"/>
              </w:rPr>
            </w:pPr>
            <w:r>
              <w:rPr>
                <w:rFonts w:ascii="Times New Roman" w:hAnsi="Times New Roman"/>
                <w:color w:val="auto"/>
                <w:kern w:val="0"/>
                <w:sz w:val="24"/>
                <w:szCs w:val="24"/>
              </w:rPr>
              <w:t>项目评价区总面积1323.172hm²。在评价区内，人工植被面积471.892hm²，自然植被面积810.485hm²。自然植被中以暖温性针叶林面积最大为483.249hm</w:t>
            </w:r>
            <w:r>
              <w:rPr>
                <w:rFonts w:ascii="Times New Roman" w:hAnsi="Times New Roman"/>
                <w:color w:val="auto"/>
                <w:kern w:val="0"/>
                <w:sz w:val="24"/>
                <w:szCs w:val="24"/>
                <w:vertAlign w:val="superscript"/>
              </w:rPr>
              <w:t>2</w:t>
            </w:r>
            <w:r>
              <w:rPr>
                <w:rFonts w:ascii="Times New Roman" w:hAnsi="Times New Roman"/>
                <w:color w:val="auto"/>
                <w:kern w:val="0"/>
                <w:sz w:val="24"/>
                <w:szCs w:val="24"/>
              </w:rPr>
              <w:t>，占评价区总面积的36.52%。</w:t>
            </w:r>
          </w:p>
          <w:p w14:paraId="5FB26D32">
            <w:pPr>
              <w:tabs>
                <w:tab w:val="left" w:pos="3260"/>
                <w:tab w:val="center" w:pos="4917"/>
              </w:tabs>
              <w:adjustRightInd w:val="0"/>
              <w:snapToGrid w:val="0"/>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 xml:space="preserve">3-4 </w:t>
            </w:r>
            <w:r>
              <w:rPr>
                <w:rFonts w:ascii="Times New Roman" w:hAnsi="Times New Roman"/>
                <w:b/>
                <w:color w:val="auto"/>
                <w:sz w:val="24"/>
                <w:szCs w:val="24"/>
              </w:rPr>
              <w:t xml:space="preserve"> 评价区植被面积统计表</w:t>
            </w:r>
          </w:p>
          <w:tbl>
            <w:tblPr>
              <w:tblStyle w:val="27"/>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2"/>
              <w:gridCol w:w="740"/>
              <w:gridCol w:w="1352"/>
              <w:gridCol w:w="1827"/>
              <w:gridCol w:w="1261"/>
              <w:gridCol w:w="1427"/>
              <w:gridCol w:w="1437"/>
            </w:tblGrid>
            <w:tr w14:paraId="6E888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5" w:type="pct"/>
                  <w:gridSpan w:val="2"/>
                  <w:tcBorders>
                    <w:tl2br w:val="nil"/>
                    <w:tr2bl w:val="nil"/>
                  </w:tcBorders>
                  <w:shd w:val="clear" w:color="auto" w:fill="auto"/>
                  <w:noWrap/>
                  <w:vAlign w:val="center"/>
                </w:tcPr>
                <w:p w14:paraId="5B1403E2">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植被类型</w:t>
                  </w:r>
                </w:p>
              </w:tc>
              <w:tc>
                <w:tcPr>
                  <w:tcW w:w="802" w:type="pct"/>
                  <w:tcBorders>
                    <w:tl2br w:val="nil"/>
                    <w:tr2bl w:val="nil"/>
                  </w:tcBorders>
                  <w:shd w:val="clear" w:color="auto" w:fill="auto"/>
                  <w:vAlign w:val="center"/>
                </w:tcPr>
                <w:p w14:paraId="29E5E472">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植被型</w:t>
                  </w:r>
                </w:p>
              </w:tc>
              <w:tc>
                <w:tcPr>
                  <w:tcW w:w="1084" w:type="pct"/>
                  <w:tcBorders>
                    <w:tl2br w:val="nil"/>
                    <w:tr2bl w:val="nil"/>
                  </w:tcBorders>
                  <w:shd w:val="clear" w:color="auto" w:fill="auto"/>
                  <w:vAlign w:val="center"/>
                </w:tcPr>
                <w:p w14:paraId="7379C01A">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植被亚型</w:t>
                  </w:r>
                </w:p>
              </w:tc>
              <w:tc>
                <w:tcPr>
                  <w:tcW w:w="747" w:type="pct"/>
                  <w:tcBorders>
                    <w:tl2br w:val="nil"/>
                    <w:tr2bl w:val="nil"/>
                  </w:tcBorders>
                  <w:shd w:val="clear" w:color="auto" w:fill="auto"/>
                  <w:vAlign w:val="center"/>
                </w:tcPr>
                <w:p w14:paraId="20CBABB8">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植被群系</w:t>
                  </w:r>
                </w:p>
              </w:tc>
              <w:tc>
                <w:tcPr>
                  <w:tcW w:w="847" w:type="pct"/>
                  <w:tcBorders>
                    <w:tl2br w:val="nil"/>
                    <w:tr2bl w:val="nil"/>
                  </w:tcBorders>
                  <w:shd w:val="clear" w:color="auto" w:fill="auto"/>
                  <w:noWrap/>
                  <w:vAlign w:val="center"/>
                </w:tcPr>
                <w:p w14:paraId="40877880">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面积（hm</w:t>
                  </w:r>
                  <w:r>
                    <w:rPr>
                      <w:rFonts w:ascii="Times New Roman" w:hAnsi="Times New Roman"/>
                      <w:b/>
                      <w:bCs/>
                      <w:color w:val="auto"/>
                      <w:kern w:val="0"/>
                      <w:szCs w:val="21"/>
                      <w:vertAlign w:val="superscript"/>
                      <w:lang w:bidi="ar"/>
                    </w:rPr>
                    <w:t>2</w:t>
                  </w:r>
                  <w:r>
                    <w:rPr>
                      <w:rFonts w:ascii="Times New Roman" w:hAnsi="Times New Roman"/>
                      <w:b/>
                      <w:bCs/>
                      <w:color w:val="auto"/>
                      <w:kern w:val="0"/>
                      <w:szCs w:val="21"/>
                      <w:lang w:bidi="ar"/>
                    </w:rPr>
                    <w:t>）</w:t>
                  </w:r>
                </w:p>
              </w:tc>
              <w:tc>
                <w:tcPr>
                  <w:tcW w:w="853" w:type="pct"/>
                  <w:tcBorders>
                    <w:tl2br w:val="nil"/>
                    <w:tr2bl w:val="nil"/>
                  </w:tcBorders>
                  <w:shd w:val="clear" w:color="auto" w:fill="auto"/>
                  <w:noWrap/>
                  <w:vAlign w:val="center"/>
                </w:tcPr>
                <w:p w14:paraId="2826AB5B">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百分比（%）</w:t>
                  </w:r>
                </w:p>
              </w:tc>
            </w:tr>
            <w:tr w14:paraId="60A35F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restart"/>
                  <w:tcBorders>
                    <w:tl2br w:val="nil"/>
                    <w:tr2bl w:val="nil"/>
                  </w:tcBorders>
                  <w:shd w:val="clear" w:color="auto" w:fill="auto"/>
                  <w:noWrap/>
                  <w:vAlign w:val="center"/>
                </w:tcPr>
                <w:p w14:paraId="06E07A1D">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陆生植被</w:t>
                  </w:r>
                </w:p>
              </w:tc>
              <w:tc>
                <w:tcPr>
                  <w:tcW w:w="438" w:type="pct"/>
                  <w:vMerge w:val="restart"/>
                  <w:tcBorders>
                    <w:tl2br w:val="nil"/>
                    <w:tr2bl w:val="nil"/>
                  </w:tcBorders>
                  <w:shd w:val="clear" w:color="auto" w:fill="auto"/>
                  <w:vAlign w:val="center"/>
                </w:tcPr>
                <w:p w14:paraId="6CB9631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自然植被</w:t>
                  </w:r>
                </w:p>
              </w:tc>
              <w:tc>
                <w:tcPr>
                  <w:tcW w:w="802" w:type="pct"/>
                  <w:tcBorders>
                    <w:tl2br w:val="nil"/>
                    <w:tr2bl w:val="nil"/>
                  </w:tcBorders>
                  <w:shd w:val="clear" w:color="auto" w:fill="auto"/>
                  <w:vAlign w:val="center"/>
                </w:tcPr>
                <w:p w14:paraId="1F1BE1F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暖性针叶林</w:t>
                  </w:r>
                </w:p>
              </w:tc>
              <w:tc>
                <w:tcPr>
                  <w:tcW w:w="1084" w:type="pct"/>
                  <w:tcBorders>
                    <w:tl2br w:val="nil"/>
                    <w:tr2bl w:val="nil"/>
                  </w:tcBorders>
                  <w:shd w:val="clear" w:color="auto" w:fill="auto"/>
                  <w:vAlign w:val="center"/>
                </w:tcPr>
                <w:p w14:paraId="0BB8B4F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暖温性针叶林</w:t>
                  </w:r>
                </w:p>
              </w:tc>
              <w:tc>
                <w:tcPr>
                  <w:tcW w:w="747" w:type="pct"/>
                  <w:tcBorders>
                    <w:tl2br w:val="nil"/>
                    <w:tr2bl w:val="nil"/>
                  </w:tcBorders>
                  <w:shd w:val="clear" w:color="auto" w:fill="auto"/>
                  <w:vAlign w:val="center"/>
                </w:tcPr>
                <w:p w14:paraId="4802773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云南松林</w:t>
                  </w:r>
                </w:p>
              </w:tc>
              <w:tc>
                <w:tcPr>
                  <w:tcW w:w="847" w:type="pct"/>
                  <w:tcBorders>
                    <w:tl2br w:val="nil"/>
                    <w:tr2bl w:val="nil"/>
                  </w:tcBorders>
                  <w:shd w:val="clear" w:color="auto" w:fill="auto"/>
                  <w:noWrap/>
                  <w:vAlign w:val="center"/>
                </w:tcPr>
                <w:p w14:paraId="21A34D0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483.249 </w:t>
                  </w:r>
                </w:p>
              </w:tc>
              <w:tc>
                <w:tcPr>
                  <w:tcW w:w="853" w:type="pct"/>
                  <w:tcBorders>
                    <w:tl2br w:val="nil"/>
                    <w:tr2bl w:val="nil"/>
                  </w:tcBorders>
                  <w:shd w:val="clear" w:color="auto" w:fill="auto"/>
                  <w:noWrap/>
                  <w:vAlign w:val="center"/>
                </w:tcPr>
                <w:p w14:paraId="10CE97D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36.52 </w:t>
                  </w:r>
                </w:p>
              </w:tc>
            </w:tr>
            <w:tr w14:paraId="1E327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769E453C">
                  <w:pPr>
                    <w:widowControl/>
                    <w:adjustRightInd w:val="0"/>
                    <w:snapToGrid w:val="0"/>
                    <w:jc w:val="center"/>
                    <w:textAlignment w:val="center"/>
                    <w:rPr>
                      <w:rFonts w:ascii="Times New Roman" w:hAnsi="Times New Roman"/>
                      <w:color w:val="auto"/>
                      <w:kern w:val="0"/>
                      <w:szCs w:val="21"/>
                      <w:lang w:bidi="ar"/>
                    </w:rPr>
                  </w:pPr>
                </w:p>
              </w:tc>
              <w:tc>
                <w:tcPr>
                  <w:tcW w:w="438" w:type="pct"/>
                  <w:vMerge w:val="continue"/>
                  <w:tcBorders>
                    <w:tl2br w:val="nil"/>
                    <w:tr2bl w:val="nil"/>
                  </w:tcBorders>
                  <w:shd w:val="clear" w:color="auto" w:fill="auto"/>
                  <w:vAlign w:val="center"/>
                </w:tcPr>
                <w:p w14:paraId="30D2F6E0">
                  <w:pPr>
                    <w:widowControl/>
                    <w:adjustRightInd w:val="0"/>
                    <w:snapToGrid w:val="0"/>
                    <w:jc w:val="center"/>
                    <w:textAlignment w:val="center"/>
                    <w:rPr>
                      <w:rFonts w:ascii="Times New Roman" w:hAnsi="Times New Roman"/>
                      <w:color w:val="auto"/>
                      <w:kern w:val="0"/>
                      <w:szCs w:val="21"/>
                      <w:lang w:bidi="ar"/>
                    </w:rPr>
                  </w:pPr>
                </w:p>
              </w:tc>
              <w:tc>
                <w:tcPr>
                  <w:tcW w:w="802" w:type="pct"/>
                  <w:tcBorders>
                    <w:tl2br w:val="nil"/>
                    <w:tr2bl w:val="nil"/>
                  </w:tcBorders>
                  <w:shd w:val="clear" w:color="auto" w:fill="auto"/>
                  <w:vAlign w:val="center"/>
                </w:tcPr>
                <w:p w14:paraId="2855AE6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灌丛</w:t>
                  </w:r>
                </w:p>
              </w:tc>
              <w:tc>
                <w:tcPr>
                  <w:tcW w:w="1084" w:type="pct"/>
                  <w:tcBorders>
                    <w:tl2br w:val="nil"/>
                    <w:tr2bl w:val="nil"/>
                  </w:tcBorders>
                  <w:shd w:val="clear" w:color="auto" w:fill="auto"/>
                  <w:vAlign w:val="center"/>
                </w:tcPr>
                <w:p w14:paraId="7A1002F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暖性石灰岩灌丛</w:t>
                  </w:r>
                </w:p>
              </w:tc>
              <w:tc>
                <w:tcPr>
                  <w:tcW w:w="747" w:type="pct"/>
                  <w:tcBorders>
                    <w:tl2br w:val="nil"/>
                    <w:tr2bl w:val="nil"/>
                  </w:tcBorders>
                  <w:shd w:val="clear" w:color="auto" w:fill="auto"/>
                  <w:vAlign w:val="center"/>
                </w:tcPr>
                <w:p w14:paraId="534E0F33">
                  <w:pPr>
                    <w:widowControl/>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黑面神</w:t>
                  </w:r>
                  <w:r>
                    <w:rPr>
                      <w:rFonts w:ascii="Times New Roman" w:hAnsi="Times New Roman"/>
                      <w:color w:val="auto"/>
                      <w:kern w:val="0"/>
                      <w:szCs w:val="21"/>
                      <w:lang w:bidi="ar"/>
                    </w:rPr>
                    <w:t>灌丛</w:t>
                  </w:r>
                </w:p>
              </w:tc>
              <w:tc>
                <w:tcPr>
                  <w:tcW w:w="847" w:type="pct"/>
                  <w:tcBorders>
                    <w:tl2br w:val="nil"/>
                    <w:tr2bl w:val="nil"/>
                  </w:tcBorders>
                  <w:shd w:val="clear" w:color="auto" w:fill="auto"/>
                  <w:noWrap/>
                  <w:vAlign w:val="center"/>
                </w:tcPr>
                <w:p w14:paraId="74A9F92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210.959 </w:t>
                  </w:r>
                </w:p>
              </w:tc>
              <w:tc>
                <w:tcPr>
                  <w:tcW w:w="853" w:type="pct"/>
                  <w:tcBorders>
                    <w:tl2br w:val="nil"/>
                    <w:tr2bl w:val="nil"/>
                  </w:tcBorders>
                  <w:shd w:val="clear" w:color="auto" w:fill="auto"/>
                  <w:noWrap/>
                  <w:vAlign w:val="center"/>
                </w:tcPr>
                <w:p w14:paraId="37C8675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15.94 </w:t>
                  </w:r>
                </w:p>
              </w:tc>
            </w:tr>
            <w:tr w14:paraId="27E4A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1190B745">
                  <w:pPr>
                    <w:widowControl/>
                    <w:adjustRightInd w:val="0"/>
                    <w:snapToGrid w:val="0"/>
                    <w:jc w:val="center"/>
                    <w:textAlignment w:val="center"/>
                    <w:rPr>
                      <w:rFonts w:ascii="Times New Roman" w:hAnsi="Times New Roman"/>
                      <w:color w:val="auto"/>
                      <w:kern w:val="0"/>
                      <w:szCs w:val="21"/>
                      <w:lang w:bidi="ar"/>
                    </w:rPr>
                  </w:pPr>
                </w:p>
              </w:tc>
              <w:tc>
                <w:tcPr>
                  <w:tcW w:w="438" w:type="pct"/>
                  <w:vMerge w:val="continue"/>
                  <w:tcBorders>
                    <w:tl2br w:val="nil"/>
                    <w:tr2bl w:val="nil"/>
                  </w:tcBorders>
                  <w:shd w:val="clear" w:color="auto" w:fill="auto"/>
                  <w:vAlign w:val="center"/>
                </w:tcPr>
                <w:p w14:paraId="77D38098">
                  <w:pPr>
                    <w:widowControl/>
                    <w:adjustRightInd w:val="0"/>
                    <w:snapToGrid w:val="0"/>
                    <w:jc w:val="center"/>
                    <w:textAlignment w:val="center"/>
                    <w:rPr>
                      <w:rFonts w:ascii="Times New Roman" w:hAnsi="Times New Roman"/>
                      <w:color w:val="auto"/>
                      <w:kern w:val="0"/>
                      <w:szCs w:val="21"/>
                      <w:lang w:bidi="ar"/>
                    </w:rPr>
                  </w:pPr>
                </w:p>
              </w:tc>
              <w:tc>
                <w:tcPr>
                  <w:tcW w:w="802" w:type="pct"/>
                  <w:tcBorders>
                    <w:tl2br w:val="nil"/>
                    <w:tr2bl w:val="nil"/>
                  </w:tcBorders>
                  <w:shd w:val="clear" w:color="auto" w:fill="auto"/>
                  <w:vAlign w:val="center"/>
                </w:tcPr>
                <w:p w14:paraId="07F93FB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稀树灌木草丛</w:t>
                  </w:r>
                </w:p>
              </w:tc>
              <w:tc>
                <w:tcPr>
                  <w:tcW w:w="1084" w:type="pct"/>
                  <w:tcBorders>
                    <w:tl2br w:val="nil"/>
                    <w:tr2bl w:val="nil"/>
                  </w:tcBorders>
                  <w:shd w:val="clear" w:color="auto" w:fill="auto"/>
                  <w:vAlign w:val="center"/>
                </w:tcPr>
                <w:p w14:paraId="000DB93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暖温性稀树灌木草丛</w:t>
                  </w:r>
                </w:p>
              </w:tc>
              <w:tc>
                <w:tcPr>
                  <w:tcW w:w="747" w:type="pct"/>
                  <w:tcBorders>
                    <w:tl2br w:val="nil"/>
                    <w:tr2bl w:val="nil"/>
                  </w:tcBorders>
                  <w:shd w:val="clear" w:color="auto" w:fill="auto"/>
                  <w:vAlign w:val="center"/>
                </w:tcPr>
                <w:p w14:paraId="2987C1E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szCs w:val="21"/>
                      <w:lang w:val="zh-CN"/>
                    </w:rPr>
                    <w:t>含云南松、</w:t>
                  </w:r>
                  <w:r>
                    <w:rPr>
                      <w:rFonts w:ascii="Times New Roman" w:hAnsi="Times New Roman"/>
                      <w:color w:val="auto"/>
                      <w:szCs w:val="21"/>
                    </w:rPr>
                    <w:t>苦刺花</w:t>
                  </w:r>
                  <w:r>
                    <w:rPr>
                      <w:rFonts w:ascii="Times New Roman" w:hAnsi="Times New Roman"/>
                      <w:color w:val="auto"/>
                      <w:szCs w:val="21"/>
                      <w:lang w:val="zh-CN"/>
                    </w:rPr>
                    <w:t>的中草草丛</w:t>
                  </w:r>
                </w:p>
              </w:tc>
              <w:tc>
                <w:tcPr>
                  <w:tcW w:w="847" w:type="pct"/>
                  <w:tcBorders>
                    <w:tl2br w:val="nil"/>
                    <w:tr2bl w:val="nil"/>
                  </w:tcBorders>
                  <w:shd w:val="clear" w:color="auto" w:fill="auto"/>
                  <w:noWrap/>
                  <w:vAlign w:val="center"/>
                </w:tcPr>
                <w:p w14:paraId="5827BBD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116.277 </w:t>
                  </w:r>
                </w:p>
              </w:tc>
              <w:tc>
                <w:tcPr>
                  <w:tcW w:w="853" w:type="pct"/>
                  <w:tcBorders>
                    <w:tl2br w:val="nil"/>
                    <w:tr2bl w:val="nil"/>
                  </w:tcBorders>
                  <w:shd w:val="clear" w:color="auto" w:fill="auto"/>
                  <w:noWrap/>
                  <w:vAlign w:val="center"/>
                </w:tcPr>
                <w:p w14:paraId="075D788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8.79 </w:t>
                  </w:r>
                </w:p>
              </w:tc>
            </w:tr>
            <w:tr w14:paraId="436FE2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0904B9FD">
                  <w:pPr>
                    <w:widowControl/>
                    <w:adjustRightInd w:val="0"/>
                    <w:snapToGrid w:val="0"/>
                    <w:jc w:val="center"/>
                    <w:textAlignment w:val="center"/>
                    <w:rPr>
                      <w:rFonts w:ascii="Times New Roman" w:hAnsi="Times New Roman"/>
                      <w:color w:val="auto"/>
                      <w:kern w:val="0"/>
                      <w:szCs w:val="21"/>
                      <w:lang w:bidi="ar"/>
                    </w:rPr>
                  </w:pPr>
                </w:p>
              </w:tc>
              <w:tc>
                <w:tcPr>
                  <w:tcW w:w="438" w:type="pct"/>
                  <w:vMerge w:val="continue"/>
                  <w:tcBorders>
                    <w:tl2br w:val="nil"/>
                    <w:tr2bl w:val="nil"/>
                  </w:tcBorders>
                  <w:shd w:val="clear" w:color="auto" w:fill="auto"/>
                  <w:vAlign w:val="center"/>
                </w:tcPr>
                <w:p w14:paraId="155FCF18">
                  <w:pPr>
                    <w:widowControl/>
                    <w:adjustRightInd w:val="0"/>
                    <w:snapToGrid w:val="0"/>
                    <w:jc w:val="center"/>
                    <w:textAlignment w:val="center"/>
                    <w:rPr>
                      <w:rFonts w:ascii="Times New Roman" w:hAnsi="Times New Roman"/>
                      <w:color w:val="auto"/>
                      <w:kern w:val="0"/>
                      <w:szCs w:val="21"/>
                      <w:lang w:bidi="ar"/>
                    </w:rPr>
                  </w:pPr>
                </w:p>
              </w:tc>
              <w:tc>
                <w:tcPr>
                  <w:tcW w:w="2634" w:type="pct"/>
                  <w:gridSpan w:val="3"/>
                  <w:tcBorders>
                    <w:tl2br w:val="nil"/>
                    <w:tr2bl w:val="nil"/>
                  </w:tcBorders>
                  <w:shd w:val="clear" w:color="auto" w:fill="auto"/>
                  <w:vAlign w:val="center"/>
                </w:tcPr>
                <w:p w14:paraId="1798775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小计</w:t>
                  </w:r>
                </w:p>
              </w:tc>
              <w:tc>
                <w:tcPr>
                  <w:tcW w:w="847" w:type="pct"/>
                  <w:tcBorders>
                    <w:tl2br w:val="nil"/>
                    <w:tr2bl w:val="nil"/>
                  </w:tcBorders>
                  <w:shd w:val="clear" w:color="auto" w:fill="auto"/>
                  <w:noWrap/>
                  <w:vAlign w:val="center"/>
                </w:tcPr>
                <w:p w14:paraId="4F26A06A">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810.485 </w:t>
                  </w:r>
                </w:p>
              </w:tc>
              <w:tc>
                <w:tcPr>
                  <w:tcW w:w="853" w:type="pct"/>
                  <w:tcBorders>
                    <w:tl2br w:val="nil"/>
                    <w:tr2bl w:val="nil"/>
                  </w:tcBorders>
                  <w:shd w:val="clear" w:color="auto" w:fill="auto"/>
                  <w:noWrap/>
                  <w:vAlign w:val="center"/>
                </w:tcPr>
                <w:p w14:paraId="17E4E69D">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61.25 </w:t>
                  </w:r>
                </w:p>
              </w:tc>
            </w:tr>
            <w:tr w14:paraId="08994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3648EEC6">
                  <w:pPr>
                    <w:widowControl/>
                    <w:adjustRightInd w:val="0"/>
                    <w:snapToGrid w:val="0"/>
                    <w:jc w:val="center"/>
                    <w:textAlignment w:val="center"/>
                    <w:rPr>
                      <w:rFonts w:ascii="Times New Roman" w:hAnsi="Times New Roman"/>
                      <w:color w:val="auto"/>
                      <w:kern w:val="0"/>
                      <w:szCs w:val="21"/>
                      <w:lang w:bidi="ar"/>
                    </w:rPr>
                  </w:pPr>
                </w:p>
              </w:tc>
              <w:tc>
                <w:tcPr>
                  <w:tcW w:w="438" w:type="pct"/>
                  <w:vMerge w:val="restart"/>
                  <w:tcBorders>
                    <w:tl2br w:val="nil"/>
                    <w:tr2bl w:val="nil"/>
                  </w:tcBorders>
                  <w:shd w:val="clear" w:color="auto" w:fill="auto"/>
                  <w:vAlign w:val="center"/>
                </w:tcPr>
                <w:p w14:paraId="26FCFD1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人工植被</w:t>
                  </w:r>
                </w:p>
              </w:tc>
              <w:tc>
                <w:tcPr>
                  <w:tcW w:w="2634" w:type="pct"/>
                  <w:gridSpan w:val="3"/>
                  <w:tcBorders>
                    <w:tl2br w:val="nil"/>
                    <w:tr2bl w:val="nil"/>
                  </w:tcBorders>
                  <w:shd w:val="clear" w:color="auto" w:fill="auto"/>
                  <w:vAlign w:val="center"/>
                </w:tcPr>
                <w:p w14:paraId="528743E9">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人工林植被</w:t>
                  </w:r>
                </w:p>
              </w:tc>
              <w:tc>
                <w:tcPr>
                  <w:tcW w:w="847" w:type="pct"/>
                  <w:tcBorders>
                    <w:tl2br w:val="nil"/>
                    <w:tr2bl w:val="nil"/>
                  </w:tcBorders>
                  <w:shd w:val="clear" w:color="auto" w:fill="auto"/>
                  <w:noWrap/>
                  <w:vAlign w:val="center"/>
                </w:tcPr>
                <w:p w14:paraId="2A451D9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2.138 </w:t>
                  </w:r>
                </w:p>
              </w:tc>
              <w:tc>
                <w:tcPr>
                  <w:tcW w:w="853" w:type="pct"/>
                  <w:tcBorders>
                    <w:tl2br w:val="nil"/>
                    <w:tr2bl w:val="nil"/>
                  </w:tcBorders>
                  <w:shd w:val="clear" w:color="auto" w:fill="auto"/>
                  <w:noWrap/>
                  <w:vAlign w:val="center"/>
                </w:tcPr>
                <w:p w14:paraId="388CB219">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0.16 </w:t>
                  </w:r>
                </w:p>
              </w:tc>
            </w:tr>
            <w:tr w14:paraId="00898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7A8C6AB2">
                  <w:pPr>
                    <w:widowControl/>
                    <w:adjustRightInd w:val="0"/>
                    <w:snapToGrid w:val="0"/>
                    <w:jc w:val="center"/>
                    <w:textAlignment w:val="center"/>
                    <w:rPr>
                      <w:rFonts w:ascii="Times New Roman" w:hAnsi="Times New Roman"/>
                      <w:color w:val="auto"/>
                      <w:kern w:val="0"/>
                      <w:szCs w:val="21"/>
                      <w:lang w:bidi="ar"/>
                    </w:rPr>
                  </w:pPr>
                </w:p>
              </w:tc>
              <w:tc>
                <w:tcPr>
                  <w:tcW w:w="438" w:type="pct"/>
                  <w:vMerge w:val="continue"/>
                  <w:tcBorders>
                    <w:tl2br w:val="nil"/>
                    <w:tr2bl w:val="nil"/>
                  </w:tcBorders>
                  <w:shd w:val="clear" w:color="auto" w:fill="auto"/>
                  <w:vAlign w:val="center"/>
                </w:tcPr>
                <w:p w14:paraId="77E63143">
                  <w:pPr>
                    <w:widowControl/>
                    <w:adjustRightInd w:val="0"/>
                    <w:snapToGrid w:val="0"/>
                    <w:jc w:val="center"/>
                    <w:textAlignment w:val="center"/>
                    <w:rPr>
                      <w:rFonts w:ascii="Times New Roman" w:hAnsi="Times New Roman"/>
                      <w:color w:val="auto"/>
                      <w:kern w:val="0"/>
                      <w:szCs w:val="21"/>
                      <w:lang w:bidi="ar"/>
                    </w:rPr>
                  </w:pPr>
                </w:p>
              </w:tc>
              <w:tc>
                <w:tcPr>
                  <w:tcW w:w="2634" w:type="pct"/>
                  <w:gridSpan w:val="3"/>
                  <w:tcBorders>
                    <w:tl2br w:val="nil"/>
                    <w:tr2bl w:val="nil"/>
                  </w:tcBorders>
                  <w:shd w:val="clear" w:color="auto" w:fill="auto"/>
                  <w:vAlign w:val="center"/>
                </w:tcPr>
                <w:p w14:paraId="54FCC84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耕地农作物植被</w:t>
                  </w:r>
                </w:p>
              </w:tc>
              <w:tc>
                <w:tcPr>
                  <w:tcW w:w="847" w:type="pct"/>
                  <w:tcBorders>
                    <w:tl2br w:val="nil"/>
                    <w:tr2bl w:val="nil"/>
                  </w:tcBorders>
                  <w:shd w:val="clear" w:color="auto" w:fill="auto"/>
                  <w:noWrap/>
                  <w:vAlign w:val="center"/>
                </w:tcPr>
                <w:p w14:paraId="009B5BA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469.754 </w:t>
                  </w:r>
                </w:p>
              </w:tc>
              <w:tc>
                <w:tcPr>
                  <w:tcW w:w="853" w:type="pct"/>
                  <w:tcBorders>
                    <w:tl2br w:val="nil"/>
                    <w:tr2bl w:val="nil"/>
                  </w:tcBorders>
                  <w:shd w:val="clear" w:color="auto" w:fill="auto"/>
                  <w:noWrap/>
                  <w:vAlign w:val="center"/>
                </w:tcPr>
                <w:p w14:paraId="6316E62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35.50 </w:t>
                  </w:r>
                </w:p>
              </w:tc>
            </w:tr>
            <w:tr w14:paraId="6EB6FC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3779F092">
                  <w:pPr>
                    <w:widowControl/>
                    <w:adjustRightInd w:val="0"/>
                    <w:snapToGrid w:val="0"/>
                    <w:jc w:val="center"/>
                    <w:textAlignment w:val="center"/>
                    <w:rPr>
                      <w:rFonts w:ascii="Times New Roman" w:hAnsi="Times New Roman"/>
                      <w:color w:val="auto"/>
                      <w:kern w:val="0"/>
                      <w:szCs w:val="21"/>
                      <w:lang w:bidi="ar"/>
                    </w:rPr>
                  </w:pPr>
                </w:p>
              </w:tc>
              <w:tc>
                <w:tcPr>
                  <w:tcW w:w="438" w:type="pct"/>
                  <w:vMerge w:val="continue"/>
                  <w:tcBorders>
                    <w:tl2br w:val="nil"/>
                    <w:tr2bl w:val="nil"/>
                  </w:tcBorders>
                  <w:shd w:val="clear" w:color="auto" w:fill="auto"/>
                  <w:vAlign w:val="center"/>
                </w:tcPr>
                <w:p w14:paraId="5C0EE75B">
                  <w:pPr>
                    <w:widowControl/>
                    <w:adjustRightInd w:val="0"/>
                    <w:snapToGrid w:val="0"/>
                    <w:jc w:val="center"/>
                    <w:textAlignment w:val="center"/>
                    <w:rPr>
                      <w:rFonts w:ascii="Times New Roman" w:hAnsi="Times New Roman"/>
                      <w:color w:val="auto"/>
                      <w:kern w:val="0"/>
                      <w:szCs w:val="21"/>
                      <w:lang w:bidi="ar"/>
                    </w:rPr>
                  </w:pPr>
                </w:p>
              </w:tc>
              <w:tc>
                <w:tcPr>
                  <w:tcW w:w="2634" w:type="pct"/>
                  <w:gridSpan w:val="3"/>
                  <w:tcBorders>
                    <w:tl2br w:val="nil"/>
                    <w:tr2bl w:val="nil"/>
                  </w:tcBorders>
                  <w:shd w:val="clear" w:color="auto" w:fill="auto"/>
                  <w:vAlign w:val="center"/>
                </w:tcPr>
                <w:p w14:paraId="42CE7CF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小计</w:t>
                  </w:r>
                </w:p>
              </w:tc>
              <w:tc>
                <w:tcPr>
                  <w:tcW w:w="847" w:type="pct"/>
                  <w:tcBorders>
                    <w:tl2br w:val="nil"/>
                    <w:tr2bl w:val="nil"/>
                  </w:tcBorders>
                  <w:shd w:val="clear" w:color="auto" w:fill="auto"/>
                  <w:noWrap/>
                  <w:vAlign w:val="center"/>
                </w:tcPr>
                <w:p w14:paraId="069C6FE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471.892 </w:t>
                  </w:r>
                </w:p>
              </w:tc>
              <w:tc>
                <w:tcPr>
                  <w:tcW w:w="853" w:type="pct"/>
                  <w:tcBorders>
                    <w:tl2br w:val="nil"/>
                    <w:tr2bl w:val="nil"/>
                  </w:tcBorders>
                  <w:shd w:val="clear" w:color="auto" w:fill="auto"/>
                  <w:noWrap/>
                  <w:vAlign w:val="center"/>
                </w:tcPr>
                <w:p w14:paraId="3A7D29BD">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35.66 </w:t>
                  </w:r>
                </w:p>
              </w:tc>
            </w:tr>
            <w:tr w14:paraId="3EB8D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7CF11228">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47527DA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小计</w:t>
                  </w:r>
                </w:p>
              </w:tc>
              <w:tc>
                <w:tcPr>
                  <w:tcW w:w="847" w:type="pct"/>
                  <w:tcBorders>
                    <w:tl2br w:val="nil"/>
                    <w:tr2bl w:val="nil"/>
                  </w:tcBorders>
                  <w:shd w:val="clear" w:color="auto" w:fill="auto"/>
                  <w:noWrap/>
                  <w:vAlign w:val="center"/>
                </w:tcPr>
                <w:p w14:paraId="42AAF92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1282.377 </w:t>
                  </w:r>
                </w:p>
              </w:tc>
              <w:tc>
                <w:tcPr>
                  <w:tcW w:w="853" w:type="pct"/>
                  <w:tcBorders>
                    <w:tl2br w:val="nil"/>
                    <w:tr2bl w:val="nil"/>
                  </w:tcBorders>
                  <w:shd w:val="clear" w:color="auto" w:fill="auto"/>
                  <w:noWrap/>
                  <w:vAlign w:val="center"/>
                </w:tcPr>
                <w:p w14:paraId="34265C89">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96.92 </w:t>
                  </w:r>
                </w:p>
              </w:tc>
            </w:tr>
            <w:tr w14:paraId="6F083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restart"/>
                  <w:tcBorders>
                    <w:tl2br w:val="nil"/>
                    <w:tr2bl w:val="nil"/>
                  </w:tcBorders>
                  <w:shd w:val="clear" w:color="auto" w:fill="auto"/>
                  <w:noWrap/>
                  <w:vAlign w:val="center"/>
                </w:tcPr>
                <w:p w14:paraId="538961C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非植被覆盖</w:t>
                  </w:r>
                </w:p>
              </w:tc>
              <w:tc>
                <w:tcPr>
                  <w:tcW w:w="3072" w:type="pct"/>
                  <w:gridSpan w:val="4"/>
                  <w:tcBorders>
                    <w:tl2br w:val="nil"/>
                    <w:tr2bl w:val="nil"/>
                  </w:tcBorders>
                  <w:shd w:val="clear" w:color="auto" w:fill="auto"/>
                  <w:vAlign w:val="center"/>
                </w:tcPr>
                <w:p w14:paraId="5878C44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住宅用地</w:t>
                  </w:r>
                </w:p>
              </w:tc>
              <w:tc>
                <w:tcPr>
                  <w:tcW w:w="847" w:type="pct"/>
                  <w:tcBorders>
                    <w:tl2br w:val="nil"/>
                    <w:tr2bl w:val="nil"/>
                  </w:tcBorders>
                  <w:shd w:val="clear" w:color="auto" w:fill="auto"/>
                  <w:noWrap/>
                  <w:vAlign w:val="center"/>
                </w:tcPr>
                <w:p w14:paraId="2C0E4EA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14.360 </w:t>
                  </w:r>
                </w:p>
              </w:tc>
              <w:tc>
                <w:tcPr>
                  <w:tcW w:w="853" w:type="pct"/>
                  <w:tcBorders>
                    <w:tl2br w:val="nil"/>
                    <w:tr2bl w:val="nil"/>
                  </w:tcBorders>
                  <w:shd w:val="clear" w:color="auto" w:fill="auto"/>
                  <w:noWrap/>
                  <w:vAlign w:val="center"/>
                </w:tcPr>
                <w:p w14:paraId="3BEC305D">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1.09 </w:t>
                  </w:r>
                </w:p>
              </w:tc>
            </w:tr>
            <w:tr w14:paraId="725ED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28F967E9">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03142B9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工矿企业用地</w:t>
                  </w:r>
                </w:p>
              </w:tc>
              <w:tc>
                <w:tcPr>
                  <w:tcW w:w="847" w:type="pct"/>
                  <w:tcBorders>
                    <w:tl2br w:val="nil"/>
                    <w:tr2bl w:val="nil"/>
                  </w:tcBorders>
                  <w:shd w:val="clear" w:color="auto" w:fill="auto"/>
                  <w:noWrap/>
                  <w:vAlign w:val="center"/>
                </w:tcPr>
                <w:p w14:paraId="37D9007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2.215 </w:t>
                  </w:r>
                </w:p>
              </w:tc>
              <w:tc>
                <w:tcPr>
                  <w:tcW w:w="853" w:type="pct"/>
                  <w:tcBorders>
                    <w:tl2br w:val="nil"/>
                    <w:tr2bl w:val="nil"/>
                  </w:tcBorders>
                  <w:shd w:val="clear" w:color="auto" w:fill="auto"/>
                  <w:noWrap/>
                  <w:vAlign w:val="center"/>
                </w:tcPr>
                <w:p w14:paraId="1AF2DEE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0.17 </w:t>
                  </w:r>
                </w:p>
              </w:tc>
            </w:tr>
            <w:tr w14:paraId="52457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3B30B00B">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55DE604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交通运输用地</w:t>
                  </w:r>
                </w:p>
              </w:tc>
              <w:tc>
                <w:tcPr>
                  <w:tcW w:w="847" w:type="pct"/>
                  <w:tcBorders>
                    <w:tl2br w:val="nil"/>
                    <w:tr2bl w:val="nil"/>
                  </w:tcBorders>
                  <w:shd w:val="clear" w:color="auto" w:fill="auto"/>
                  <w:noWrap/>
                  <w:vAlign w:val="center"/>
                </w:tcPr>
                <w:p w14:paraId="4F1F515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9.923 </w:t>
                  </w:r>
                </w:p>
              </w:tc>
              <w:tc>
                <w:tcPr>
                  <w:tcW w:w="853" w:type="pct"/>
                  <w:tcBorders>
                    <w:tl2br w:val="nil"/>
                    <w:tr2bl w:val="nil"/>
                  </w:tcBorders>
                  <w:shd w:val="clear" w:color="auto" w:fill="auto"/>
                  <w:noWrap/>
                  <w:vAlign w:val="center"/>
                </w:tcPr>
                <w:p w14:paraId="7F7F50A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0.75 </w:t>
                  </w:r>
                </w:p>
              </w:tc>
            </w:tr>
            <w:tr w14:paraId="1D36F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4CFDB9A8">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3CC8499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水域及水利设施用地</w:t>
                  </w:r>
                </w:p>
              </w:tc>
              <w:tc>
                <w:tcPr>
                  <w:tcW w:w="847" w:type="pct"/>
                  <w:tcBorders>
                    <w:tl2br w:val="nil"/>
                    <w:tr2bl w:val="nil"/>
                  </w:tcBorders>
                  <w:shd w:val="clear" w:color="auto" w:fill="auto"/>
                  <w:noWrap/>
                  <w:vAlign w:val="center"/>
                </w:tcPr>
                <w:p w14:paraId="6ABBB40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6.025 </w:t>
                  </w:r>
                </w:p>
              </w:tc>
              <w:tc>
                <w:tcPr>
                  <w:tcW w:w="853" w:type="pct"/>
                  <w:tcBorders>
                    <w:tl2br w:val="nil"/>
                    <w:tr2bl w:val="nil"/>
                  </w:tcBorders>
                  <w:shd w:val="clear" w:color="auto" w:fill="auto"/>
                  <w:noWrap/>
                  <w:vAlign w:val="center"/>
                </w:tcPr>
                <w:p w14:paraId="3DF5E3F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0.46 </w:t>
                  </w:r>
                </w:p>
              </w:tc>
            </w:tr>
            <w:tr w14:paraId="566BD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603DDD48">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405EFA5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其他</w:t>
                  </w:r>
                </w:p>
              </w:tc>
              <w:tc>
                <w:tcPr>
                  <w:tcW w:w="847" w:type="pct"/>
                  <w:tcBorders>
                    <w:tl2br w:val="nil"/>
                    <w:tr2bl w:val="nil"/>
                  </w:tcBorders>
                  <w:shd w:val="clear" w:color="auto" w:fill="auto"/>
                  <w:noWrap/>
                  <w:vAlign w:val="center"/>
                </w:tcPr>
                <w:p w14:paraId="16B66D4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8.272 </w:t>
                  </w:r>
                </w:p>
              </w:tc>
              <w:tc>
                <w:tcPr>
                  <w:tcW w:w="853" w:type="pct"/>
                  <w:tcBorders>
                    <w:tl2br w:val="nil"/>
                    <w:tr2bl w:val="nil"/>
                  </w:tcBorders>
                  <w:shd w:val="clear" w:color="auto" w:fill="auto"/>
                  <w:noWrap/>
                  <w:vAlign w:val="center"/>
                </w:tcPr>
                <w:p w14:paraId="6F8B84A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0.63 </w:t>
                  </w:r>
                </w:p>
              </w:tc>
            </w:tr>
            <w:tr w14:paraId="48A7E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026423B7">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56BAE62A">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小计</w:t>
                  </w:r>
                </w:p>
              </w:tc>
              <w:tc>
                <w:tcPr>
                  <w:tcW w:w="847" w:type="pct"/>
                  <w:tcBorders>
                    <w:tl2br w:val="nil"/>
                    <w:tr2bl w:val="nil"/>
                  </w:tcBorders>
                  <w:shd w:val="clear" w:color="auto" w:fill="auto"/>
                  <w:noWrap/>
                  <w:vAlign w:val="center"/>
                </w:tcPr>
                <w:p w14:paraId="5B1CCC6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40.795 </w:t>
                  </w:r>
                </w:p>
              </w:tc>
              <w:tc>
                <w:tcPr>
                  <w:tcW w:w="853" w:type="pct"/>
                  <w:tcBorders>
                    <w:tl2br w:val="nil"/>
                    <w:tr2bl w:val="nil"/>
                  </w:tcBorders>
                  <w:shd w:val="clear" w:color="auto" w:fill="auto"/>
                  <w:noWrap/>
                  <w:vAlign w:val="center"/>
                </w:tcPr>
                <w:p w14:paraId="7ADB430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3.08 </w:t>
                  </w:r>
                </w:p>
              </w:tc>
            </w:tr>
            <w:tr w14:paraId="5A72D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6" w:type="pct"/>
                  <w:vMerge w:val="continue"/>
                  <w:tcBorders>
                    <w:tl2br w:val="nil"/>
                    <w:tr2bl w:val="nil"/>
                  </w:tcBorders>
                  <w:shd w:val="clear" w:color="auto" w:fill="auto"/>
                  <w:noWrap/>
                  <w:vAlign w:val="center"/>
                </w:tcPr>
                <w:p w14:paraId="6C762434">
                  <w:pPr>
                    <w:widowControl/>
                    <w:adjustRightInd w:val="0"/>
                    <w:snapToGrid w:val="0"/>
                    <w:jc w:val="center"/>
                    <w:textAlignment w:val="center"/>
                    <w:rPr>
                      <w:rFonts w:ascii="Times New Roman" w:hAnsi="Times New Roman"/>
                      <w:color w:val="auto"/>
                      <w:kern w:val="0"/>
                      <w:szCs w:val="21"/>
                      <w:lang w:bidi="ar"/>
                    </w:rPr>
                  </w:pPr>
                </w:p>
              </w:tc>
              <w:tc>
                <w:tcPr>
                  <w:tcW w:w="3072" w:type="pct"/>
                  <w:gridSpan w:val="4"/>
                  <w:tcBorders>
                    <w:tl2br w:val="nil"/>
                    <w:tr2bl w:val="nil"/>
                  </w:tcBorders>
                  <w:shd w:val="clear" w:color="auto" w:fill="auto"/>
                  <w:vAlign w:val="center"/>
                </w:tcPr>
                <w:p w14:paraId="0B57DDD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合计</w:t>
                  </w:r>
                </w:p>
              </w:tc>
              <w:tc>
                <w:tcPr>
                  <w:tcW w:w="847" w:type="pct"/>
                  <w:tcBorders>
                    <w:tl2br w:val="nil"/>
                    <w:tr2bl w:val="nil"/>
                  </w:tcBorders>
                  <w:shd w:val="clear" w:color="auto" w:fill="auto"/>
                  <w:noWrap/>
                  <w:vAlign w:val="center"/>
                </w:tcPr>
                <w:p w14:paraId="44E58FBD">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1323.172 </w:t>
                  </w:r>
                </w:p>
              </w:tc>
              <w:tc>
                <w:tcPr>
                  <w:tcW w:w="853" w:type="pct"/>
                  <w:tcBorders>
                    <w:tl2br w:val="nil"/>
                    <w:tr2bl w:val="nil"/>
                  </w:tcBorders>
                  <w:shd w:val="clear" w:color="auto" w:fill="auto"/>
                  <w:noWrap/>
                  <w:vAlign w:val="center"/>
                </w:tcPr>
                <w:p w14:paraId="35C8265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100.00 </w:t>
                  </w:r>
                </w:p>
              </w:tc>
            </w:tr>
          </w:tbl>
          <w:p w14:paraId="02BE6C6E">
            <w:pPr>
              <w:adjustRightInd w:val="0"/>
              <w:snapToGrid w:val="0"/>
              <w:spacing w:line="440" w:lineRule="exact"/>
              <w:ind w:firstLine="482" w:firstLineChars="200"/>
              <w:rPr>
                <w:rFonts w:ascii="Times New Roman" w:hAnsi="Times New Roman"/>
                <w:b/>
                <w:bCs/>
                <w:color w:val="auto"/>
                <w:sz w:val="24"/>
                <w:szCs w:val="24"/>
                <w:lang w:val="zh-CN"/>
              </w:rPr>
            </w:pPr>
            <w:r>
              <w:rPr>
                <w:rFonts w:hint="eastAsia" w:ascii="Times New Roman" w:hAnsi="Times New Roman"/>
                <w:b/>
                <w:bCs/>
                <w:color w:val="auto"/>
                <w:sz w:val="24"/>
                <w:szCs w:val="24"/>
              </w:rPr>
              <w:t>3.2.1.4</w:t>
            </w:r>
            <w:r>
              <w:rPr>
                <w:rFonts w:ascii="Times New Roman" w:hAnsi="Times New Roman"/>
                <w:b/>
                <w:bCs/>
                <w:color w:val="auto"/>
                <w:sz w:val="24"/>
                <w:szCs w:val="24"/>
                <w:lang w:val="zh-CN"/>
              </w:rPr>
              <w:t>评价区植物资源现状</w:t>
            </w:r>
          </w:p>
          <w:p w14:paraId="5E525B8D">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（1）植物种类</w:t>
            </w:r>
          </w:p>
          <w:p w14:paraId="188F14C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lang w:val="zh-CN"/>
              </w:rPr>
              <w:t>评价区的地带性植被为</w:t>
            </w:r>
            <w:r>
              <w:rPr>
                <w:rFonts w:hint="eastAsia" w:ascii="Times New Roman" w:hAnsi="Times New Roman"/>
                <w:color w:val="auto"/>
                <w:sz w:val="24"/>
                <w:szCs w:val="24"/>
                <w:lang w:val="zh-CN"/>
              </w:rPr>
              <w:t>半湿润常绿阔叶林</w:t>
            </w:r>
            <w:r>
              <w:rPr>
                <w:rFonts w:ascii="Times New Roman" w:hAnsi="Times New Roman"/>
                <w:color w:val="auto"/>
                <w:sz w:val="24"/>
                <w:szCs w:val="24"/>
                <w:lang w:val="zh-CN"/>
              </w:rPr>
              <w:t>，由于人为干扰较严重，区域内原生植被不可见，大部分地段形成了以人为活动为主导的次生性森林植被景观。根据野外考察、室内标本整理鉴定以及相关文献资料查阅，评价区共记录有维管植物469种（包含种下等级），隶属于</w:t>
            </w:r>
            <w:r>
              <w:rPr>
                <w:rFonts w:ascii="Times New Roman" w:hAnsi="Times New Roman"/>
                <w:color w:val="auto"/>
                <w:sz w:val="24"/>
                <w:szCs w:val="24"/>
              </w:rPr>
              <w:t>102</w:t>
            </w:r>
            <w:r>
              <w:rPr>
                <w:rFonts w:ascii="Times New Roman" w:hAnsi="Times New Roman"/>
                <w:color w:val="auto"/>
                <w:sz w:val="24"/>
                <w:szCs w:val="24"/>
                <w:lang w:val="zh-CN"/>
              </w:rPr>
              <w:t>科、</w:t>
            </w:r>
            <w:r>
              <w:rPr>
                <w:rFonts w:ascii="Times New Roman" w:hAnsi="Times New Roman"/>
                <w:color w:val="auto"/>
                <w:sz w:val="24"/>
                <w:szCs w:val="24"/>
              </w:rPr>
              <w:t>335</w:t>
            </w:r>
            <w:r>
              <w:rPr>
                <w:rFonts w:ascii="Times New Roman" w:hAnsi="Times New Roman"/>
                <w:color w:val="auto"/>
                <w:sz w:val="24"/>
                <w:szCs w:val="24"/>
                <w:lang w:val="zh-CN"/>
              </w:rPr>
              <w:t>属。其中蕨类植物有</w:t>
            </w:r>
            <w:r>
              <w:rPr>
                <w:rFonts w:ascii="Times New Roman" w:hAnsi="Times New Roman"/>
                <w:color w:val="auto"/>
                <w:sz w:val="24"/>
                <w:szCs w:val="24"/>
              </w:rPr>
              <w:t>11</w:t>
            </w:r>
            <w:r>
              <w:rPr>
                <w:rFonts w:ascii="Times New Roman" w:hAnsi="Times New Roman"/>
                <w:color w:val="auto"/>
                <w:sz w:val="24"/>
                <w:szCs w:val="24"/>
                <w:lang w:val="zh-CN"/>
              </w:rPr>
              <w:t>科、</w:t>
            </w:r>
            <w:r>
              <w:rPr>
                <w:rFonts w:ascii="Times New Roman" w:hAnsi="Times New Roman"/>
                <w:color w:val="auto"/>
                <w:sz w:val="24"/>
                <w:szCs w:val="24"/>
              </w:rPr>
              <w:t>15</w:t>
            </w:r>
            <w:r>
              <w:rPr>
                <w:rFonts w:ascii="Times New Roman" w:hAnsi="Times New Roman"/>
                <w:color w:val="auto"/>
                <w:sz w:val="24"/>
                <w:szCs w:val="24"/>
                <w:lang w:val="zh-CN"/>
              </w:rPr>
              <w:t>属、</w:t>
            </w:r>
            <w:r>
              <w:rPr>
                <w:rFonts w:ascii="Times New Roman" w:hAnsi="Times New Roman"/>
                <w:color w:val="auto"/>
                <w:sz w:val="24"/>
                <w:szCs w:val="24"/>
              </w:rPr>
              <w:t>19</w:t>
            </w:r>
            <w:r>
              <w:rPr>
                <w:rFonts w:ascii="Times New Roman" w:hAnsi="Times New Roman"/>
                <w:color w:val="auto"/>
                <w:sz w:val="24"/>
                <w:szCs w:val="24"/>
                <w:lang w:val="zh-CN"/>
              </w:rPr>
              <w:t>种；裸子植物有3科、4属、5种；被子植物有</w:t>
            </w:r>
            <w:r>
              <w:rPr>
                <w:rFonts w:ascii="Times New Roman" w:hAnsi="Times New Roman"/>
                <w:color w:val="auto"/>
                <w:sz w:val="24"/>
                <w:szCs w:val="24"/>
              </w:rPr>
              <w:t>88</w:t>
            </w:r>
            <w:r>
              <w:rPr>
                <w:rFonts w:ascii="Times New Roman" w:hAnsi="Times New Roman"/>
                <w:color w:val="auto"/>
                <w:sz w:val="24"/>
                <w:szCs w:val="24"/>
                <w:lang w:val="zh-CN"/>
              </w:rPr>
              <w:t>科、316属、445种。</w:t>
            </w:r>
            <w:r>
              <w:rPr>
                <w:rFonts w:ascii="Times New Roman" w:hAnsi="Times New Roman"/>
                <w:iCs/>
                <w:color w:val="auto"/>
                <w:spacing w:val="-12"/>
                <w:sz w:val="24"/>
                <w:szCs w:val="24"/>
              </w:rPr>
              <w:t>详见下表。</w:t>
            </w:r>
          </w:p>
          <w:p w14:paraId="441CFDFE">
            <w:pPr>
              <w:tabs>
                <w:tab w:val="left" w:pos="3260"/>
                <w:tab w:val="center" w:pos="4917"/>
              </w:tabs>
              <w:adjustRightInd w:val="0"/>
              <w:snapToGrid w:val="0"/>
              <w:ind w:firstLine="482"/>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3-5</w:t>
            </w:r>
            <w:r>
              <w:rPr>
                <w:rFonts w:ascii="Times New Roman" w:hAnsi="Times New Roman"/>
                <w:b/>
                <w:color w:val="auto"/>
                <w:sz w:val="24"/>
                <w:szCs w:val="24"/>
              </w:rPr>
              <w:t xml:space="preserve">  评价区维管束植物组成</w:t>
            </w:r>
          </w:p>
          <w:tbl>
            <w:tblPr>
              <w:tblStyle w:val="27"/>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888"/>
              <w:gridCol w:w="1701"/>
              <w:gridCol w:w="1791"/>
              <w:gridCol w:w="1818"/>
            </w:tblGrid>
            <w:tr w14:paraId="57819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2748E21A">
                  <w:pPr>
                    <w:widowControl/>
                    <w:adjustRightInd w:val="0"/>
                    <w:snapToGrid w:val="0"/>
                    <w:jc w:val="center"/>
                    <w:rPr>
                      <w:rFonts w:ascii="Times New Roman" w:hAnsi="Times New Roman"/>
                      <w:b/>
                      <w:bCs/>
                      <w:color w:val="auto"/>
                      <w:szCs w:val="21"/>
                    </w:rPr>
                  </w:pPr>
                  <w:r>
                    <w:rPr>
                      <w:rFonts w:ascii="Times New Roman" w:hAnsi="Times New Roman"/>
                      <w:b/>
                      <w:bCs/>
                      <w:color w:val="auto"/>
                      <w:szCs w:val="21"/>
                    </w:rPr>
                    <w:t>统计项目</w:t>
                  </w:r>
                </w:p>
              </w:tc>
              <w:tc>
                <w:tcPr>
                  <w:tcW w:w="1019" w:type="pct"/>
                  <w:vMerge w:val="restart"/>
                  <w:tcBorders>
                    <w:tl2br w:val="nil"/>
                    <w:tr2bl w:val="nil"/>
                  </w:tcBorders>
                  <w:shd w:val="clear" w:color="auto" w:fill="auto"/>
                  <w:noWrap/>
                  <w:vAlign w:val="center"/>
                </w:tcPr>
                <w:p w14:paraId="3216B758">
                  <w:pPr>
                    <w:widowControl/>
                    <w:adjustRightInd w:val="0"/>
                    <w:snapToGrid w:val="0"/>
                    <w:jc w:val="center"/>
                    <w:rPr>
                      <w:rFonts w:ascii="Times New Roman" w:hAnsi="Times New Roman"/>
                      <w:b/>
                      <w:bCs/>
                      <w:color w:val="auto"/>
                      <w:szCs w:val="21"/>
                    </w:rPr>
                  </w:pPr>
                  <w:r>
                    <w:rPr>
                      <w:rFonts w:ascii="Times New Roman" w:hAnsi="Times New Roman"/>
                      <w:b/>
                      <w:bCs/>
                      <w:color w:val="auto"/>
                      <w:szCs w:val="21"/>
                    </w:rPr>
                    <w:t>科</w:t>
                  </w:r>
                </w:p>
              </w:tc>
              <w:tc>
                <w:tcPr>
                  <w:tcW w:w="1073" w:type="pct"/>
                  <w:vMerge w:val="restart"/>
                  <w:tcBorders>
                    <w:tl2br w:val="nil"/>
                    <w:tr2bl w:val="nil"/>
                  </w:tcBorders>
                  <w:shd w:val="clear" w:color="auto" w:fill="auto"/>
                  <w:noWrap/>
                  <w:vAlign w:val="center"/>
                </w:tcPr>
                <w:p w14:paraId="2C8471C7">
                  <w:pPr>
                    <w:widowControl/>
                    <w:adjustRightInd w:val="0"/>
                    <w:snapToGrid w:val="0"/>
                    <w:jc w:val="center"/>
                    <w:rPr>
                      <w:rFonts w:ascii="Times New Roman" w:hAnsi="Times New Roman"/>
                      <w:b/>
                      <w:bCs/>
                      <w:color w:val="auto"/>
                      <w:szCs w:val="21"/>
                    </w:rPr>
                  </w:pPr>
                  <w:r>
                    <w:rPr>
                      <w:rFonts w:ascii="Times New Roman" w:hAnsi="Times New Roman"/>
                      <w:b/>
                      <w:bCs/>
                      <w:color w:val="auto"/>
                      <w:szCs w:val="21"/>
                    </w:rPr>
                    <w:t>属</w:t>
                  </w:r>
                </w:p>
              </w:tc>
              <w:tc>
                <w:tcPr>
                  <w:tcW w:w="1089" w:type="pct"/>
                  <w:vMerge w:val="restart"/>
                  <w:tcBorders>
                    <w:tl2br w:val="nil"/>
                    <w:tr2bl w:val="nil"/>
                  </w:tcBorders>
                  <w:shd w:val="clear" w:color="auto" w:fill="auto"/>
                  <w:noWrap/>
                  <w:vAlign w:val="center"/>
                </w:tcPr>
                <w:p w14:paraId="700DABB8">
                  <w:pPr>
                    <w:widowControl/>
                    <w:adjustRightInd w:val="0"/>
                    <w:snapToGrid w:val="0"/>
                    <w:jc w:val="center"/>
                    <w:rPr>
                      <w:rFonts w:ascii="Times New Roman" w:hAnsi="Times New Roman"/>
                      <w:b/>
                      <w:bCs/>
                      <w:color w:val="auto"/>
                      <w:szCs w:val="21"/>
                    </w:rPr>
                  </w:pPr>
                  <w:r>
                    <w:rPr>
                      <w:rFonts w:ascii="Times New Roman" w:hAnsi="Times New Roman"/>
                      <w:b/>
                      <w:bCs/>
                      <w:color w:val="auto"/>
                      <w:szCs w:val="21"/>
                    </w:rPr>
                    <w:t>种</w:t>
                  </w:r>
                </w:p>
              </w:tc>
            </w:tr>
            <w:tr w14:paraId="015E3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216AF838">
                  <w:pPr>
                    <w:widowControl/>
                    <w:adjustRightInd w:val="0"/>
                    <w:snapToGrid w:val="0"/>
                    <w:jc w:val="center"/>
                    <w:rPr>
                      <w:rFonts w:ascii="Times New Roman" w:hAnsi="Times New Roman"/>
                      <w:b/>
                      <w:bCs/>
                      <w:color w:val="auto"/>
                      <w:szCs w:val="21"/>
                    </w:rPr>
                  </w:pPr>
                  <w:r>
                    <w:rPr>
                      <w:rFonts w:ascii="Times New Roman" w:hAnsi="Times New Roman"/>
                      <w:b/>
                      <w:bCs/>
                      <w:color w:val="auto"/>
                      <w:szCs w:val="21"/>
                    </w:rPr>
                    <w:t>植物类型</w:t>
                  </w:r>
                </w:p>
              </w:tc>
              <w:tc>
                <w:tcPr>
                  <w:tcW w:w="1019" w:type="pct"/>
                  <w:vMerge w:val="continue"/>
                  <w:tcBorders>
                    <w:tl2br w:val="nil"/>
                    <w:tr2bl w:val="nil"/>
                  </w:tcBorders>
                  <w:vAlign w:val="center"/>
                </w:tcPr>
                <w:p w14:paraId="1FC134D8">
                  <w:pPr>
                    <w:widowControl/>
                    <w:adjustRightInd w:val="0"/>
                    <w:snapToGrid w:val="0"/>
                    <w:jc w:val="center"/>
                    <w:rPr>
                      <w:rFonts w:ascii="Times New Roman" w:hAnsi="Times New Roman"/>
                      <w:b/>
                      <w:bCs/>
                      <w:color w:val="auto"/>
                      <w:szCs w:val="21"/>
                    </w:rPr>
                  </w:pPr>
                </w:p>
              </w:tc>
              <w:tc>
                <w:tcPr>
                  <w:tcW w:w="1073" w:type="pct"/>
                  <w:vMerge w:val="continue"/>
                  <w:tcBorders>
                    <w:tl2br w:val="nil"/>
                    <w:tr2bl w:val="nil"/>
                  </w:tcBorders>
                  <w:vAlign w:val="center"/>
                </w:tcPr>
                <w:p w14:paraId="5214F44C">
                  <w:pPr>
                    <w:widowControl/>
                    <w:adjustRightInd w:val="0"/>
                    <w:snapToGrid w:val="0"/>
                    <w:jc w:val="center"/>
                    <w:rPr>
                      <w:rFonts w:ascii="Times New Roman" w:hAnsi="Times New Roman"/>
                      <w:b/>
                      <w:bCs/>
                      <w:color w:val="auto"/>
                      <w:szCs w:val="21"/>
                    </w:rPr>
                  </w:pPr>
                </w:p>
              </w:tc>
              <w:tc>
                <w:tcPr>
                  <w:tcW w:w="1089" w:type="pct"/>
                  <w:vMerge w:val="continue"/>
                  <w:tcBorders>
                    <w:tl2br w:val="nil"/>
                    <w:tr2bl w:val="nil"/>
                  </w:tcBorders>
                  <w:vAlign w:val="center"/>
                </w:tcPr>
                <w:p w14:paraId="08ECD96F">
                  <w:pPr>
                    <w:widowControl/>
                    <w:adjustRightInd w:val="0"/>
                    <w:snapToGrid w:val="0"/>
                    <w:jc w:val="center"/>
                    <w:rPr>
                      <w:rFonts w:ascii="Times New Roman" w:hAnsi="Times New Roman"/>
                      <w:b/>
                      <w:bCs/>
                      <w:color w:val="auto"/>
                      <w:szCs w:val="21"/>
                    </w:rPr>
                  </w:pPr>
                </w:p>
              </w:tc>
            </w:tr>
            <w:tr w14:paraId="746C3A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16A234DE">
                  <w:pPr>
                    <w:widowControl/>
                    <w:adjustRightInd w:val="0"/>
                    <w:snapToGrid w:val="0"/>
                    <w:jc w:val="center"/>
                    <w:rPr>
                      <w:rFonts w:ascii="Times New Roman" w:hAnsi="Times New Roman"/>
                      <w:color w:val="auto"/>
                      <w:szCs w:val="21"/>
                    </w:rPr>
                  </w:pPr>
                  <w:r>
                    <w:rPr>
                      <w:rFonts w:ascii="Times New Roman" w:hAnsi="Times New Roman"/>
                      <w:color w:val="auto"/>
                      <w:szCs w:val="21"/>
                    </w:rPr>
                    <w:t>蕨类植物</w:t>
                  </w:r>
                </w:p>
              </w:tc>
              <w:tc>
                <w:tcPr>
                  <w:tcW w:w="1019" w:type="pct"/>
                  <w:tcBorders>
                    <w:tl2br w:val="nil"/>
                    <w:tr2bl w:val="nil"/>
                  </w:tcBorders>
                  <w:shd w:val="clear" w:color="auto" w:fill="auto"/>
                  <w:noWrap/>
                  <w:vAlign w:val="center"/>
                </w:tcPr>
                <w:p w14:paraId="67D2F526">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11</w:t>
                  </w:r>
                </w:p>
              </w:tc>
              <w:tc>
                <w:tcPr>
                  <w:tcW w:w="1073" w:type="pct"/>
                  <w:tcBorders>
                    <w:tl2br w:val="nil"/>
                    <w:tr2bl w:val="nil"/>
                  </w:tcBorders>
                  <w:shd w:val="clear" w:color="auto" w:fill="auto"/>
                  <w:noWrap/>
                  <w:vAlign w:val="center"/>
                </w:tcPr>
                <w:p w14:paraId="2313A99B">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15</w:t>
                  </w:r>
                </w:p>
              </w:tc>
              <w:tc>
                <w:tcPr>
                  <w:tcW w:w="1089" w:type="pct"/>
                  <w:tcBorders>
                    <w:tl2br w:val="nil"/>
                    <w:tr2bl w:val="nil"/>
                  </w:tcBorders>
                  <w:shd w:val="clear" w:color="auto" w:fill="auto"/>
                  <w:noWrap/>
                  <w:vAlign w:val="center"/>
                </w:tcPr>
                <w:p w14:paraId="445E6597">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19</w:t>
                  </w:r>
                </w:p>
              </w:tc>
            </w:tr>
            <w:tr w14:paraId="46583E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7702C43E">
                  <w:pPr>
                    <w:widowControl/>
                    <w:adjustRightInd w:val="0"/>
                    <w:snapToGrid w:val="0"/>
                    <w:jc w:val="center"/>
                    <w:rPr>
                      <w:rFonts w:ascii="Times New Roman" w:hAnsi="Times New Roman"/>
                      <w:color w:val="auto"/>
                      <w:szCs w:val="21"/>
                    </w:rPr>
                  </w:pPr>
                  <w:r>
                    <w:rPr>
                      <w:rFonts w:ascii="Times New Roman" w:hAnsi="Times New Roman"/>
                      <w:color w:val="auto"/>
                      <w:szCs w:val="21"/>
                    </w:rPr>
                    <w:t>裸子植物</w:t>
                  </w:r>
                </w:p>
              </w:tc>
              <w:tc>
                <w:tcPr>
                  <w:tcW w:w="1019" w:type="pct"/>
                  <w:tcBorders>
                    <w:tl2br w:val="nil"/>
                    <w:tr2bl w:val="nil"/>
                  </w:tcBorders>
                  <w:shd w:val="clear" w:color="auto" w:fill="auto"/>
                  <w:noWrap/>
                  <w:vAlign w:val="center"/>
                </w:tcPr>
                <w:p w14:paraId="402F846C">
                  <w:pPr>
                    <w:widowControl/>
                    <w:adjustRightInd w:val="0"/>
                    <w:snapToGrid w:val="0"/>
                    <w:jc w:val="center"/>
                    <w:rPr>
                      <w:rFonts w:ascii="Times New Roman" w:hAnsi="Times New Roman"/>
                      <w:color w:val="auto"/>
                      <w:szCs w:val="21"/>
                    </w:rPr>
                  </w:pPr>
                  <w:r>
                    <w:rPr>
                      <w:rFonts w:ascii="Times New Roman" w:hAnsi="Times New Roman"/>
                      <w:color w:val="auto"/>
                      <w:szCs w:val="21"/>
                    </w:rPr>
                    <w:t>3</w:t>
                  </w:r>
                </w:p>
              </w:tc>
              <w:tc>
                <w:tcPr>
                  <w:tcW w:w="1073" w:type="pct"/>
                  <w:tcBorders>
                    <w:tl2br w:val="nil"/>
                    <w:tr2bl w:val="nil"/>
                  </w:tcBorders>
                  <w:shd w:val="clear" w:color="auto" w:fill="auto"/>
                  <w:noWrap/>
                  <w:vAlign w:val="center"/>
                </w:tcPr>
                <w:p w14:paraId="79F7ED7C">
                  <w:pPr>
                    <w:widowControl/>
                    <w:adjustRightInd w:val="0"/>
                    <w:snapToGrid w:val="0"/>
                    <w:jc w:val="center"/>
                    <w:rPr>
                      <w:rFonts w:ascii="Times New Roman" w:hAnsi="Times New Roman"/>
                      <w:color w:val="auto"/>
                      <w:szCs w:val="21"/>
                    </w:rPr>
                  </w:pPr>
                  <w:r>
                    <w:rPr>
                      <w:rFonts w:ascii="Times New Roman" w:hAnsi="Times New Roman"/>
                      <w:color w:val="auto"/>
                      <w:szCs w:val="21"/>
                    </w:rPr>
                    <w:t>4</w:t>
                  </w:r>
                </w:p>
              </w:tc>
              <w:tc>
                <w:tcPr>
                  <w:tcW w:w="1089" w:type="pct"/>
                  <w:tcBorders>
                    <w:tl2br w:val="nil"/>
                    <w:tr2bl w:val="nil"/>
                  </w:tcBorders>
                  <w:shd w:val="clear" w:color="auto" w:fill="auto"/>
                  <w:noWrap/>
                  <w:vAlign w:val="center"/>
                </w:tcPr>
                <w:p w14:paraId="375EAE7A">
                  <w:pPr>
                    <w:widowControl/>
                    <w:adjustRightInd w:val="0"/>
                    <w:snapToGrid w:val="0"/>
                    <w:jc w:val="center"/>
                    <w:rPr>
                      <w:rFonts w:ascii="Times New Roman" w:hAnsi="Times New Roman"/>
                      <w:color w:val="auto"/>
                      <w:szCs w:val="21"/>
                    </w:rPr>
                  </w:pPr>
                  <w:r>
                    <w:rPr>
                      <w:rFonts w:ascii="Times New Roman" w:hAnsi="Times New Roman"/>
                      <w:color w:val="auto"/>
                      <w:szCs w:val="21"/>
                    </w:rPr>
                    <w:t>5</w:t>
                  </w:r>
                </w:p>
              </w:tc>
            </w:tr>
            <w:tr w14:paraId="53D59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restart"/>
                  <w:tcBorders>
                    <w:tl2br w:val="nil"/>
                    <w:tr2bl w:val="nil"/>
                  </w:tcBorders>
                  <w:vAlign w:val="center"/>
                </w:tcPr>
                <w:p w14:paraId="42699A8A">
                  <w:pPr>
                    <w:widowControl/>
                    <w:adjustRightInd w:val="0"/>
                    <w:snapToGrid w:val="0"/>
                    <w:jc w:val="center"/>
                    <w:rPr>
                      <w:rFonts w:ascii="Times New Roman" w:hAnsi="Times New Roman"/>
                      <w:color w:val="auto"/>
                      <w:szCs w:val="21"/>
                    </w:rPr>
                  </w:pPr>
                  <w:r>
                    <w:rPr>
                      <w:rFonts w:ascii="Times New Roman" w:hAnsi="Times New Roman"/>
                      <w:color w:val="auto"/>
                      <w:szCs w:val="21"/>
                    </w:rPr>
                    <w:t>被子植物</w:t>
                  </w:r>
                </w:p>
              </w:tc>
              <w:tc>
                <w:tcPr>
                  <w:tcW w:w="1130" w:type="pct"/>
                  <w:tcBorders>
                    <w:tl2br w:val="nil"/>
                    <w:tr2bl w:val="nil"/>
                  </w:tcBorders>
                  <w:vAlign w:val="center"/>
                </w:tcPr>
                <w:p w14:paraId="685A673D">
                  <w:pPr>
                    <w:widowControl/>
                    <w:adjustRightInd w:val="0"/>
                    <w:snapToGrid w:val="0"/>
                    <w:jc w:val="center"/>
                    <w:rPr>
                      <w:rFonts w:ascii="Times New Roman" w:hAnsi="Times New Roman"/>
                      <w:color w:val="auto"/>
                      <w:szCs w:val="21"/>
                    </w:rPr>
                  </w:pPr>
                  <w:r>
                    <w:rPr>
                      <w:rFonts w:ascii="Times New Roman" w:hAnsi="Times New Roman"/>
                      <w:color w:val="auto"/>
                      <w:szCs w:val="21"/>
                    </w:rPr>
                    <w:t>双子叶植物</w:t>
                  </w:r>
                </w:p>
              </w:tc>
              <w:tc>
                <w:tcPr>
                  <w:tcW w:w="1019" w:type="pct"/>
                  <w:tcBorders>
                    <w:tl2br w:val="nil"/>
                    <w:tr2bl w:val="nil"/>
                  </w:tcBorders>
                  <w:shd w:val="clear" w:color="auto" w:fill="auto"/>
                  <w:noWrap/>
                  <w:vAlign w:val="center"/>
                </w:tcPr>
                <w:p w14:paraId="6F377775">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7</w:t>
                  </w:r>
                  <w:r>
                    <w:rPr>
                      <w:rFonts w:ascii="Times New Roman" w:hAnsi="Times New Roman"/>
                      <w:color w:val="auto"/>
                      <w:szCs w:val="21"/>
                    </w:rPr>
                    <w:t>9</w:t>
                  </w:r>
                </w:p>
              </w:tc>
              <w:tc>
                <w:tcPr>
                  <w:tcW w:w="1073" w:type="pct"/>
                  <w:tcBorders>
                    <w:tl2br w:val="nil"/>
                    <w:tr2bl w:val="nil"/>
                  </w:tcBorders>
                  <w:shd w:val="clear" w:color="auto" w:fill="auto"/>
                  <w:noWrap/>
                  <w:vAlign w:val="center"/>
                </w:tcPr>
                <w:p w14:paraId="3DEEBDB6">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2</w:t>
                  </w:r>
                  <w:r>
                    <w:rPr>
                      <w:rFonts w:ascii="Times New Roman" w:hAnsi="Times New Roman"/>
                      <w:color w:val="auto"/>
                      <w:szCs w:val="21"/>
                    </w:rPr>
                    <w:t>57</w:t>
                  </w:r>
                </w:p>
              </w:tc>
              <w:tc>
                <w:tcPr>
                  <w:tcW w:w="1089" w:type="pct"/>
                  <w:tcBorders>
                    <w:tl2br w:val="nil"/>
                    <w:tr2bl w:val="nil"/>
                  </w:tcBorders>
                  <w:shd w:val="clear" w:color="auto" w:fill="auto"/>
                  <w:noWrap/>
                  <w:vAlign w:val="center"/>
                </w:tcPr>
                <w:p w14:paraId="0AF0D2DA">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3</w:t>
                  </w:r>
                  <w:r>
                    <w:rPr>
                      <w:rFonts w:ascii="Times New Roman" w:hAnsi="Times New Roman"/>
                      <w:color w:val="auto"/>
                      <w:szCs w:val="21"/>
                    </w:rPr>
                    <w:t>60</w:t>
                  </w:r>
                </w:p>
              </w:tc>
            </w:tr>
            <w:tr w14:paraId="6792B8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Borders>
                    <w:tl2br w:val="nil"/>
                    <w:tr2bl w:val="nil"/>
                  </w:tcBorders>
                  <w:vAlign w:val="center"/>
                </w:tcPr>
                <w:p w14:paraId="4558CFCE">
                  <w:pPr>
                    <w:widowControl/>
                    <w:adjustRightInd w:val="0"/>
                    <w:snapToGrid w:val="0"/>
                    <w:jc w:val="center"/>
                    <w:rPr>
                      <w:rFonts w:ascii="Times New Roman" w:hAnsi="Times New Roman"/>
                      <w:color w:val="auto"/>
                      <w:szCs w:val="21"/>
                    </w:rPr>
                  </w:pPr>
                </w:p>
              </w:tc>
              <w:tc>
                <w:tcPr>
                  <w:tcW w:w="1130" w:type="pct"/>
                  <w:tcBorders>
                    <w:tl2br w:val="nil"/>
                    <w:tr2bl w:val="nil"/>
                  </w:tcBorders>
                  <w:vAlign w:val="center"/>
                </w:tcPr>
                <w:p w14:paraId="7B28EB26">
                  <w:pPr>
                    <w:widowControl/>
                    <w:adjustRightInd w:val="0"/>
                    <w:snapToGrid w:val="0"/>
                    <w:jc w:val="center"/>
                    <w:rPr>
                      <w:rFonts w:ascii="Times New Roman" w:hAnsi="Times New Roman"/>
                      <w:color w:val="auto"/>
                      <w:szCs w:val="21"/>
                    </w:rPr>
                  </w:pPr>
                  <w:r>
                    <w:rPr>
                      <w:rFonts w:ascii="Times New Roman" w:hAnsi="Times New Roman"/>
                      <w:color w:val="auto"/>
                      <w:szCs w:val="21"/>
                    </w:rPr>
                    <w:t>单子叶植物</w:t>
                  </w:r>
                </w:p>
              </w:tc>
              <w:tc>
                <w:tcPr>
                  <w:tcW w:w="1019" w:type="pct"/>
                  <w:tcBorders>
                    <w:tl2br w:val="nil"/>
                    <w:tr2bl w:val="nil"/>
                  </w:tcBorders>
                  <w:shd w:val="clear" w:color="auto" w:fill="auto"/>
                  <w:noWrap/>
                  <w:vAlign w:val="center"/>
                </w:tcPr>
                <w:p w14:paraId="6BD1FE6C">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9</w:t>
                  </w:r>
                </w:p>
              </w:tc>
              <w:tc>
                <w:tcPr>
                  <w:tcW w:w="1073" w:type="pct"/>
                  <w:tcBorders>
                    <w:tl2br w:val="nil"/>
                    <w:tr2bl w:val="nil"/>
                  </w:tcBorders>
                  <w:shd w:val="clear" w:color="auto" w:fill="auto"/>
                  <w:noWrap/>
                  <w:vAlign w:val="center"/>
                </w:tcPr>
                <w:p w14:paraId="721A6B8B">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59</w:t>
                  </w:r>
                </w:p>
              </w:tc>
              <w:tc>
                <w:tcPr>
                  <w:tcW w:w="1089" w:type="pct"/>
                  <w:tcBorders>
                    <w:tl2br w:val="nil"/>
                    <w:tr2bl w:val="nil"/>
                  </w:tcBorders>
                  <w:shd w:val="clear" w:color="auto" w:fill="auto"/>
                  <w:noWrap/>
                  <w:vAlign w:val="center"/>
                </w:tcPr>
                <w:p w14:paraId="7A9CAC81">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85</w:t>
                  </w:r>
                </w:p>
              </w:tc>
            </w:tr>
            <w:tr w14:paraId="24CA4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Borders>
                    <w:tl2br w:val="nil"/>
                    <w:tr2bl w:val="nil"/>
                  </w:tcBorders>
                  <w:vAlign w:val="center"/>
                </w:tcPr>
                <w:p w14:paraId="02B0F5DD">
                  <w:pPr>
                    <w:widowControl/>
                    <w:adjustRightInd w:val="0"/>
                    <w:snapToGrid w:val="0"/>
                    <w:jc w:val="center"/>
                    <w:rPr>
                      <w:rFonts w:ascii="Times New Roman" w:hAnsi="Times New Roman"/>
                      <w:color w:val="auto"/>
                      <w:szCs w:val="21"/>
                    </w:rPr>
                  </w:pPr>
                </w:p>
              </w:tc>
              <w:tc>
                <w:tcPr>
                  <w:tcW w:w="1130" w:type="pct"/>
                  <w:tcBorders>
                    <w:tl2br w:val="nil"/>
                    <w:tr2bl w:val="nil"/>
                  </w:tcBorders>
                  <w:vAlign w:val="center"/>
                </w:tcPr>
                <w:p w14:paraId="59D4CC64">
                  <w:pPr>
                    <w:widowControl/>
                    <w:adjustRightInd w:val="0"/>
                    <w:snapToGrid w:val="0"/>
                    <w:jc w:val="center"/>
                    <w:rPr>
                      <w:rFonts w:ascii="Times New Roman" w:hAnsi="Times New Roman"/>
                      <w:color w:val="auto"/>
                      <w:szCs w:val="21"/>
                    </w:rPr>
                  </w:pPr>
                  <w:r>
                    <w:rPr>
                      <w:rFonts w:ascii="Times New Roman" w:hAnsi="Times New Roman"/>
                      <w:color w:val="auto"/>
                      <w:szCs w:val="21"/>
                    </w:rPr>
                    <w:t>小计</w:t>
                  </w:r>
                </w:p>
              </w:tc>
              <w:tc>
                <w:tcPr>
                  <w:tcW w:w="1019" w:type="pct"/>
                  <w:tcBorders>
                    <w:tl2br w:val="nil"/>
                    <w:tr2bl w:val="nil"/>
                  </w:tcBorders>
                  <w:shd w:val="clear" w:color="auto" w:fill="auto"/>
                  <w:noWrap/>
                  <w:vAlign w:val="center"/>
                </w:tcPr>
                <w:p w14:paraId="53B1FF81">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8</w:t>
                  </w:r>
                  <w:r>
                    <w:rPr>
                      <w:rFonts w:ascii="Times New Roman" w:hAnsi="Times New Roman"/>
                      <w:color w:val="auto"/>
                      <w:szCs w:val="21"/>
                    </w:rPr>
                    <w:t>8</w:t>
                  </w:r>
                </w:p>
              </w:tc>
              <w:tc>
                <w:tcPr>
                  <w:tcW w:w="1073" w:type="pct"/>
                  <w:tcBorders>
                    <w:tl2br w:val="nil"/>
                    <w:tr2bl w:val="nil"/>
                  </w:tcBorders>
                  <w:shd w:val="clear" w:color="auto" w:fill="auto"/>
                  <w:noWrap/>
                  <w:vAlign w:val="center"/>
                </w:tcPr>
                <w:p w14:paraId="6EA3ED46">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3</w:t>
                  </w:r>
                  <w:r>
                    <w:rPr>
                      <w:rFonts w:ascii="Times New Roman" w:hAnsi="Times New Roman"/>
                      <w:color w:val="auto"/>
                      <w:szCs w:val="21"/>
                    </w:rPr>
                    <w:t>16</w:t>
                  </w:r>
                </w:p>
              </w:tc>
              <w:tc>
                <w:tcPr>
                  <w:tcW w:w="1089" w:type="pct"/>
                  <w:tcBorders>
                    <w:tl2br w:val="nil"/>
                    <w:tr2bl w:val="nil"/>
                  </w:tcBorders>
                  <w:shd w:val="clear" w:color="auto" w:fill="auto"/>
                  <w:noWrap/>
                  <w:vAlign w:val="center"/>
                </w:tcPr>
                <w:p w14:paraId="21D28879">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4</w:t>
                  </w:r>
                  <w:r>
                    <w:rPr>
                      <w:rFonts w:ascii="Times New Roman" w:hAnsi="Times New Roman"/>
                      <w:color w:val="auto"/>
                      <w:szCs w:val="21"/>
                    </w:rPr>
                    <w:t>45</w:t>
                  </w:r>
                </w:p>
              </w:tc>
            </w:tr>
            <w:tr w14:paraId="2293E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0049FE7B">
                  <w:pPr>
                    <w:widowControl/>
                    <w:adjustRightInd w:val="0"/>
                    <w:snapToGrid w:val="0"/>
                    <w:jc w:val="center"/>
                    <w:rPr>
                      <w:rFonts w:ascii="Times New Roman" w:hAnsi="Times New Roman"/>
                      <w:color w:val="auto"/>
                      <w:szCs w:val="21"/>
                    </w:rPr>
                  </w:pPr>
                  <w:r>
                    <w:rPr>
                      <w:rFonts w:ascii="Times New Roman" w:hAnsi="Times New Roman"/>
                      <w:color w:val="auto"/>
                      <w:szCs w:val="21"/>
                    </w:rPr>
                    <w:t>合 计</w:t>
                  </w:r>
                </w:p>
              </w:tc>
              <w:tc>
                <w:tcPr>
                  <w:tcW w:w="1019" w:type="pct"/>
                  <w:tcBorders>
                    <w:tl2br w:val="nil"/>
                    <w:tr2bl w:val="nil"/>
                  </w:tcBorders>
                  <w:shd w:val="clear" w:color="auto" w:fill="auto"/>
                  <w:noWrap/>
                  <w:vAlign w:val="center"/>
                </w:tcPr>
                <w:p w14:paraId="31B45A39">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02</w:t>
                  </w:r>
                </w:p>
              </w:tc>
              <w:tc>
                <w:tcPr>
                  <w:tcW w:w="1073" w:type="pct"/>
                  <w:tcBorders>
                    <w:tl2br w:val="nil"/>
                    <w:tr2bl w:val="nil"/>
                  </w:tcBorders>
                  <w:shd w:val="clear" w:color="auto" w:fill="auto"/>
                  <w:noWrap/>
                  <w:vAlign w:val="center"/>
                </w:tcPr>
                <w:p w14:paraId="6EF6169F">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3</w:t>
                  </w:r>
                  <w:r>
                    <w:rPr>
                      <w:rFonts w:ascii="Times New Roman" w:hAnsi="Times New Roman"/>
                      <w:color w:val="auto"/>
                      <w:szCs w:val="21"/>
                    </w:rPr>
                    <w:t>35</w:t>
                  </w:r>
                </w:p>
              </w:tc>
              <w:tc>
                <w:tcPr>
                  <w:tcW w:w="1089" w:type="pct"/>
                  <w:tcBorders>
                    <w:tl2br w:val="nil"/>
                    <w:tr2bl w:val="nil"/>
                  </w:tcBorders>
                  <w:shd w:val="clear" w:color="auto" w:fill="auto"/>
                  <w:noWrap/>
                  <w:vAlign w:val="center"/>
                </w:tcPr>
                <w:p w14:paraId="71CEB8C9">
                  <w:pPr>
                    <w:widowControl/>
                    <w:adjustRightInd w:val="0"/>
                    <w:snapToGrid w:val="0"/>
                    <w:jc w:val="center"/>
                    <w:rPr>
                      <w:rFonts w:ascii="Times New Roman" w:hAnsi="Times New Roman"/>
                      <w:color w:val="auto"/>
                      <w:szCs w:val="21"/>
                    </w:rPr>
                  </w:pPr>
                  <w:r>
                    <w:rPr>
                      <w:rFonts w:hint="eastAsia" w:ascii="Times New Roman" w:hAnsi="Times New Roman"/>
                      <w:color w:val="auto"/>
                      <w:szCs w:val="21"/>
                    </w:rPr>
                    <w:t>4</w:t>
                  </w:r>
                  <w:r>
                    <w:rPr>
                      <w:rFonts w:ascii="Times New Roman" w:hAnsi="Times New Roman"/>
                      <w:color w:val="auto"/>
                      <w:szCs w:val="21"/>
                    </w:rPr>
                    <w:t>69</w:t>
                  </w:r>
                </w:p>
              </w:tc>
            </w:tr>
          </w:tbl>
          <w:p w14:paraId="201BA77E">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rPr>
              <w:t>评价区维管束植物名录见附录。</w:t>
            </w:r>
          </w:p>
          <w:p w14:paraId="5FF5530E">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w:t>
            </w:r>
            <w:r>
              <w:rPr>
                <w:rFonts w:ascii="Times New Roman" w:hAnsi="Times New Roman"/>
                <w:color w:val="auto"/>
                <w:sz w:val="24"/>
                <w:szCs w:val="24"/>
              </w:rPr>
              <w:t>2</w:t>
            </w:r>
            <w:r>
              <w:rPr>
                <w:rFonts w:ascii="Times New Roman" w:hAnsi="Times New Roman"/>
                <w:color w:val="auto"/>
                <w:sz w:val="24"/>
                <w:szCs w:val="24"/>
                <w:lang w:val="zh-CN"/>
              </w:rPr>
              <w:t>）资源植物</w:t>
            </w:r>
          </w:p>
          <w:p w14:paraId="61802876">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rPr>
              <w:t>评价区内人口密度较大，种植业占据了当地居民收入的相当部分。加工行业不发达，对资源植物无深加工能力，开发利用仅仅处于初级阶段。野生植物资源面临过度采收的压力，尤其是一些经济价值高的资源受到较为严重的破坏。</w:t>
            </w:r>
          </w:p>
          <w:p w14:paraId="0C9D11AF">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rPr>
              <w:t>评价区及其周边地区栽培植物种类繁多、资源丰富，主要为亚热带经济作物，如苹果、核桃、猕猴桃、桃子等，是当地百姓的重要经济来源。</w:t>
            </w:r>
          </w:p>
          <w:p w14:paraId="00BC1FC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①淀粉和糖料资源</w:t>
            </w:r>
          </w:p>
          <w:p w14:paraId="4C1AAC91">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评价区内主要的淀粉和糖料资源约有10余种。常见的种类有蕨根</w:t>
            </w:r>
            <w:r>
              <w:rPr>
                <w:rStyle w:val="31"/>
                <w:rFonts w:ascii="Times New Roman" w:hAnsi="Times New Roman"/>
                <w:color w:val="auto"/>
                <w:kern w:val="0"/>
                <w:sz w:val="24"/>
                <w:szCs w:val="24"/>
                <w:lang w:bidi="ar"/>
              </w:rPr>
              <w:t>Pteridium aquilinum</w:t>
            </w:r>
            <w:r>
              <w:rPr>
                <w:rStyle w:val="31"/>
                <w:rFonts w:ascii="Times New Roman" w:hAnsi="Times New Roman"/>
                <w:i w:val="0"/>
                <w:iCs/>
                <w:color w:val="auto"/>
                <w:kern w:val="0"/>
                <w:sz w:val="24"/>
                <w:szCs w:val="24"/>
                <w:lang w:bidi="ar"/>
              </w:rPr>
              <w:t>var.</w:t>
            </w:r>
            <w:r>
              <w:rPr>
                <w:rStyle w:val="31"/>
                <w:rFonts w:ascii="Times New Roman" w:hAnsi="Times New Roman"/>
                <w:color w:val="auto"/>
                <w:kern w:val="0"/>
                <w:sz w:val="24"/>
                <w:szCs w:val="24"/>
                <w:lang w:bidi="ar"/>
              </w:rPr>
              <w:t>latiusculum</w:t>
            </w:r>
            <w:r>
              <w:rPr>
                <w:rFonts w:ascii="Times New Roman" w:hAnsi="Times New Roman"/>
                <w:color w:val="auto"/>
                <w:kern w:val="0"/>
                <w:sz w:val="24"/>
                <w:szCs w:val="24"/>
                <w:lang w:bidi="ar"/>
              </w:rPr>
              <w:t>、魔芋</w:t>
            </w:r>
            <w:r>
              <w:rPr>
                <w:rStyle w:val="31"/>
                <w:rFonts w:ascii="Times New Roman" w:hAnsi="Times New Roman"/>
                <w:color w:val="auto"/>
                <w:kern w:val="0"/>
                <w:sz w:val="24"/>
                <w:szCs w:val="24"/>
                <w:lang w:bidi="ar"/>
              </w:rPr>
              <w:t>Amorphophallus rivieri</w:t>
            </w:r>
            <w:r>
              <w:rPr>
                <w:rFonts w:ascii="Times New Roman" w:hAnsi="Times New Roman"/>
                <w:color w:val="auto"/>
                <w:kern w:val="0"/>
                <w:sz w:val="24"/>
                <w:szCs w:val="24"/>
                <w:lang w:bidi="ar"/>
              </w:rPr>
              <w:t>、薯蓣属</w:t>
            </w:r>
            <w:r>
              <w:rPr>
                <w:rStyle w:val="31"/>
                <w:rFonts w:ascii="Times New Roman" w:hAnsi="Times New Roman"/>
                <w:i w:val="0"/>
                <w:iCs/>
                <w:color w:val="auto"/>
                <w:kern w:val="0"/>
                <w:sz w:val="24"/>
                <w:szCs w:val="24"/>
                <w:lang w:bidi="ar"/>
              </w:rPr>
              <w:t>Dioscorea</w:t>
            </w:r>
            <w:r>
              <w:rPr>
                <w:rFonts w:ascii="Times New Roman" w:hAnsi="Times New Roman"/>
                <w:color w:val="auto"/>
                <w:kern w:val="0"/>
                <w:sz w:val="24"/>
                <w:szCs w:val="24"/>
                <w:lang w:bidi="ar"/>
              </w:rPr>
              <w:t>数种以及一些禾本科植物的种子。</w:t>
            </w:r>
          </w:p>
          <w:p w14:paraId="365B09C6">
            <w:pPr>
              <w:widowControl/>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②蛋白质资源</w:t>
            </w:r>
          </w:p>
          <w:p w14:paraId="5D92C0BA">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评价区主要栽培的蛋白质资源植物是广泛种植的菜豆</w:t>
            </w:r>
            <w:r>
              <w:rPr>
                <w:rStyle w:val="31"/>
                <w:rFonts w:ascii="Times New Roman" w:hAnsi="Times New Roman"/>
                <w:color w:val="auto"/>
                <w:kern w:val="0"/>
                <w:sz w:val="24"/>
                <w:szCs w:val="24"/>
                <w:lang w:bidi="ar"/>
              </w:rPr>
              <w:t>Phaseolus vulgaris</w:t>
            </w:r>
            <w:r>
              <w:rPr>
                <w:rFonts w:ascii="Times New Roman" w:hAnsi="Times New Roman"/>
                <w:color w:val="auto"/>
                <w:kern w:val="0"/>
                <w:sz w:val="24"/>
                <w:szCs w:val="24"/>
                <w:lang w:bidi="ar"/>
              </w:rPr>
              <w:t>、大豆</w:t>
            </w:r>
            <w:r>
              <w:rPr>
                <w:rStyle w:val="31"/>
                <w:rFonts w:ascii="Times New Roman" w:hAnsi="Times New Roman"/>
                <w:color w:val="auto"/>
                <w:kern w:val="0"/>
                <w:sz w:val="24"/>
                <w:szCs w:val="24"/>
                <w:lang w:bidi="ar"/>
              </w:rPr>
              <w:t>Glycine max</w:t>
            </w:r>
            <w:r>
              <w:rPr>
                <w:rFonts w:ascii="Times New Roman" w:hAnsi="Times New Roman"/>
                <w:color w:val="auto"/>
                <w:kern w:val="0"/>
                <w:sz w:val="24"/>
                <w:szCs w:val="24"/>
                <w:lang w:bidi="ar"/>
              </w:rPr>
              <w:t>和豌豆</w:t>
            </w:r>
            <w:r>
              <w:rPr>
                <w:rStyle w:val="31"/>
                <w:rFonts w:ascii="Times New Roman" w:hAnsi="Times New Roman"/>
                <w:color w:val="auto"/>
                <w:kern w:val="0"/>
                <w:sz w:val="24"/>
                <w:szCs w:val="24"/>
                <w:lang w:bidi="ar"/>
              </w:rPr>
              <w:t>Pisum sativum</w:t>
            </w:r>
            <w:r>
              <w:rPr>
                <w:rFonts w:ascii="Times New Roman" w:hAnsi="Times New Roman"/>
                <w:color w:val="auto"/>
                <w:kern w:val="0"/>
                <w:sz w:val="24"/>
                <w:szCs w:val="24"/>
                <w:lang w:bidi="ar"/>
              </w:rPr>
              <w:t>。野生蛋白源除一般的植物（体）蛋白外，值得一提的是野生食用菌类和豆科的山蚂蟥属</w:t>
            </w:r>
            <w:r>
              <w:rPr>
                <w:rStyle w:val="31"/>
                <w:rFonts w:ascii="Times New Roman" w:hAnsi="Times New Roman"/>
                <w:color w:val="auto"/>
                <w:kern w:val="0"/>
                <w:sz w:val="24"/>
                <w:szCs w:val="24"/>
                <w:lang w:bidi="ar"/>
              </w:rPr>
              <w:t>Desmodium</w:t>
            </w:r>
            <w:r>
              <w:rPr>
                <w:rFonts w:ascii="Times New Roman" w:hAnsi="Times New Roman"/>
                <w:color w:val="auto"/>
                <w:kern w:val="0"/>
                <w:sz w:val="24"/>
                <w:szCs w:val="24"/>
                <w:lang w:bidi="ar"/>
              </w:rPr>
              <w:t>、千斤拔属</w:t>
            </w:r>
            <w:r>
              <w:rPr>
                <w:rStyle w:val="31"/>
                <w:rFonts w:ascii="Times New Roman" w:hAnsi="Times New Roman"/>
                <w:color w:val="auto"/>
                <w:kern w:val="0"/>
                <w:sz w:val="24"/>
                <w:szCs w:val="24"/>
                <w:lang w:bidi="ar"/>
              </w:rPr>
              <w:t>Flemingia</w:t>
            </w:r>
            <w:r>
              <w:rPr>
                <w:rFonts w:ascii="Times New Roman" w:hAnsi="Times New Roman"/>
                <w:color w:val="auto"/>
                <w:kern w:val="0"/>
                <w:sz w:val="24"/>
                <w:szCs w:val="24"/>
                <w:lang w:bidi="ar"/>
              </w:rPr>
              <w:t>、槐兰属</w:t>
            </w:r>
            <w:r>
              <w:rPr>
                <w:rStyle w:val="31"/>
                <w:rFonts w:ascii="Times New Roman" w:hAnsi="Times New Roman"/>
                <w:color w:val="auto"/>
                <w:kern w:val="0"/>
                <w:sz w:val="24"/>
                <w:szCs w:val="24"/>
                <w:lang w:bidi="ar"/>
              </w:rPr>
              <w:t>Indigofera</w:t>
            </w:r>
            <w:r>
              <w:rPr>
                <w:rFonts w:ascii="Times New Roman" w:hAnsi="Times New Roman"/>
                <w:color w:val="auto"/>
                <w:kern w:val="0"/>
                <w:sz w:val="24"/>
                <w:szCs w:val="24"/>
                <w:lang w:bidi="ar"/>
              </w:rPr>
              <w:t>等的种实及茎叶，共10余种。</w:t>
            </w:r>
          </w:p>
          <w:p w14:paraId="61F88A91">
            <w:pPr>
              <w:widowControl/>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③维生素资源</w:t>
            </w:r>
          </w:p>
          <w:p w14:paraId="16E8C534">
            <w:pPr>
              <w:widowControl/>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评价区种植着较多种类的水果及蔬菜，是当地居民重要的维生素来源，在野生植物</w:t>
            </w:r>
            <w:r>
              <w:rPr>
                <w:rFonts w:hint="eastAsia" w:ascii="Times New Roman" w:hAnsi="Times New Roman"/>
                <w:color w:val="auto"/>
                <w:kern w:val="0"/>
                <w:sz w:val="24"/>
                <w:szCs w:val="24"/>
                <w:lang w:eastAsia="zh-CN" w:bidi="ar"/>
              </w:rPr>
              <w:t>中</w:t>
            </w:r>
            <w:r>
              <w:rPr>
                <w:rFonts w:ascii="Times New Roman" w:hAnsi="Times New Roman"/>
                <w:color w:val="auto"/>
                <w:kern w:val="0"/>
                <w:sz w:val="24"/>
                <w:szCs w:val="24"/>
                <w:lang w:bidi="ar"/>
              </w:rPr>
              <w:t>，乌鸦果</w:t>
            </w:r>
            <w:r>
              <w:rPr>
                <w:rStyle w:val="31"/>
                <w:rFonts w:ascii="Times New Roman" w:hAnsi="Times New Roman"/>
                <w:color w:val="auto"/>
                <w:kern w:val="0"/>
                <w:sz w:val="24"/>
                <w:szCs w:val="24"/>
                <w:lang w:bidi="ar"/>
              </w:rPr>
              <w:t>Vaccinium fragile</w:t>
            </w:r>
            <w:r>
              <w:rPr>
                <w:rFonts w:ascii="Times New Roman" w:hAnsi="Times New Roman"/>
                <w:color w:val="auto"/>
                <w:kern w:val="0"/>
                <w:sz w:val="24"/>
                <w:szCs w:val="24"/>
                <w:lang w:bidi="ar"/>
              </w:rPr>
              <w:t>、野棠梨</w:t>
            </w:r>
            <w:r>
              <w:rPr>
                <w:rStyle w:val="31"/>
                <w:rFonts w:ascii="Times New Roman" w:hAnsi="Times New Roman"/>
                <w:color w:val="auto"/>
                <w:kern w:val="0"/>
                <w:sz w:val="24"/>
                <w:szCs w:val="24"/>
                <w:lang w:bidi="ar"/>
              </w:rPr>
              <w:t>Pyrus pashia</w:t>
            </w:r>
            <w:r>
              <w:rPr>
                <w:rFonts w:ascii="Times New Roman" w:hAnsi="Times New Roman"/>
                <w:color w:val="auto"/>
                <w:kern w:val="0"/>
                <w:sz w:val="24"/>
                <w:szCs w:val="24"/>
                <w:lang w:bidi="ar"/>
              </w:rPr>
              <w:t>、悬钩子（山莓）</w:t>
            </w:r>
            <w:r>
              <w:rPr>
                <w:rStyle w:val="31"/>
                <w:rFonts w:ascii="Times New Roman" w:hAnsi="Times New Roman"/>
                <w:color w:val="auto"/>
                <w:kern w:val="0"/>
                <w:sz w:val="24"/>
                <w:szCs w:val="24"/>
                <w:lang w:bidi="ar"/>
              </w:rPr>
              <w:t>Rubus corchorifolius</w:t>
            </w:r>
            <w:r>
              <w:rPr>
                <w:rFonts w:ascii="Times New Roman" w:hAnsi="Times New Roman"/>
                <w:color w:val="auto"/>
                <w:kern w:val="0"/>
                <w:sz w:val="24"/>
                <w:szCs w:val="24"/>
                <w:lang w:bidi="ar"/>
              </w:rPr>
              <w:t>等果实富含Vc，黑柿（野柿）</w:t>
            </w:r>
            <w:r>
              <w:rPr>
                <w:rStyle w:val="31"/>
                <w:rFonts w:ascii="Times New Roman" w:hAnsi="Times New Roman"/>
                <w:color w:val="auto"/>
                <w:kern w:val="0"/>
                <w:sz w:val="24"/>
                <w:szCs w:val="24"/>
                <w:lang w:bidi="ar"/>
              </w:rPr>
              <w:t xml:space="preserve">Diospyros kaki </w:t>
            </w:r>
            <w:r>
              <w:rPr>
                <w:rStyle w:val="31"/>
                <w:rFonts w:ascii="Times New Roman" w:hAnsi="Times New Roman"/>
                <w:i w:val="0"/>
                <w:iCs/>
                <w:color w:val="auto"/>
                <w:kern w:val="0"/>
                <w:sz w:val="24"/>
                <w:szCs w:val="24"/>
                <w:lang w:bidi="ar"/>
              </w:rPr>
              <w:t xml:space="preserve">var. </w:t>
            </w:r>
            <w:r>
              <w:rPr>
                <w:rStyle w:val="31"/>
                <w:rFonts w:ascii="Times New Roman" w:hAnsi="Times New Roman"/>
                <w:color w:val="auto"/>
                <w:kern w:val="0"/>
                <w:sz w:val="24"/>
                <w:szCs w:val="24"/>
                <w:lang w:bidi="ar"/>
              </w:rPr>
              <w:t>sylvestris</w:t>
            </w:r>
            <w:r>
              <w:rPr>
                <w:rFonts w:ascii="Times New Roman" w:hAnsi="Times New Roman"/>
                <w:color w:val="auto"/>
                <w:kern w:val="0"/>
                <w:sz w:val="24"/>
                <w:szCs w:val="24"/>
                <w:lang w:bidi="ar"/>
              </w:rPr>
              <w:t>等也是高含量的维生素源，除当地居民少量取食外，利用与开发均不充分，每年自生自灭的量很大，有些成为鸟类和哺乳类的食物。此外，榕属</w:t>
            </w:r>
            <w:r>
              <w:rPr>
                <w:rStyle w:val="31"/>
                <w:rFonts w:ascii="Times New Roman" w:hAnsi="Times New Roman"/>
                <w:color w:val="auto"/>
                <w:kern w:val="0"/>
                <w:sz w:val="24"/>
                <w:szCs w:val="24"/>
                <w:lang w:bidi="ar"/>
              </w:rPr>
              <w:t>Ficus</w:t>
            </w:r>
            <w:r>
              <w:rPr>
                <w:rFonts w:ascii="Times New Roman" w:hAnsi="Times New Roman"/>
                <w:color w:val="auto"/>
                <w:kern w:val="0"/>
                <w:sz w:val="24"/>
                <w:szCs w:val="24"/>
                <w:lang w:bidi="ar"/>
              </w:rPr>
              <w:t>、胡颓子属</w:t>
            </w:r>
            <w:r>
              <w:rPr>
                <w:rStyle w:val="31"/>
                <w:rFonts w:ascii="Times New Roman" w:hAnsi="Times New Roman"/>
                <w:color w:val="auto"/>
                <w:kern w:val="0"/>
                <w:sz w:val="24"/>
                <w:szCs w:val="24"/>
                <w:lang w:bidi="ar"/>
              </w:rPr>
              <w:t>Elaeagnus</w:t>
            </w:r>
            <w:r>
              <w:rPr>
                <w:rFonts w:ascii="Times New Roman" w:hAnsi="Times New Roman"/>
                <w:color w:val="auto"/>
                <w:kern w:val="0"/>
                <w:sz w:val="24"/>
                <w:szCs w:val="24"/>
                <w:lang w:bidi="ar"/>
              </w:rPr>
              <w:t>等属植物的果均富含Vc，是野生动物的食源，除可生食外，亦可作为饮料，共10余种。</w:t>
            </w:r>
          </w:p>
          <w:p w14:paraId="7AE21E46">
            <w:pPr>
              <w:widowControl/>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④油脂原料</w:t>
            </w:r>
          </w:p>
          <w:p w14:paraId="4FB06115">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评价区未见野生食用油脂植物，但存在较多的植物可提取芳香油及工业用油脂。可提取芳香油的植物有樟科木姜子等种的树皮、枝叶或果实，有一定储量；禾本科的芸香草</w:t>
            </w:r>
            <w:r>
              <w:rPr>
                <w:rStyle w:val="31"/>
                <w:rFonts w:ascii="Times New Roman" w:hAnsi="Times New Roman"/>
                <w:color w:val="auto"/>
                <w:kern w:val="0"/>
                <w:sz w:val="24"/>
                <w:szCs w:val="24"/>
                <w:lang w:bidi="ar"/>
              </w:rPr>
              <w:t>Cymbopogon distans</w:t>
            </w:r>
            <w:r>
              <w:rPr>
                <w:rFonts w:ascii="Times New Roman" w:hAnsi="Times New Roman"/>
                <w:color w:val="auto"/>
                <w:kern w:val="0"/>
                <w:sz w:val="24"/>
                <w:szCs w:val="24"/>
                <w:lang w:bidi="ar"/>
              </w:rPr>
              <w:t>茎叶可提取芳香油，供医疗及工业用。合计约10种。</w:t>
            </w:r>
          </w:p>
          <w:p w14:paraId="3C8953FF">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工业用油脂原料在评价区内常见且资源量较大的有乌桕</w:t>
            </w:r>
            <w:r>
              <w:rPr>
                <w:rStyle w:val="31"/>
                <w:rFonts w:ascii="Times New Roman" w:hAnsi="Times New Roman"/>
                <w:color w:val="auto"/>
                <w:kern w:val="0"/>
                <w:sz w:val="24"/>
                <w:szCs w:val="24"/>
                <w:lang w:bidi="ar"/>
              </w:rPr>
              <w:t>Sapium sebiferum</w:t>
            </w:r>
            <w:r>
              <w:rPr>
                <w:rFonts w:ascii="Times New Roman" w:hAnsi="Times New Roman"/>
                <w:color w:val="auto"/>
                <w:kern w:val="0"/>
                <w:sz w:val="24"/>
                <w:szCs w:val="24"/>
                <w:lang w:bidi="ar"/>
              </w:rPr>
              <w:t>、蓖麻</w:t>
            </w:r>
            <w:r>
              <w:rPr>
                <w:rStyle w:val="31"/>
                <w:rFonts w:ascii="Times New Roman" w:hAnsi="Times New Roman"/>
                <w:color w:val="auto"/>
                <w:kern w:val="0"/>
                <w:sz w:val="24"/>
                <w:szCs w:val="24"/>
                <w:lang w:bidi="ar"/>
              </w:rPr>
              <w:t>Ricinus communis</w:t>
            </w:r>
            <w:r>
              <w:rPr>
                <w:rFonts w:ascii="Times New Roman" w:hAnsi="Times New Roman"/>
                <w:color w:val="auto"/>
                <w:kern w:val="0"/>
                <w:sz w:val="24"/>
                <w:szCs w:val="24"/>
                <w:lang w:bidi="ar"/>
              </w:rPr>
              <w:t>，约有10余种。</w:t>
            </w:r>
          </w:p>
          <w:p w14:paraId="7B6830A7">
            <w:pPr>
              <w:widowControl/>
              <w:adjustRightInd w:val="0"/>
              <w:snapToGrid w:val="0"/>
              <w:spacing w:line="440" w:lineRule="exact"/>
              <w:ind w:firstLine="480" w:firstLineChars="200"/>
              <w:rPr>
                <w:rStyle w:val="30"/>
                <w:rFonts w:ascii="Times New Roman" w:hAnsi="Times New Roman"/>
                <w:b w:val="0"/>
                <w:bCs/>
                <w:color w:val="auto"/>
                <w:kern w:val="0"/>
                <w:sz w:val="24"/>
                <w:szCs w:val="24"/>
                <w:lang w:bidi="ar"/>
              </w:rPr>
            </w:pPr>
            <w:r>
              <w:rPr>
                <w:rFonts w:ascii="Times New Roman" w:hAnsi="Times New Roman"/>
                <w:bCs/>
                <w:color w:val="auto"/>
                <w:kern w:val="0"/>
                <w:sz w:val="24"/>
                <w:szCs w:val="24"/>
                <w:lang w:bidi="ar"/>
              </w:rPr>
              <w:t>⑤</w:t>
            </w:r>
            <w:r>
              <w:rPr>
                <w:rStyle w:val="30"/>
                <w:rFonts w:ascii="Times New Roman" w:hAnsi="Times New Roman"/>
                <w:b w:val="0"/>
                <w:bCs/>
                <w:color w:val="auto"/>
                <w:kern w:val="0"/>
                <w:sz w:val="24"/>
                <w:szCs w:val="24"/>
                <w:lang w:bidi="ar"/>
              </w:rPr>
              <w:t>香辛植物</w:t>
            </w:r>
          </w:p>
          <w:p w14:paraId="671F80C2">
            <w:pPr>
              <w:widowControl/>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kern w:val="0"/>
                <w:sz w:val="24"/>
                <w:szCs w:val="24"/>
                <w:lang w:bidi="ar"/>
              </w:rPr>
              <w:t>常见栽培的香辛植物有葱</w:t>
            </w:r>
            <w:r>
              <w:rPr>
                <w:rStyle w:val="31"/>
                <w:rFonts w:ascii="Times New Roman" w:hAnsi="Times New Roman"/>
                <w:bCs/>
                <w:color w:val="auto"/>
                <w:kern w:val="0"/>
                <w:sz w:val="24"/>
                <w:szCs w:val="24"/>
                <w:lang w:bidi="ar"/>
              </w:rPr>
              <w:t>Allium fistulosum</w:t>
            </w:r>
            <w:r>
              <w:rPr>
                <w:rFonts w:ascii="Times New Roman" w:hAnsi="Times New Roman"/>
                <w:bCs/>
                <w:color w:val="auto"/>
                <w:kern w:val="0"/>
                <w:sz w:val="24"/>
                <w:szCs w:val="24"/>
                <w:lang w:bidi="ar"/>
              </w:rPr>
              <w:t>、姜</w:t>
            </w:r>
            <w:r>
              <w:rPr>
                <w:rStyle w:val="31"/>
                <w:rFonts w:ascii="Times New Roman" w:hAnsi="Times New Roman"/>
                <w:bCs/>
                <w:color w:val="auto"/>
                <w:kern w:val="0"/>
                <w:sz w:val="24"/>
                <w:szCs w:val="24"/>
                <w:lang w:bidi="ar"/>
              </w:rPr>
              <w:t>Zingiber officinale</w:t>
            </w:r>
            <w:r>
              <w:rPr>
                <w:rFonts w:ascii="Times New Roman" w:hAnsi="Times New Roman"/>
                <w:bCs/>
                <w:color w:val="auto"/>
                <w:kern w:val="0"/>
                <w:sz w:val="24"/>
                <w:szCs w:val="24"/>
                <w:lang w:bidi="ar"/>
              </w:rPr>
              <w:t>、蒜</w:t>
            </w:r>
            <w:r>
              <w:rPr>
                <w:rStyle w:val="31"/>
                <w:rFonts w:ascii="Times New Roman" w:hAnsi="Times New Roman"/>
                <w:bCs/>
                <w:color w:val="auto"/>
                <w:kern w:val="0"/>
                <w:sz w:val="24"/>
                <w:szCs w:val="24"/>
                <w:lang w:bidi="ar"/>
              </w:rPr>
              <w:t>Allium sativum</w:t>
            </w:r>
            <w:r>
              <w:rPr>
                <w:rFonts w:ascii="Times New Roman" w:hAnsi="Times New Roman"/>
                <w:bCs/>
                <w:color w:val="auto"/>
                <w:kern w:val="0"/>
                <w:sz w:val="24"/>
                <w:szCs w:val="24"/>
                <w:lang w:bidi="ar"/>
              </w:rPr>
              <w:t>等。此外，评价区内有野生的辣蓼</w:t>
            </w:r>
            <w:r>
              <w:rPr>
                <w:rStyle w:val="31"/>
                <w:rFonts w:ascii="Times New Roman" w:hAnsi="Times New Roman"/>
                <w:bCs/>
                <w:color w:val="auto"/>
                <w:kern w:val="0"/>
                <w:sz w:val="24"/>
                <w:szCs w:val="24"/>
                <w:lang w:bidi="ar"/>
              </w:rPr>
              <w:t>Polygonum hydropiper</w:t>
            </w:r>
            <w:r>
              <w:rPr>
                <w:rFonts w:ascii="Times New Roman" w:hAnsi="Times New Roman"/>
                <w:bCs/>
                <w:color w:val="auto"/>
                <w:kern w:val="0"/>
                <w:sz w:val="24"/>
                <w:szCs w:val="24"/>
                <w:lang w:bidi="ar"/>
              </w:rPr>
              <w:t>、姜黄</w:t>
            </w:r>
            <w:r>
              <w:rPr>
                <w:rStyle w:val="31"/>
                <w:rFonts w:ascii="Times New Roman" w:hAnsi="Times New Roman"/>
                <w:bCs/>
                <w:color w:val="auto"/>
                <w:kern w:val="0"/>
                <w:sz w:val="24"/>
                <w:szCs w:val="24"/>
                <w:lang w:bidi="ar"/>
              </w:rPr>
              <w:t>Curcuma longa</w:t>
            </w:r>
            <w:r>
              <w:rPr>
                <w:rFonts w:ascii="Times New Roman" w:hAnsi="Times New Roman"/>
                <w:bCs/>
                <w:color w:val="auto"/>
                <w:kern w:val="0"/>
                <w:sz w:val="24"/>
                <w:szCs w:val="24"/>
                <w:lang w:bidi="ar"/>
              </w:rPr>
              <w:t>、香茅</w:t>
            </w:r>
            <w:r>
              <w:rPr>
                <w:rStyle w:val="31"/>
                <w:rFonts w:ascii="Times New Roman" w:hAnsi="Times New Roman"/>
                <w:bCs/>
                <w:color w:val="auto"/>
                <w:kern w:val="0"/>
                <w:sz w:val="24"/>
                <w:szCs w:val="24"/>
                <w:lang w:bidi="ar"/>
              </w:rPr>
              <w:t>Cymbopogon citrates</w:t>
            </w:r>
            <w:r>
              <w:rPr>
                <w:rFonts w:ascii="Times New Roman" w:hAnsi="Times New Roman"/>
                <w:bCs/>
                <w:color w:val="auto"/>
                <w:kern w:val="0"/>
                <w:sz w:val="24"/>
                <w:szCs w:val="24"/>
                <w:lang w:bidi="ar"/>
              </w:rPr>
              <w:t>等。</w:t>
            </w:r>
          </w:p>
          <w:p w14:paraId="3E9B89B0">
            <w:pPr>
              <w:widowControl/>
              <w:adjustRightInd w:val="0"/>
              <w:snapToGrid w:val="0"/>
              <w:spacing w:line="440" w:lineRule="exact"/>
              <w:ind w:firstLine="480" w:firstLineChars="200"/>
              <w:rPr>
                <w:rFonts w:ascii="Times New Roman" w:hAnsi="Times New Roman"/>
                <w:bCs/>
                <w:color w:val="auto"/>
                <w:kern w:val="0"/>
                <w:sz w:val="24"/>
                <w:szCs w:val="24"/>
                <w:lang w:bidi="ar"/>
              </w:rPr>
            </w:pPr>
            <w:r>
              <w:rPr>
                <w:rFonts w:ascii="Times New Roman" w:hAnsi="Times New Roman"/>
                <w:bCs/>
                <w:color w:val="auto"/>
                <w:kern w:val="0"/>
                <w:sz w:val="24"/>
                <w:szCs w:val="24"/>
                <w:lang w:bidi="ar"/>
              </w:rPr>
              <w:t>⑥</w:t>
            </w:r>
            <w:r>
              <w:rPr>
                <w:rStyle w:val="30"/>
                <w:rFonts w:ascii="Times New Roman" w:hAnsi="Times New Roman"/>
                <w:b w:val="0"/>
                <w:bCs/>
                <w:color w:val="auto"/>
                <w:kern w:val="0"/>
                <w:sz w:val="24"/>
                <w:szCs w:val="24"/>
                <w:lang w:bidi="ar"/>
              </w:rPr>
              <w:t>染料植物</w:t>
            </w:r>
          </w:p>
          <w:p w14:paraId="6FFDFE66">
            <w:pPr>
              <w:widowControl/>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kern w:val="0"/>
                <w:sz w:val="24"/>
                <w:szCs w:val="24"/>
                <w:lang w:bidi="ar"/>
              </w:rPr>
              <w:t>除栽培的红苋菜</w:t>
            </w:r>
            <w:r>
              <w:rPr>
                <w:rStyle w:val="31"/>
                <w:rFonts w:ascii="Times New Roman" w:hAnsi="Times New Roman"/>
                <w:bCs/>
                <w:color w:val="auto"/>
                <w:kern w:val="0"/>
                <w:sz w:val="24"/>
                <w:szCs w:val="24"/>
                <w:lang w:bidi="ar"/>
              </w:rPr>
              <w:t>Amaranthus tricolor</w:t>
            </w:r>
            <w:r>
              <w:rPr>
                <w:rFonts w:ascii="Times New Roman" w:hAnsi="Times New Roman"/>
                <w:bCs/>
                <w:color w:val="auto"/>
                <w:kern w:val="0"/>
                <w:sz w:val="24"/>
                <w:szCs w:val="24"/>
                <w:lang w:bidi="ar"/>
              </w:rPr>
              <w:t>和栀子花</w:t>
            </w:r>
            <w:r>
              <w:rPr>
                <w:rStyle w:val="31"/>
                <w:rFonts w:ascii="Times New Roman" w:hAnsi="Times New Roman"/>
                <w:bCs/>
                <w:color w:val="auto"/>
                <w:kern w:val="0"/>
                <w:sz w:val="24"/>
                <w:szCs w:val="24"/>
                <w:lang w:bidi="ar"/>
              </w:rPr>
              <w:t>Gardenia jasminoides</w:t>
            </w:r>
            <w:r>
              <w:rPr>
                <w:rFonts w:ascii="Times New Roman" w:hAnsi="Times New Roman"/>
                <w:bCs/>
                <w:color w:val="auto"/>
                <w:kern w:val="0"/>
                <w:sz w:val="24"/>
                <w:szCs w:val="24"/>
                <w:lang w:bidi="ar"/>
              </w:rPr>
              <w:t>外，评价区内广泛生长各种荨麻属</w:t>
            </w:r>
            <w:r>
              <w:rPr>
                <w:rStyle w:val="31"/>
                <w:rFonts w:ascii="Times New Roman" w:hAnsi="Times New Roman"/>
                <w:bCs/>
                <w:color w:val="auto"/>
                <w:kern w:val="0"/>
                <w:sz w:val="24"/>
                <w:szCs w:val="24"/>
                <w:lang w:bidi="ar"/>
              </w:rPr>
              <w:t>Urtica</w:t>
            </w:r>
            <w:r>
              <w:rPr>
                <w:rFonts w:ascii="Times New Roman" w:hAnsi="Times New Roman"/>
                <w:bCs/>
                <w:color w:val="auto"/>
                <w:kern w:val="0"/>
                <w:sz w:val="24"/>
                <w:szCs w:val="24"/>
                <w:lang w:bidi="ar"/>
              </w:rPr>
              <w:t>植物，其叶是提取天然绿色食品着色剂的原料。染料植物共约10种。</w:t>
            </w:r>
          </w:p>
          <w:p w14:paraId="7E158A9C">
            <w:pPr>
              <w:widowControl/>
              <w:adjustRightInd w:val="0"/>
              <w:snapToGrid w:val="0"/>
              <w:spacing w:line="440" w:lineRule="exact"/>
              <w:ind w:firstLine="480" w:firstLineChars="200"/>
              <w:rPr>
                <w:rFonts w:ascii="Times New Roman" w:hAnsi="Times New Roman"/>
                <w:bCs/>
                <w:color w:val="auto"/>
                <w:kern w:val="0"/>
                <w:sz w:val="24"/>
                <w:szCs w:val="24"/>
                <w:lang w:bidi="ar"/>
              </w:rPr>
            </w:pPr>
            <w:r>
              <w:rPr>
                <w:rFonts w:ascii="Times New Roman" w:hAnsi="Times New Roman"/>
                <w:bCs/>
                <w:color w:val="auto"/>
                <w:kern w:val="0"/>
                <w:sz w:val="24"/>
                <w:szCs w:val="24"/>
                <w:lang w:bidi="ar"/>
              </w:rPr>
              <w:t>⑦</w:t>
            </w:r>
            <w:r>
              <w:rPr>
                <w:rStyle w:val="30"/>
                <w:rFonts w:ascii="Times New Roman" w:hAnsi="Times New Roman"/>
                <w:b w:val="0"/>
                <w:bCs/>
                <w:color w:val="auto"/>
                <w:kern w:val="0"/>
                <w:sz w:val="24"/>
                <w:szCs w:val="24"/>
                <w:lang w:bidi="ar"/>
              </w:rPr>
              <w:t>蜜源植物</w:t>
            </w:r>
          </w:p>
          <w:p w14:paraId="1B7370BE">
            <w:pPr>
              <w:widowControl/>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kern w:val="0"/>
                <w:sz w:val="24"/>
                <w:szCs w:val="24"/>
                <w:lang w:bidi="ar"/>
              </w:rPr>
              <w:t>评价区周边农户有养蜂的习惯，也有一些养蜂专业户在评价区及周边地区不定期放养蜜蜂。蜜源植物种类繁多，栽培作物中的油菜</w:t>
            </w:r>
            <w:r>
              <w:rPr>
                <w:rStyle w:val="31"/>
                <w:rFonts w:ascii="Times New Roman" w:hAnsi="Times New Roman"/>
                <w:bCs/>
                <w:color w:val="auto"/>
                <w:kern w:val="0"/>
                <w:sz w:val="24"/>
                <w:szCs w:val="24"/>
                <w:lang w:bidi="ar"/>
              </w:rPr>
              <w:t>Brassica campestris</w:t>
            </w:r>
            <w:r>
              <w:rPr>
                <w:rFonts w:ascii="Times New Roman" w:hAnsi="Times New Roman"/>
                <w:bCs/>
                <w:color w:val="auto"/>
                <w:kern w:val="0"/>
                <w:sz w:val="24"/>
                <w:szCs w:val="24"/>
                <w:lang w:bidi="ar"/>
              </w:rPr>
              <w:t>、萝卜</w:t>
            </w:r>
            <w:r>
              <w:rPr>
                <w:rStyle w:val="31"/>
                <w:rFonts w:ascii="Times New Roman" w:hAnsi="Times New Roman"/>
                <w:bCs/>
                <w:color w:val="auto"/>
                <w:kern w:val="0"/>
                <w:sz w:val="24"/>
                <w:szCs w:val="24"/>
                <w:lang w:bidi="ar"/>
              </w:rPr>
              <w:t>Raphanus sativus</w:t>
            </w:r>
            <w:r>
              <w:rPr>
                <w:rFonts w:ascii="Times New Roman" w:hAnsi="Times New Roman"/>
                <w:bCs/>
                <w:color w:val="auto"/>
                <w:kern w:val="0"/>
                <w:sz w:val="24"/>
                <w:szCs w:val="24"/>
                <w:lang w:bidi="ar"/>
              </w:rPr>
              <w:t>、白菜</w:t>
            </w:r>
            <w:r>
              <w:rPr>
                <w:rStyle w:val="31"/>
                <w:rFonts w:ascii="Times New Roman" w:hAnsi="Times New Roman"/>
                <w:bCs/>
                <w:color w:val="auto"/>
                <w:kern w:val="0"/>
                <w:sz w:val="24"/>
                <w:szCs w:val="24"/>
                <w:lang w:bidi="ar"/>
              </w:rPr>
              <w:t>Brassica pekinensis</w:t>
            </w:r>
            <w:r>
              <w:rPr>
                <w:rFonts w:ascii="Times New Roman" w:hAnsi="Times New Roman"/>
                <w:bCs/>
                <w:color w:val="auto"/>
                <w:kern w:val="0"/>
                <w:sz w:val="24"/>
                <w:szCs w:val="24"/>
                <w:lang w:bidi="ar"/>
              </w:rPr>
              <w:t>等；草本类型的野豌豆属</w:t>
            </w:r>
            <w:r>
              <w:rPr>
                <w:rStyle w:val="31"/>
                <w:rFonts w:ascii="Times New Roman" w:hAnsi="Times New Roman"/>
                <w:bCs/>
                <w:color w:val="auto"/>
                <w:kern w:val="0"/>
                <w:sz w:val="24"/>
                <w:szCs w:val="24"/>
                <w:lang w:bidi="ar"/>
              </w:rPr>
              <w:t>Vicia</w:t>
            </w:r>
            <w:r>
              <w:rPr>
                <w:rFonts w:ascii="Times New Roman" w:hAnsi="Times New Roman"/>
                <w:bCs/>
                <w:color w:val="auto"/>
                <w:kern w:val="0"/>
                <w:sz w:val="24"/>
                <w:szCs w:val="24"/>
                <w:lang w:bidi="ar"/>
              </w:rPr>
              <w:t>、紫云英属</w:t>
            </w:r>
            <w:r>
              <w:rPr>
                <w:rStyle w:val="31"/>
                <w:rFonts w:ascii="Times New Roman" w:hAnsi="Times New Roman"/>
                <w:bCs/>
                <w:color w:val="auto"/>
                <w:kern w:val="0"/>
                <w:sz w:val="24"/>
                <w:szCs w:val="24"/>
                <w:lang w:bidi="ar"/>
              </w:rPr>
              <w:t>Astragalus</w:t>
            </w:r>
            <w:r>
              <w:rPr>
                <w:rFonts w:ascii="Times New Roman" w:hAnsi="Times New Roman"/>
                <w:bCs/>
                <w:color w:val="auto"/>
                <w:kern w:val="0"/>
                <w:sz w:val="24"/>
                <w:szCs w:val="24"/>
                <w:lang w:bidi="ar"/>
              </w:rPr>
              <w:t>等近100种。</w:t>
            </w:r>
          </w:p>
          <w:p w14:paraId="36B8FC6B">
            <w:pPr>
              <w:widowControl/>
              <w:adjustRightInd w:val="0"/>
              <w:snapToGrid w:val="0"/>
              <w:spacing w:line="440" w:lineRule="exact"/>
              <w:ind w:firstLine="480" w:firstLineChars="200"/>
              <w:rPr>
                <w:rFonts w:ascii="Times New Roman" w:hAnsi="Times New Roman"/>
                <w:bCs/>
                <w:color w:val="auto"/>
                <w:kern w:val="0"/>
                <w:sz w:val="24"/>
                <w:szCs w:val="24"/>
                <w:lang w:bidi="ar"/>
              </w:rPr>
            </w:pPr>
            <w:r>
              <w:rPr>
                <w:rFonts w:ascii="Times New Roman" w:hAnsi="Times New Roman"/>
                <w:bCs/>
                <w:color w:val="auto"/>
                <w:kern w:val="0"/>
                <w:sz w:val="24"/>
                <w:szCs w:val="24"/>
                <w:lang w:bidi="ar"/>
              </w:rPr>
              <w:t>⑧</w:t>
            </w:r>
            <w:r>
              <w:rPr>
                <w:rStyle w:val="30"/>
                <w:rFonts w:ascii="Times New Roman" w:hAnsi="Times New Roman"/>
                <w:b w:val="0"/>
                <w:bCs/>
                <w:color w:val="auto"/>
                <w:kern w:val="0"/>
                <w:sz w:val="24"/>
                <w:szCs w:val="24"/>
                <w:lang w:bidi="ar"/>
              </w:rPr>
              <w:t>药用植物资源</w:t>
            </w:r>
          </w:p>
          <w:p w14:paraId="71B87514">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bCs/>
                <w:color w:val="auto"/>
                <w:kern w:val="0"/>
                <w:sz w:val="24"/>
                <w:szCs w:val="24"/>
                <w:lang w:bidi="ar"/>
              </w:rPr>
              <w:t>评价区有药用植物80余种。虽然种类丰富，但蕴藏量不大，主要是一些中草药资源，除当地居民和民间草医有少量采用外，部分则为当地居民采集后出售，常见的有：土人参</w:t>
            </w:r>
            <w:r>
              <w:rPr>
                <w:rStyle w:val="31"/>
                <w:rFonts w:ascii="Times New Roman" w:hAnsi="Times New Roman"/>
                <w:bCs/>
                <w:color w:val="auto"/>
                <w:kern w:val="0"/>
                <w:sz w:val="24"/>
                <w:szCs w:val="24"/>
                <w:lang w:bidi="ar"/>
              </w:rPr>
              <w:t>Talinum patens</w:t>
            </w:r>
            <w:r>
              <w:rPr>
                <w:rFonts w:ascii="Times New Roman" w:hAnsi="Times New Roman"/>
                <w:bCs/>
                <w:color w:val="auto"/>
                <w:kern w:val="0"/>
                <w:sz w:val="24"/>
                <w:szCs w:val="24"/>
                <w:lang w:bidi="ar"/>
              </w:rPr>
              <w:t>、土牛膝</w:t>
            </w:r>
            <w:r>
              <w:rPr>
                <w:rStyle w:val="31"/>
                <w:rFonts w:ascii="Times New Roman" w:hAnsi="Times New Roman"/>
                <w:bCs/>
                <w:color w:val="auto"/>
                <w:kern w:val="0"/>
                <w:sz w:val="24"/>
                <w:szCs w:val="24"/>
                <w:lang w:bidi="ar"/>
              </w:rPr>
              <w:t>Achyranthes asper</w:t>
            </w:r>
            <w:r>
              <w:rPr>
                <w:rFonts w:ascii="Times New Roman" w:hAnsi="Times New Roman"/>
                <w:bCs/>
                <w:color w:val="auto"/>
                <w:kern w:val="0"/>
                <w:sz w:val="24"/>
                <w:szCs w:val="24"/>
                <w:lang w:bidi="ar"/>
              </w:rPr>
              <w:t>、清香木</w:t>
            </w:r>
            <w:r>
              <w:rPr>
                <w:rStyle w:val="31"/>
                <w:rFonts w:ascii="Times New Roman" w:hAnsi="Times New Roman"/>
                <w:bCs/>
                <w:color w:val="auto"/>
                <w:kern w:val="0"/>
                <w:sz w:val="24"/>
                <w:szCs w:val="24"/>
                <w:lang w:bidi="ar"/>
              </w:rPr>
              <w:t>Pistacia weinmannifolia</w:t>
            </w:r>
            <w:r>
              <w:rPr>
                <w:rFonts w:ascii="Times New Roman" w:hAnsi="Times New Roman"/>
                <w:bCs/>
                <w:color w:val="auto"/>
                <w:kern w:val="0"/>
                <w:sz w:val="24"/>
                <w:szCs w:val="24"/>
                <w:lang w:bidi="ar"/>
              </w:rPr>
              <w:t>、益母草</w:t>
            </w:r>
            <w:r>
              <w:rPr>
                <w:rStyle w:val="31"/>
                <w:rFonts w:ascii="Times New Roman" w:hAnsi="Times New Roman"/>
                <w:bCs/>
                <w:color w:val="auto"/>
                <w:kern w:val="0"/>
                <w:sz w:val="24"/>
                <w:szCs w:val="24"/>
                <w:lang w:bidi="ar"/>
              </w:rPr>
              <w:t>Leonurus japonicus</w:t>
            </w:r>
            <w:r>
              <w:rPr>
                <w:rFonts w:ascii="Times New Roman" w:hAnsi="Times New Roman"/>
                <w:bCs/>
                <w:color w:val="auto"/>
                <w:kern w:val="0"/>
                <w:sz w:val="24"/>
                <w:szCs w:val="24"/>
                <w:lang w:bidi="ar"/>
              </w:rPr>
              <w:t>、千里光</w:t>
            </w:r>
            <w:r>
              <w:rPr>
                <w:rStyle w:val="31"/>
                <w:rFonts w:ascii="Times New Roman" w:hAnsi="Times New Roman"/>
                <w:bCs/>
                <w:color w:val="auto"/>
                <w:kern w:val="0"/>
                <w:sz w:val="24"/>
                <w:szCs w:val="24"/>
                <w:lang w:bidi="ar"/>
              </w:rPr>
              <w:t>Senecio scandens</w:t>
            </w:r>
            <w:r>
              <w:rPr>
                <w:rFonts w:ascii="Times New Roman" w:hAnsi="Times New Roman"/>
                <w:bCs/>
                <w:color w:val="auto"/>
                <w:kern w:val="0"/>
                <w:sz w:val="24"/>
                <w:szCs w:val="24"/>
                <w:lang w:bidi="ar"/>
              </w:rPr>
              <w:t>等。</w:t>
            </w:r>
          </w:p>
          <w:p w14:paraId="4C7062CC">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评价区在植被区划上属滇中、滇东高原半湿润常绿阔叶林、云南松林区，滇东北高原、中山云南松林羊草草甸亚区：</w:t>
            </w:r>
            <w:r>
              <w:rPr>
                <w:rFonts w:ascii="Times New Roman" w:hAnsi="Times New Roman"/>
                <w:color w:val="auto"/>
                <w:sz w:val="24"/>
                <w:szCs w:val="24"/>
              </w:rPr>
              <w:t>暖温性针叶林植被发达，裸子植物分布面积最大，以云南松林为主，多为常绿阔叶林破坏后形成的次生性植被。</w:t>
            </w:r>
          </w:p>
          <w:p w14:paraId="0E8B008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原生落叶阔叶林几乎绝迹，仅零星残存于红土层深厚的溶蚀洼地内。受人为破坏影响，半湿润常绿阔叶林、暖温性针叶林退化为暖温性灌丛及稀树灌木草丛，荒山坡地以刺芒野古草、禾草及火棘、野棠梨、胡颓子等有刺灌丛为主。地势起伏不大，植被垂直分异不明显，土壤基质对植被分布制约突出：泥灰岩、砂页岩基质上的赤红壤保水能力较强，利于云南松生长。</w:t>
            </w:r>
          </w:p>
          <w:p w14:paraId="73E3D0EA">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（3）区系特征</w:t>
            </w:r>
          </w:p>
          <w:p w14:paraId="24B28FC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bCs/>
                <w:color w:val="auto"/>
                <w:sz w:val="24"/>
                <w:szCs w:val="24"/>
              </w:rPr>
              <w:t>评价区位于云南省东北部，处于四川盆地西南部向云南高原东北部过渡的高原倾斜面上，地貌上属乌蒙山地区的</w:t>
            </w:r>
            <w:r>
              <w:rPr>
                <w:rFonts w:hint="eastAsia" w:ascii="Times New Roman" w:hAnsi="Times New Roman"/>
                <w:bCs/>
                <w:color w:val="auto"/>
                <w:sz w:val="24"/>
                <w:szCs w:val="24"/>
              </w:rPr>
              <w:t>中山</w:t>
            </w:r>
            <w:r>
              <w:rPr>
                <w:rFonts w:ascii="Times New Roman" w:hAnsi="Times New Roman"/>
                <w:bCs/>
                <w:color w:val="auto"/>
                <w:sz w:val="24"/>
                <w:szCs w:val="24"/>
              </w:rPr>
              <w:t>河谷地貌，为云南亚热带东部地带的滇东北边沿中山河谷区。</w:t>
            </w:r>
            <w:r>
              <w:rPr>
                <w:rFonts w:ascii="Times New Roman" w:hAnsi="Times New Roman"/>
                <w:color w:val="auto"/>
                <w:sz w:val="24"/>
                <w:szCs w:val="24"/>
              </w:rPr>
              <w:t>根据中国种子植物区系区划，评价区域属于东亚植物区（Ⅲ）、中国—日本森林植物亚区（ⅢD）、华中地区（ⅢD10）、贵州高原亚地区（ⅢD10d）。该区域地处中国—日本森林植物亚区（ⅢD）和中国-喜马拉雅植物亚区（ⅢE）的</w:t>
            </w:r>
            <w:r>
              <w:rPr>
                <w:rFonts w:hint="eastAsia" w:ascii="Times New Roman" w:hAnsi="Times New Roman"/>
                <w:color w:val="auto"/>
                <w:sz w:val="24"/>
                <w:szCs w:val="24"/>
                <w:lang w:eastAsia="zh-CN"/>
              </w:rPr>
              <w:t>过渡</w:t>
            </w:r>
            <w:r>
              <w:rPr>
                <w:rFonts w:ascii="Times New Roman" w:hAnsi="Times New Roman"/>
                <w:color w:val="auto"/>
                <w:sz w:val="24"/>
                <w:szCs w:val="24"/>
              </w:rPr>
              <w:t>地段，植物区系成分较为复杂。</w:t>
            </w:r>
          </w:p>
          <w:p w14:paraId="05A11644">
            <w:pPr>
              <w:adjustRightInd w:val="0"/>
              <w:snapToGrid w:val="0"/>
              <w:spacing w:line="440" w:lineRule="exact"/>
              <w:ind w:firstLine="482" w:firstLineChars="200"/>
              <w:rPr>
                <w:rFonts w:ascii="Times New Roman" w:hAnsi="Times New Roman"/>
                <w:b/>
                <w:bCs/>
                <w:color w:val="auto"/>
                <w:sz w:val="24"/>
                <w:szCs w:val="24"/>
                <w:lang w:val="zh-CN"/>
              </w:rPr>
            </w:pPr>
            <w:r>
              <w:rPr>
                <w:rFonts w:hint="eastAsia" w:ascii="Times New Roman" w:hAnsi="Times New Roman"/>
                <w:b/>
                <w:bCs/>
                <w:color w:val="auto"/>
                <w:sz w:val="24"/>
                <w:szCs w:val="24"/>
              </w:rPr>
              <w:t>3.2.1.5</w:t>
            </w:r>
            <w:r>
              <w:rPr>
                <w:rFonts w:ascii="Times New Roman" w:hAnsi="Times New Roman"/>
                <w:b/>
                <w:bCs/>
                <w:color w:val="auto"/>
                <w:sz w:val="24"/>
                <w:szCs w:val="24"/>
                <w:lang w:val="zh-CN"/>
              </w:rPr>
              <w:t>评价区植物群落调查结论</w:t>
            </w:r>
          </w:p>
          <w:p w14:paraId="0FDFD78B">
            <w:pPr>
              <w:adjustRightInd w:val="0"/>
              <w:snapToGrid w:val="0"/>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3-6</w:t>
            </w:r>
            <w:r>
              <w:rPr>
                <w:rFonts w:ascii="Times New Roman" w:hAnsi="Times New Roman"/>
                <w:b/>
                <w:color w:val="auto"/>
                <w:sz w:val="24"/>
                <w:szCs w:val="32"/>
              </w:rPr>
              <w:t xml:space="preserve">  植物群落调查一览表  单位：hm</w:t>
            </w:r>
            <w:r>
              <w:rPr>
                <w:rFonts w:ascii="Times New Roman" w:hAnsi="Times New Roman"/>
                <w:b/>
                <w:color w:val="auto"/>
                <w:sz w:val="24"/>
                <w:szCs w:val="32"/>
                <w:vertAlign w:val="superscript"/>
              </w:rPr>
              <w:t>2</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270"/>
              <w:gridCol w:w="1139"/>
              <w:gridCol w:w="1261"/>
              <w:gridCol w:w="1775"/>
              <w:gridCol w:w="1033"/>
              <w:gridCol w:w="939"/>
            </w:tblGrid>
            <w:tr w14:paraId="10680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98" w:type="pct"/>
                  <w:vMerge w:val="restart"/>
                  <w:tcBorders>
                    <w:tl2br w:val="nil"/>
                    <w:tr2bl w:val="nil"/>
                  </w:tcBorders>
                  <w:shd w:val="clear" w:color="auto" w:fill="auto"/>
                  <w:vAlign w:val="center"/>
                </w:tcPr>
                <w:p w14:paraId="195CA2C0">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植被型组</w:t>
                  </w:r>
                </w:p>
              </w:tc>
              <w:tc>
                <w:tcPr>
                  <w:tcW w:w="753" w:type="pct"/>
                  <w:vMerge w:val="restart"/>
                  <w:tcBorders>
                    <w:tl2br w:val="nil"/>
                    <w:tr2bl w:val="nil"/>
                  </w:tcBorders>
                  <w:shd w:val="clear" w:color="auto" w:fill="auto"/>
                  <w:vAlign w:val="center"/>
                </w:tcPr>
                <w:p w14:paraId="11DC5C8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植被型</w:t>
                  </w:r>
                </w:p>
              </w:tc>
              <w:tc>
                <w:tcPr>
                  <w:tcW w:w="676" w:type="pct"/>
                  <w:vMerge w:val="restart"/>
                  <w:tcBorders>
                    <w:tl2br w:val="nil"/>
                    <w:tr2bl w:val="nil"/>
                  </w:tcBorders>
                  <w:shd w:val="clear" w:color="auto" w:fill="auto"/>
                  <w:vAlign w:val="center"/>
                </w:tcPr>
                <w:p w14:paraId="4DD619B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植被亚型</w:t>
                  </w:r>
                </w:p>
              </w:tc>
              <w:tc>
                <w:tcPr>
                  <w:tcW w:w="748" w:type="pct"/>
                  <w:vMerge w:val="restart"/>
                  <w:tcBorders>
                    <w:tl2br w:val="nil"/>
                    <w:tr2bl w:val="nil"/>
                  </w:tcBorders>
                  <w:shd w:val="clear" w:color="auto" w:fill="auto"/>
                  <w:vAlign w:val="center"/>
                </w:tcPr>
                <w:p w14:paraId="29A501DB">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群系</w:t>
                  </w:r>
                </w:p>
              </w:tc>
              <w:tc>
                <w:tcPr>
                  <w:tcW w:w="1053" w:type="pct"/>
                  <w:vMerge w:val="restart"/>
                  <w:tcBorders>
                    <w:tl2br w:val="nil"/>
                    <w:tr2bl w:val="nil"/>
                  </w:tcBorders>
                  <w:shd w:val="clear" w:color="auto" w:fill="auto"/>
                  <w:vAlign w:val="center"/>
                </w:tcPr>
                <w:p w14:paraId="3A4504E0">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分布区域</w:t>
                  </w:r>
                </w:p>
              </w:tc>
              <w:tc>
                <w:tcPr>
                  <w:tcW w:w="1170" w:type="pct"/>
                  <w:gridSpan w:val="2"/>
                  <w:tcBorders>
                    <w:tl2br w:val="nil"/>
                    <w:tr2bl w:val="nil"/>
                  </w:tcBorders>
                  <w:shd w:val="clear" w:color="auto" w:fill="auto"/>
                  <w:vAlign w:val="center"/>
                </w:tcPr>
                <w:p w14:paraId="04D8E8C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工程占用情况</w:t>
                  </w:r>
                </w:p>
              </w:tc>
            </w:tr>
            <w:tr w14:paraId="35DA32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98" w:type="pct"/>
                  <w:vMerge w:val="continue"/>
                  <w:tcBorders>
                    <w:tl2br w:val="nil"/>
                    <w:tr2bl w:val="nil"/>
                  </w:tcBorders>
                  <w:shd w:val="clear" w:color="auto" w:fill="auto"/>
                  <w:vAlign w:val="center"/>
                </w:tcPr>
                <w:p w14:paraId="01255C11">
                  <w:pPr>
                    <w:adjustRightInd w:val="0"/>
                    <w:snapToGrid w:val="0"/>
                    <w:jc w:val="center"/>
                    <w:rPr>
                      <w:rFonts w:ascii="Times New Roman" w:hAnsi="Times New Roman"/>
                      <w:b/>
                      <w:bCs/>
                      <w:color w:val="auto"/>
                      <w:kern w:val="0"/>
                      <w:szCs w:val="21"/>
                    </w:rPr>
                  </w:pPr>
                </w:p>
              </w:tc>
              <w:tc>
                <w:tcPr>
                  <w:tcW w:w="753" w:type="pct"/>
                  <w:vMerge w:val="continue"/>
                  <w:tcBorders>
                    <w:tl2br w:val="nil"/>
                    <w:tr2bl w:val="nil"/>
                  </w:tcBorders>
                  <w:shd w:val="clear" w:color="auto" w:fill="auto"/>
                  <w:vAlign w:val="center"/>
                </w:tcPr>
                <w:p w14:paraId="1149A9A2">
                  <w:pPr>
                    <w:adjustRightInd w:val="0"/>
                    <w:snapToGrid w:val="0"/>
                    <w:jc w:val="center"/>
                    <w:rPr>
                      <w:rFonts w:ascii="Times New Roman" w:hAnsi="Times New Roman"/>
                      <w:b/>
                      <w:bCs/>
                      <w:color w:val="auto"/>
                      <w:kern w:val="0"/>
                      <w:szCs w:val="21"/>
                    </w:rPr>
                  </w:pPr>
                </w:p>
              </w:tc>
              <w:tc>
                <w:tcPr>
                  <w:tcW w:w="676" w:type="pct"/>
                  <w:vMerge w:val="continue"/>
                  <w:tcBorders>
                    <w:tl2br w:val="nil"/>
                    <w:tr2bl w:val="nil"/>
                  </w:tcBorders>
                  <w:shd w:val="clear" w:color="auto" w:fill="auto"/>
                  <w:vAlign w:val="center"/>
                </w:tcPr>
                <w:p w14:paraId="51FD5AD5">
                  <w:pPr>
                    <w:adjustRightInd w:val="0"/>
                    <w:snapToGrid w:val="0"/>
                    <w:jc w:val="center"/>
                    <w:rPr>
                      <w:rFonts w:ascii="Times New Roman" w:hAnsi="Times New Roman"/>
                      <w:b/>
                      <w:bCs/>
                      <w:color w:val="auto"/>
                      <w:kern w:val="0"/>
                      <w:szCs w:val="21"/>
                    </w:rPr>
                  </w:pPr>
                </w:p>
              </w:tc>
              <w:tc>
                <w:tcPr>
                  <w:tcW w:w="748" w:type="pct"/>
                  <w:vMerge w:val="continue"/>
                  <w:tcBorders>
                    <w:tl2br w:val="nil"/>
                    <w:tr2bl w:val="nil"/>
                  </w:tcBorders>
                  <w:shd w:val="clear" w:color="auto" w:fill="auto"/>
                  <w:vAlign w:val="center"/>
                </w:tcPr>
                <w:p w14:paraId="7F927E72">
                  <w:pPr>
                    <w:adjustRightInd w:val="0"/>
                    <w:snapToGrid w:val="0"/>
                    <w:jc w:val="center"/>
                    <w:rPr>
                      <w:rFonts w:ascii="Times New Roman" w:hAnsi="Times New Roman"/>
                      <w:b/>
                      <w:bCs/>
                      <w:color w:val="auto"/>
                      <w:kern w:val="0"/>
                      <w:szCs w:val="21"/>
                    </w:rPr>
                  </w:pPr>
                </w:p>
              </w:tc>
              <w:tc>
                <w:tcPr>
                  <w:tcW w:w="1053" w:type="pct"/>
                  <w:vMerge w:val="continue"/>
                  <w:tcBorders>
                    <w:tl2br w:val="nil"/>
                    <w:tr2bl w:val="nil"/>
                  </w:tcBorders>
                  <w:shd w:val="clear" w:color="auto" w:fill="auto"/>
                  <w:vAlign w:val="center"/>
                </w:tcPr>
                <w:p w14:paraId="3209D480">
                  <w:pPr>
                    <w:adjustRightInd w:val="0"/>
                    <w:snapToGrid w:val="0"/>
                    <w:jc w:val="center"/>
                    <w:rPr>
                      <w:rFonts w:ascii="Times New Roman" w:hAnsi="Times New Roman"/>
                      <w:b/>
                      <w:bCs/>
                      <w:color w:val="auto"/>
                      <w:kern w:val="0"/>
                      <w:szCs w:val="21"/>
                    </w:rPr>
                  </w:pPr>
                </w:p>
              </w:tc>
              <w:tc>
                <w:tcPr>
                  <w:tcW w:w="613" w:type="pct"/>
                  <w:tcBorders>
                    <w:tl2br w:val="nil"/>
                    <w:tr2bl w:val="nil"/>
                  </w:tcBorders>
                  <w:shd w:val="clear" w:color="auto" w:fill="auto"/>
                  <w:vAlign w:val="center"/>
                </w:tcPr>
                <w:p w14:paraId="3E29FA5B">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占用面积（hm²）</w:t>
                  </w:r>
                </w:p>
              </w:tc>
              <w:tc>
                <w:tcPr>
                  <w:tcW w:w="557" w:type="pct"/>
                  <w:tcBorders>
                    <w:tl2br w:val="nil"/>
                    <w:tr2bl w:val="nil"/>
                  </w:tcBorders>
                  <w:shd w:val="clear" w:color="auto" w:fill="auto"/>
                  <w:vAlign w:val="center"/>
                </w:tcPr>
                <w:p w14:paraId="6B765650">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占用比例（%）</w:t>
                  </w:r>
                </w:p>
              </w:tc>
            </w:tr>
            <w:tr w14:paraId="5BCE02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510" w:hRule="atLeast"/>
                <w:jc w:val="center"/>
              </w:trPr>
              <w:tc>
                <w:tcPr>
                  <w:tcW w:w="598" w:type="pct"/>
                  <w:vMerge w:val="restart"/>
                  <w:tcBorders>
                    <w:tl2br w:val="nil"/>
                    <w:tr2bl w:val="nil"/>
                  </w:tcBorders>
                  <w:shd w:val="clear" w:color="auto" w:fill="auto"/>
                  <w:vAlign w:val="center"/>
                </w:tcPr>
                <w:p w14:paraId="0ECD40B7">
                  <w:pPr>
                    <w:adjustRightInd w:val="0"/>
                    <w:snapToGrid w:val="0"/>
                    <w:jc w:val="center"/>
                    <w:rPr>
                      <w:rFonts w:ascii="Times New Roman" w:hAnsi="Times New Roman"/>
                      <w:color w:val="auto"/>
                      <w:kern w:val="0"/>
                      <w:szCs w:val="21"/>
                    </w:rPr>
                  </w:pPr>
                  <w:r>
                    <w:rPr>
                      <w:rFonts w:ascii="Times New Roman" w:hAnsi="Times New Roman"/>
                      <w:color w:val="auto"/>
                      <w:kern w:val="0"/>
                      <w:szCs w:val="21"/>
                    </w:rPr>
                    <w:t>A.天然植被</w:t>
                  </w:r>
                </w:p>
              </w:tc>
              <w:tc>
                <w:tcPr>
                  <w:tcW w:w="753" w:type="pct"/>
                  <w:tcBorders>
                    <w:tl2br w:val="nil"/>
                    <w:tr2bl w:val="nil"/>
                  </w:tcBorders>
                  <w:shd w:val="clear" w:color="auto" w:fill="auto"/>
                  <w:vAlign w:val="center"/>
                </w:tcPr>
                <w:p w14:paraId="73385A09">
                  <w:pPr>
                    <w:adjustRightInd w:val="0"/>
                    <w:snapToGrid w:val="0"/>
                    <w:jc w:val="center"/>
                    <w:rPr>
                      <w:rFonts w:ascii="Times New Roman" w:hAnsi="Times New Roman"/>
                      <w:color w:val="auto"/>
                      <w:kern w:val="0"/>
                      <w:szCs w:val="21"/>
                    </w:rPr>
                  </w:pPr>
                  <w:r>
                    <w:rPr>
                      <w:rFonts w:ascii="Times New Roman" w:hAnsi="Times New Roman"/>
                      <w:color w:val="auto"/>
                      <w:kern w:val="0"/>
                      <w:szCs w:val="21"/>
                    </w:rPr>
                    <w:t>一、针叶林</w:t>
                  </w:r>
                </w:p>
              </w:tc>
              <w:tc>
                <w:tcPr>
                  <w:tcW w:w="676" w:type="pct"/>
                  <w:tcBorders>
                    <w:tl2br w:val="nil"/>
                    <w:tr2bl w:val="nil"/>
                  </w:tcBorders>
                  <w:shd w:val="clear" w:color="auto" w:fill="auto"/>
                  <w:vAlign w:val="center"/>
                </w:tcPr>
                <w:p w14:paraId="53E2F5E4">
                  <w:pPr>
                    <w:adjustRightInd w:val="0"/>
                    <w:snapToGrid w:val="0"/>
                    <w:jc w:val="center"/>
                    <w:rPr>
                      <w:rFonts w:ascii="Times New Roman" w:hAnsi="Times New Roman"/>
                      <w:color w:val="auto"/>
                      <w:kern w:val="0"/>
                      <w:szCs w:val="21"/>
                    </w:rPr>
                  </w:pPr>
                  <w:r>
                    <w:rPr>
                      <w:rFonts w:ascii="Times New Roman" w:hAnsi="Times New Roman"/>
                      <w:color w:val="auto"/>
                      <w:kern w:val="0"/>
                      <w:szCs w:val="21"/>
                    </w:rPr>
                    <w:t>（I）暖性针叶林</w:t>
                  </w:r>
                </w:p>
              </w:tc>
              <w:tc>
                <w:tcPr>
                  <w:tcW w:w="748" w:type="pct"/>
                  <w:tcBorders>
                    <w:tl2br w:val="nil"/>
                    <w:tr2bl w:val="nil"/>
                  </w:tcBorders>
                  <w:shd w:val="clear" w:color="auto" w:fill="auto"/>
                  <w:vAlign w:val="center"/>
                </w:tcPr>
                <w:p w14:paraId="450017F3">
                  <w:pPr>
                    <w:adjustRightInd w:val="0"/>
                    <w:snapToGrid w:val="0"/>
                    <w:jc w:val="center"/>
                    <w:rPr>
                      <w:rFonts w:ascii="Times New Roman" w:hAnsi="Times New Roman"/>
                      <w:color w:val="auto"/>
                      <w:kern w:val="0"/>
                      <w:szCs w:val="21"/>
                    </w:rPr>
                  </w:pPr>
                  <w:r>
                    <w:rPr>
                      <w:rFonts w:ascii="Times New Roman" w:hAnsi="Times New Roman"/>
                      <w:color w:val="auto"/>
                      <w:kern w:val="0"/>
                      <w:szCs w:val="21"/>
                    </w:rPr>
                    <w:t>1、暖温性针叶林</w:t>
                  </w:r>
                </w:p>
              </w:tc>
              <w:tc>
                <w:tcPr>
                  <w:tcW w:w="1053" w:type="pct"/>
                  <w:tcBorders>
                    <w:tl2br w:val="nil"/>
                    <w:tr2bl w:val="nil"/>
                  </w:tcBorders>
                  <w:shd w:val="clear" w:color="auto" w:fill="auto"/>
                  <w:vAlign w:val="center"/>
                </w:tcPr>
                <w:p w14:paraId="2FA3A33D">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零星分布</w:t>
                  </w:r>
                </w:p>
              </w:tc>
              <w:tc>
                <w:tcPr>
                  <w:tcW w:w="613" w:type="pct"/>
                  <w:tcBorders>
                    <w:tl2br w:val="nil"/>
                    <w:tr2bl w:val="nil"/>
                  </w:tcBorders>
                  <w:shd w:val="clear" w:color="auto" w:fill="auto"/>
                  <w:vAlign w:val="center"/>
                </w:tcPr>
                <w:p w14:paraId="33BA2C7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0.65</w:t>
                  </w:r>
                </w:p>
              </w:tc>
              <w:tc>
                <w:tcPr>
                  <w:tcW w:w="950" w:type="dxa"/>
                  <w:tcBorders>
                    <w:tl2br w:val="nil"/>
                    <w:tr2bl w:val="nil"/>
                  </w:tcBorders>
                  <w:shd w:val="clear" w:color="auto" w:fill="auto"/>
                  <w:vAlign w:val="center"/>
                </w:tcPr>
                <w:p w14:paraId="0848616B">
                  <w:pPr>
                    <w:adjustRightInd w:val="0"/>
                    <w:snapToGrid w:val="0"/>
                    <w:jc w:val="center"/>
                    <w:rPr>
                      <w:rFonts w:ascii="Times New Roman" w:hAnsi="Times New Roman"/>
                      <w:color w:val="auto"/>
                      <w:kern w:val="0"/>
                      <w:szCs w:val="21"/>
                    </w:rPr>
                  </w:pPr>
                  <w:r>
                    <w:rPr>
                      <w:rFonts w:ascii="Times New Roman" w:hAnsi="Times New Roman"/>
                      <w:color w:val="auto"/>
                      <w:kern w:val="0"/>
                      <w:szCs w:val="21"/>
                    </w:rPr>
                    <w:t xml:space="preserve">0.05 </w:t>
                  </w:r>
                </w:p>
              </w:tc>
            </w:tr>
            <w:tr w14:paraId="57746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98" w:type="pct"/>
                  <w:vMerge w:val="continue"/>
                  <w:tcBorders>
                    <w:tl2br w:val="nil"/>
                    <w:tr2bl w:val="nil"/>
                  </w:tcBorders>
                  <w:shd w:val="clear" w:color="auto" w:fill="auto"/>
                  <w:vAlign w:val="center"/>
                </w:tcPr>
                <w:p w14:paraId="093C8D7D">
                  <w:pPr>
                    <w:adjustRightInd w:val="0"/>
                    <w:snapToGrid w:val="0"/>
                    <w:jc w:val="center"/>
                    <w:rPr>
                      <w:rFonts w:ascii="Times New Roman" w:hAnsi="Times New Roman"/>
                      <w:color w:val="auto"/>
                      <w:kern w:val="0"/>
                      <w:szCs w:val="21"/>
                    </w:rPr>
                  </w:pPr>
                </w:p>
              </w:tc>
              <w:tc>
                <w:tcPr>
                  <w:tcW w:w="753" w:type="pct"/>
                  <w:tcBorders>
                    <w:tl2br w:val="nil"/>
                    <w:tr2bl w:val="nil"/>
                  </w:tcBorders>
                  <w:shd w:val="clear" w:color="auto" w:fill="auto"/>
                  <w:vAlign w:val="center"/>
                </w:tcPr>
                <w:p w14:paraId="730CABA1">
                  <w:pPr>
                    <w:adjustRightInd w:val="0"/>
                    <w:snapToGrid w:val="0"/>
                    <w:jc w:val="center"/>
                    <w:rPr>
                      <w:rFonts w:ascii="Times New Roman" w:hAnsi="Times New Roman"/>
                      <w:color w:val="auto"/>
                      <w:kern w:val="0"/>
                      <w:szCs w:val="21"/>
                    </w:rPr>
                  </w:pPr>
                  <w:r>
                    <w:rPr>
                      <w:rFonts w:ascii="Times New Roman" w:hAnsi="Times New Roman"/>
                      <w:color w:val="auto"/>
                      <w:kern w:val="0"/>
                      <w:szCs w:val="21"/>
                    </w:rPr>
                    <w:t>二、灌丛</w:t>
                  </w:r>
                </w:p>
              </w:tc>
              <w:tc>
                <w:tcPr>
                  <w:tcW w:w="676" w:type="pct"/>
                  <w:tcBorders>
                    <w:tl2br w:val="nil"/>
                    <w:tr2bl w:val="nil"/>
                  </w:tcBorders>
                  <w:shd w:val="clear" w:color="auto" w:fill="auto"/>
                  <w:vAlign w:val="center"/>
                </w:tcPr>
                <w:p w14:paraId="48213AAC">
                  <w:pPr>
                    <w:adjustRightInd w:val="0"/>
                    <w:snapToGrid w:val="0"/>
                    <w:jc w:val="center"/>
                    <w:rPr>
                      <w:rFonts w:ascii="Times New Roman" w:hAnsi="Times New Roman"/>
                      <w:color w:val="auto"/>
                      <w:kern w:val="0"/>
                      <w:szCs w:val="21"/>
                    </w:rPr>
                  </w:pPr>
                  <w:r>
                    <w:rPr>
                      <w:rFonts w:ascii="Times New Roman" w:hAnsi="Times New Roman"/>
                      <w:color w:val="auto"/>
                      <w:kern w:val="0"/>
                      <w:szCs w:val="21"/>
                    </w:rPr>
                    <w:t>（II）暖性石灰岩灌</w:t>
                  </w:r>
                </w:p>
              </w:tc>
              <w:tc>
                <w:tcPr>
                  <w:tcW w:w="748" w:type="pct"/>
                  <w:tcBorders>
                    <w:tl2br w:val="nil"/>
                    <w:tr2bl w:val="nil"/>
                  </w:tcBorders>
                  <w:shd w:val="clear" w:color="auto" w:fill="auto"/>
                  <w:vAlign w:val="center"/>
                </w:tcPr>
                <w:p w14:paraId="3DD4A3A3">
                  <w:pPr>
                    <w:adjustRightInd w:val="0"/>
                    <w:snapToGrid w:val="0"/>
                    <w:jc w:val="center"/>
                    <w:rPr>
                      <w:rFonts w:ascii="Times New Roman" w:hAnsi="Times New Roman"/>
                      <w:color w:val="auto"/>
                      <w:kern w:val="0"/>
                      <w:szCs w:val="21"/>
                    </w:rPr>
                  </w:pPr>
                  <w:r>
                    <w:rPr>
                      <w:rFonts w:ascii="Times New Roman" w:hAnsi="Times New Roman"/>
                      <w:color w:val="auto"/>
                      <w:kern w:val="0"/>
                      <w:szCs w:val="21"/>
                    </w:rPr>
                    <w:t>2、</w:t>
                  </w:r>
                  <w:r>
                    <w:rPr>
                      <w:rFonts w:hint="eastAsia" w:ascii="Times New Roman" w:hAnsi="Times New Roman"/>
                      <w:color w:val="auto"/>
                      <w:kern w:val="0"/>
                      <w:szCs w:val="21"/>
                    </w:rPr>
                    <w:t>黑面神</w:t>
                  </w:r>
                  <w:r>
                    <w:rPr>
                      <w:rFonts w:ascii="Times New Roman" w:hAnsi="Times New Roman"/>
                      <w:color w:val="auto"/>
                      <w:kern w:val="0"/>
                      <w:szCs w:val="21"/>
                    </w:rPr>
                    <w:t>灌丛</w:t>
                  </w:r>
                </w:p>
              </w:tc>
              <w:tc>
                <w:tcPr>
                  <w:tcW w:w="1053" w:type="pct"/>
                  <w:tcBorders>
                    <w:tl2br w:val="nil"/>
                    <w:tr2bl w:val="nil"/>
                  </w:tcBorders>
                  <w:shd w:val="clear" w:color="auto" w:fill="auto"/>
                  <w:vAlign w:val="center"/>
                </w:tcPr>
                <w:p w14:paraId="2196852D">
                  <w:pPr>
                    <w:adjustRightInd w:val="0"/>
                    <w:snapToGrid w:val="0"/>
                    <w:jc w:val="center"/>
                    <w:rPr>
                      <w:rFonts w:ascii="Times New Roman" w:hAnsi="Times New Roman"/>
                      <w:color w:val="auto"/>
                      <w:kern w:val="0"/>
                      <w:szCs w:val="21"/>
                    </w:rPr>
                  </w:pPr>
                  <w:r>
                    <w:rPr>
                      <w:rFonts w:ascii="Times New Roman" w:hAnsi="Times New Roman"/>
                      <w:color w:val="auto"/>
                      <w:kern w:val="0"/>
                      <w:szCs w:val="21"/>
                    </w:rPr>
                    <w:t>石灰岩发育山坡</w:t>
                  </w:r>
                </w:p>
              </w:tc>
              <w:tc>
                <w:tcPr>
                  <w:tcW w:w="613" w:type="pct"/>
                  <w:tcBorders>
                    <w:tl2br w:val="nil"/>
                    <w:tr2bl w:val="nil"/>
                  </w:tcBorders>
                  <w:shd w:val="clear" w:color="auto" w:fill="auto"/>
                  <w:vAlign w:val="center"/>
                </w:tcPr>
                <w:p w14:paraId="267FC47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0</w:t>
                  </w:r>
                </w:p>
              </w:tc>
              <w:tc>
                <w:tcPr>
                  <w:tcW w:w="950" w:type="dxa"/>
                  <w:tcBorders>
                    <w:tl2br w:val="nil"/>
                    <w:tr2bl w:val="nil"/>
                  </w:tcBorders>
                  <w:shd w:val="clear" w:color="auto" w:fill="auto"/>
                  <w:vAlign w:val="center"/>
                </w:tcPr>
                <w:p w14:paraId="0EA1277B">
                  <w:pPr>
                    <w:adjustRightInd w:val="0"/>
                    <w:snapToGrid w:val="0"/>
                    <w:jc w:val="center"/>
                    <w:rPr>
                      <w:rFonts w:ascii="Times New Roman" w:hAnsi="Times New Roman"/>
                      <w:color w:val="auto"/>
                      <w:kern w:val="0"/>
                      <w:szCs w:val="21"/>
                    </w:rPr>
                  </w:pPr>
                  <w:r>
                    <w:rPr>
                      <w:rFonts w:ascii="Times New Roman" w:hAnsi="Times New Roman"/>
                      <w:color w:val="auto"/>
                      <w:kern w:val="0"/>
                      <w:szCs w:val="21"/>
                    </w:rPr>
                    <w:t xml:space="preserve">0.00 </w:t>
                  </w:r>
                </w:p>
              </w:tc>
            </w:tr>
            <w:tr w14:paraId="4DAA2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598" w:type="pct"/>
                  <w:vMerge w:val="continue"/>
                  <w:tcBorders>
                    <w:tl2br w:val="nil"/>
                    <w:tr2bl w:val="nil"/>
                  </w:tcBorders>
                  <w:shd w:val="clear" w:color="auto" w:fill="auto"/>
                  <w:vAlign w:val="center"/>
                </w:tcPr>
                <w:p w14:paraId="2758C62F">
                  <w:pPr>
                    <w:adjustRightInd w:val="0"/>
                    <w:snapToGrid w:val="0"/>
                    <w:jc w:val="center"/>
                    <w:rPr>
                      <w:rFonts w:ascii="Times New Roman" w:hAnsi="Times New Roman"/>
                      <w:color w:val="auto"/>
                      <w:kern w:val="0"/>
                      <w:szCs w:val="21"/>
                    </w:rPr>
                  </w:pPr>
                </w:p>
              </w:tc>
              <w:tc>
                <w:tcPr>
                  <w:tcW w:w="753" w:type="pct"/>
                  <w:tcBorders>
                    <w:tl2br w:val="nil"/>
                    <w:tr2bl w:val="nil"/>
                  </w:tcBorders>
                  <w:shd w:val="clear" w:color="auto" w:fill="auto"/>
                  <w:vAlign w:val="center"/>
                </w:tcPr>
                <w:p w14:paraId="13B7C415">
                  <w:pPr>
                    <w:adjustRightInd w:val="0"/>
                    <w:snapToGrid w:val="0"/>
                    <w:jc w:val="center"/>
                    <w:rPr>
                      <w:rFonts w:ascii="Times New Roman" w:hAnsi="Times New Roman"/>
                      <w:color w:val="auto"/>
                      <w:kern w:val="0"/>
                      <w:szCs w:val="21"/>
                    </w:rPr>
                  </w:pPr>
                  <w:r>
                    <w:rPr>
                      <w:rFonts w:ascii="Times New Roman" w:hAnsi="Times New Roman"/>
                      <w:color w:val="auto"/>
                      <w:kern w:val="0"/>
                      <w:szCs w:val="21"/>
                    </w:rPr>
                    <w:t>三、稀树灌木草丛</w:t>
                  </w:r>
                </w:p>
              </w:tc>
              <w:tc>
                <w:tcPr>
                  <w:tcW w:w="676" w:type="pct"/>
                  <w:tcBorders>
                    <w:tl2br w:val="nil"/>
                    <w:tr2bl w:val="nil"/>
                  </w:tcBorders>
                  <w:shd w:val="clear" w:color="auto" w:fill="auto"/>
                  <w:vAlign w:val="center"/>
                </w:tcPr>
                <w:p w14:paraId="0BEA064A">
                  <w:pPr>
                    <w:adjustRightInd w:val="0"/>
                    <w:snapToGrid w:val="0"/>
                    <w:jc w:val="center"/>
                    <w:rPr>
                      <w:rFonts w:ascii="Times New Roman" w:hAnsi="Times New Roman"/>
                      <w:color w:val="auto"/>
                      <w:kern w:val="0"/>
                      <w:szCs w:val="21"/>
                    </w:rPr>
                  </w:pPr>
                  <w:r>
                    <w:rPr>
                      <w:rFonts w:ascii="Times New Roman" w:hAnsi="Times New Roman"/>
                      <w:color w:val="auto"/>
                      <w:kern w:val="0"/>
                      <w:szCs w:val="21"/>
                    </w:rPr>
                    <w:t>（III）暖温性稀树灌木草丛</w:t>
                  </w:r>
                </w:p>
              </w:tc>
              <w:tc>
                <w:tcPr>
                  <w:tcW w:w="748" w:type="pct"/>
                  <w:tcBorders>
                    <w:tl2br w:val="nil"/>
                    <w:tr2bl w:val="nil"/>
                  </w:tcBorders>
                  <w:shd w:val="clear" w:color="auto" w:fill="auto"/>
                  <w:vAlign w:val="center"/>
                </w:tcPr>
                <w:p w14:paraId="2C000240">
                  <w:pPr>
                    <w:adjustRightInd w:val="0"/>
                    <w:snapToGrid w:val="0"/>
                    <w:jc w:val="center"/>
                    <w:rPr>
                      <w:rFonts w:ascii="Times New Roman" w:hAnsi="Times New Roman"/>
                      <w:color w:val="auto"/>
                      <w:kern w:val="0"/>
                      <w:szCs w:val="21"/>
                    </w:rPr>
                  </w:pPr>
                  <w:r>
                    <w:rPr>
                      <w:rFonts w:ascii="Times New Roman" w:hAnsi="Times New Roman"/>
                      <w:color w:val="auto"/>
                      <w:kern w:val="0"/>
                      <w:szCs w:val="21"/>
                    </w:rPr>
                    <w:t>3、含云南松</w:t>
                  </w:r>
                  <w:r>
                    <w:rPr>
                      <w:rFonts w:hint="eastAsia" w:ascii="Times New Roman" w:hAnsi="Times New Roman"/>
                      <w:color w:val="auto"/>
                      <w:kern w:val="0"/>
                      <w:szCs w:val="21"/>
                    </w:rPr>
                    <w:t>、苦刺花</w:t>
                  </w:r>
                  <w:r>
                    <w:rPr>
                      <w:rFonts w:ascii="Times New Roman" w:hAnsi="Times New Roman"/>
                      <w:color w:val="auto"/>
                      <w:kern w:val="0"/>
                      <w:szCs w:val="21"/>
                    </w:rPr>
                    <w:t>的中草草丛</w:t>
                  </w:r>
                </w:p>
              </w:tc>
              <w:tc>
                <w:tcPr>
                  <w:tcW w:w="1053" w:type="pct"/>
                  <w:tcBorders>
                    <w:tl2br w:val="nil"/>
                    <w:tr2bl w:val="nil"/>
                  </w:tcBorders>
                  <w:shd w:val="clear" w:color="auto" w:fill="auto"/>
                  <w:vAlign w:val="center"/>
                </w:tcPr>
                <w:p w14:paraId="17632207">
                  <w:pPr>
                    <w:adjustRightInd w:val="0"/>
                    <w:snapToGrid w:val="0"/>
                    <w:jc w:val="center"/>
                    <w:rPr>
                      <w:rFonts w:ascii="Times New Roman" w:hAnsi="Times New Roman"/>
                      <w:color w:val="auto"/>
                      <w:kern w:val="0"/>
                      <w:szCs w:val="21"/>
                    </w:rPr>
                  </w:pPr>
                  <w:r>
                    <w:rPr>
                      <w:rFonts w:ascii="Times New Roman" w:hAnsi="Times New Roman"/>
                      <w:color w:val="auto"/>
                      <w:kern w:val="0"/>
                      <w:szCs w:val="21"/>
                    </w:rPr>
                    <w:t>广泛分布于评价区内的荒坡、河道、旱地边缘周边</w:t>
                  </w:r>
                </w:p>
              </w:tc>
              <w:tc>
                <w:tcPr>
                  <w:tcW w:w="613" w:type="pct"/>
                  <w:tcBorders>
                    <w:tl2br w:val="nil"/>
                    <w:tr2bl w:val="nil"/>
                  </w:tcBorders>
                  <w:shd w:val="clear" w:color="auto" w:fill="auto"/>
                  <w:vAlign w:val="center"/>
                </w:tcPr>
                <w:p w14:paraId="511D12AD">
                  <w:pPr>
                    <w:adjustRightInd w:val="0"/>
                    <w:snapToGrid w:val="0"/>
                    <w:jc w:val="center"/>
                    <w:rPr>
                      <w:rFonts w:hint="default" w:ascii="Times New Roman" w:hAnsi="Times New Roman"/>
                      <w:color w:val="auto"/>
                      <w:kern w:val="0"/>
                      <w:szCs w:val="21"/>
                      <w:lang w:val="en-US" w:eastAsia="zh-CN"/>
                    </w:rPr>
                  </w:pPr>
                  <w:r>
                    <w:rPr>
                      <w:rFonts w:hint="eastAsia" w:ascii="Times New Roman" w:hAnsi="Times New Roman"/>
                      <w:color w:val="auto"/>
                      <w:kern w:val="0"/>
                      <w:szCs w:val="21"/>
                      <w:lang w:val="en-US" w:eastAsia="zh-CN"/>
                    </w:rPr>
                    <w:t>0.15</w:t>
                  </w:r>
                </w:p>
              </w:tc>
              <w:tc>
                <w:tcPr>
                  <w:tcW w:w="950" w:type="dxa"/>
                  <w:tcBorders>
                    <w:tl2br w:val="nil"/>
                    <w:tr2bl w:val="nil"/>
                  </w:tcBorders>
                  <w:shd w:val="clear" w:color="auto" w:fill="auto"/>
                  <w:vAlign w:val="center"/>
                </w:tcPr>
                <w:p w14:paraId="63625029">
                  <w:pPr>
                    <w:adjustRightInd w:val="0"/>
                    <w:snapToGrid w:val="0"/>
                    <w:jc w:val="center"/>
                    <w:rPr>
                      <w:rFonts w:ascii="Times New Roman" w:hAnsi="Times New Roman"/>
                      <w:color w:val="auto"/>
                      <w:kern w:val="0"/>
                      <w:szCs w:val="21"/>
                    </w:rPr>
                  </w:pPr>
                  <w:r>
                    <w:rPr>
                      <w:rFonts w:ascii="Times New Roman" w:hAnsi="Times New Roman"/>
                      <w:color w:val="auto"/>
                      <w:kern w:val="0"/>
                      <w:szCs w:val="21"/>
                    </w:rPr>
                    <w:t xml:space="preserve">0.02 </w:t>
                  </w:r>
                </w:p>
              </w:tc>
            </w:tr>
            <w:tr w14:paraId="4595A3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98" w:type="pct"/>
                  <w:vMerge w:val="restart"/>
                  <w:tcBorders>
                    <w:tl2br w:val="nil"/>
                    <w:tr2bl w:val="nil"/>
                  </w:tcBorders>
                  <w:shd w:val="clear" w:color="auto" w:fill="auto"/>
                  <w:vAlign w:val="center"/>
                </w:tcPr>
                <w:p w14:paraId="12FAF1D4">
                  <w:pPr>
                    <w:adjustRightInd w:val="0"/>
                    <w:snapToGrid w:val="0"/>
                    <w:jc w:val="center"/>
                    <w:rPr>
                      <w:rFonts w:ascii="Times New Roman" w:hAnsi="Times New Roman"/>
                      <w:color w:val="auto"/>
                      <w:kern w:val="0"/>
                      <w:szCs w:val="21"/>
                    </w:rPr>
                  </w:pPr>
                  <w:r>
                    <w:rPr>
                      <w:rFonts w:ascii="Times New Roman" w:hAnsi="Times New Roman"/>
                      <w:color w:val="auto"/>
                      <w:kern w:val="0"/>
                      <w:szCs w:val="21"/>
                    </w:rPr>
                    <w:t>B.人工植被</w:t>
                  </w:r>
                </w:p>
              </w:tc>
              <w:tc>
                <w:tcPr>
                  <w:tcW w:w="753" w:type="pct"/>
                  <w:tcBorders>
                    <w:tl2br w:val="nil"/>
                    <w:tr2bl w:val="nil"/>
                  </w:tcBorders>
                  <w:shd w:val="clear" w:color="auto" w:fill="auto"/>
                  <w:vAlign w:val="center"/>
                </w:tcPr>
                <w:p w14:paraId="401C1D9E">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676" w:type="pct"/>
                  <w:tcBorders>
                    <w:tl2br w:val="nil"/>
                    <w:tr2bl w:val="nil"/>
                  </w:tcBorders>
                  <w:shd w:val="clear" w:color="auto" w:fill="auto"/>
                  <w:vAlign w:val="center"/>
                </w:tcPr>
                <w:p w14:paraId="11A91ACE">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748" w:type="pct"/>
                  <w:tcBorders>
                    <w:tl2br w:val="nil"/>
                    <w:tr2bl w:val="nil"/>
                  </w:tcBorders>
                  <w:shd w:val="clear" w:color="auto" w:fill="auto"/>
                  <w:vAlign w:val="center"/>
                </w:tcPr>
                <w:p w14:paraId="1F761399">
                  <w:pPr>
                    <w:adjustRightInd w:val="0"/>
                    <w:snapToGrid w:val="0"/>
                    <w:jc w:val="center"/>
                    <w:rPr>
                      <w:rFonts w:ascii="Times New Roman" w:hAnsi="Times New Roman"/>
                      <w:color w:val="auto"/>
                      <w:kern w:val="0"/>
                      <w:szCs w:val="21"/>
                    </w:rPr>
                  </w:pPr>
                  <w:r>
                    <w:rPr>
                      <w:rFonts w:ascii="Times New Roman" w:hAnsi="Times New Roman"/>
                      <w:color w:val="auto"/>
                      <w:kern w:val="0"/>
                      <w:szCs w:val="21"/>
                    </w:rPr>
                    <w:t>耕地农作物</w:t>
                  </w:r>
                </w:p>
              </w:tc>
              <w:tc>
                <w:tcPr>
                  <w:tcW w:w="1053" w:type="pct"/>
                  <w:tcBorders>
                    <w:tl2br w:val="nil"/>
                    <w:tr2bl w:val="nil"/>
                  </w:tcBorders>
                  <w:shd w:val="clear" w:color="auto" w:fill="auto"/>
                  <w:vAlign w:val="center"/>
                </w:tcPr>
                <w:p w14:paraId="0FDAA85B">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613" w:type="pct"/>
                  <w:tcBorders>
                    <w:tl2br w:val="nil"/>
                    <w:tr2bl w:val="nil"/>
                  </w:tcBorders>
                  <w:shd w:val="clear" w:color="auto" w:fill="auto"/>
                  <w:vAlign w:val="center"/>
                </w:tcPr>
                <w:p w14:paraId="52796161">
                  <w:pPr>
                    <w:adjustRightInd w:val="0"/>
                    <w:snapToGrid w:val="0"/>
                    <w:jc w:val="center"/>
                    <w:rPr>
                      <w:rFonts w:hint="default" w:ascii="Times New Roman" w:hAnsi="Times New Roman"/>
                      <w:color w:val="auto"/>
                      <w:kern w:val="0"/>
                      <w:szCs w:val="21"/>
                      <w:lang w:val="en-US" w:eastAsia="zh-CN"/>
                    </w:rPr>
                  </w:pPr>
                  <w:r>
                    <w:rPr>
                      <w:rFonts w:hint="eastAsia" w:ascii="Times New Roman" w:hAnsi="Times New Roman"/>
                      <w:color w:val="auto"/>
                      <w:kern w:val="0"/>
                      <w:szCs w:val="21"/>
                      <w:lang w:val="en-US" w:eastAsia="zh-CN"/>
                    </w:rPr>
                    <w:t>0.12</w:t>
                  </w:r>
                </w:p>
              </w:tc>
              <w:tc>
                <w:tcPr>
                  <w:tcW w:w="950" w:type="dxa"/>
                  <w:tcBorders>
                    <w:tl2br w:val="nil"/>
                    <w:tr2bl w:val="nil"/>
                  </w:tcBorders>
                  <w:shd w:val="clear" w:color="auto" w:fill="auto"/>
                  <w:vAlign w:val="center"/>
                </w:tcPr>
                <w:p w14:paraId="1599BA88">
                  <w:pPr>
                    <w:adjustRightInd w:val="0"/>
                    <w:snapToGrid w:val="0"/>
                    <w:jc w:val="center"/>
                    <w:rPr>
                      <w:rFonts w:ascii="Times New Roman" w:hAnsi="Times New Roman"/>
                      <w:color w:val="auto"/>
                      <w:kern w:val="0"/>
                      <w:szCs w:val="21"/>
                    </w:rPr>
                  </w:pPr>
                  <w:r>
                    <w:rPr>
                      <w:rFonts w:ascii="Times New Roman" w:hAnsi="Times New Roman"/>
                      <w:color w:val="auto"/>
                      <w:kern w:val="0"/>
                      <w:szCs w:val="21"/>
                    </w:rPr>
                    <w:t xml:space="preserve">0.01 </w:t>
                  </w:r>
                </w:p>
              </w:tc>
            </w:tr>
            <w:tr w14:paraId="472132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598" w:type="pct"/>
                  <w:vMerge w:val="continue"/>
                  <w:tcBorders>
                    <w:tl2br w:val="nil"/>
                    <w:tr2bl w:val="nil"/>
                  </w:tcBorders>
                  <w:shd w:val="clear" w:color="auto" w:fill="auto"/>
                  <w:vAlign w:val="center"/>
                </w:tcPr>
                <w:p w14:paraId="18A603FC">
                  <w:pPr>
                    <w:adjustRightInd w:val="0"/>
                    <w:snapToGrid w:val="0"/>
                    <w:jc w:val="center"/>
                    <w:rPr>
                      <w:rFonts w:ascii="Times New Roman" w:hAnsi="Times New Roman"/>
                      <w:color w:val="auto"/>
                      <w:kern w:val="0"/>
                      <w:szCs w:val="21"/>
                    </w:rPr>
                  </w:pPr>
                </w:p>
              </w:tc>
              <w:tc>
                <w:tcPr>
                  <w:tcW w:w="753" w:type="pct"/>
                  <w:tcBorders>
                    <w:tl2br w:val="nil"/>
                    <w:tr2bl w:val="nil"/>
                  </w:tcBorders>
                  <w:shd w:val="clear" w:color="auto" w:fill="auto"/>
                  <w:vAlign w:val="center"/>
                </w:tcPr>
                <w:p w14:paraId="33F39392">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676" w:type="pct"/>
                  <w:tcBorders>
                    <w:tl2br w:val="nil"/>
                    <w:tr2bl w:val="nil"/>
                  </w:tcBorders>
                  <w:shd w:val="clear" w:color="auto" w:fill="auto"/>
                  <w:vAlign w:val="center"/>
                </w:tcPr>
                <w:p w14:paraId="22710449">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748" w:type="pct"/>
                  <w:tcBorders>
                    <w:tl2br w:val="nil"/>
                    <w:tr2bl w:val="nil"/>
                  </w:tcBorders>
                  <w:shd w:val="clear" w:color="auto" w:fill="auto"/>
                  <w:vAlign w:val="center"/>
                </w:tcPr>
                <w:p w14:paraId="64BE197E">
                  <w:pPr>
                    <w:adjustRightInd w:val="0"/>
                    <w:snapToGrid w:val="0"/>
                    <w:jc w:val="center"/>
                    <w:rPr>
                      <w:rFonts w:ascii="Times New Roman" w:hAnsi="Times New Roman"/>
                      <w:color w:val="auto"/>
                      <w:kern w:val="0"/>
                      <w:szCs w:val="21"/>
                    </w:rPr>
                  </w:pPr>
                  <w:r>
                    <w:rPr>
                      <w:rFonts w:ascii="Times New Roman" w:hAnsi="Times New Roman"/>
                      <w:color w:val="auto"/>
                      <w:kern w:val="0"/>
                      <w:szCs w:val="21"/>
                    </w:rPr>
                    <w:t>人工林</w:t>
                  </w:r>
                </w:p>
              </w:tc>
              <w:tc>
                <w:tcPr>
                  <w:tcW w:w="1053" w:type="pct"/>
                  <w:tcBorders>
                    <w:tl2br w:val="nil"/>
                    <w:tr2bl w:val="nil"/>
                  </w:tcBorders>
                  <w:shd w:val="clear" w:color="auto" w:fill="auto"/>
                  <w:vAlign w:val="center"/>
                </w:tcPr>
                <w:p w14:paraId="6BE4E0B8">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613" w:type="pct"/>
                  <w:tcBorders>
                    <w:tl2br w:val="nil"/>
                    <w:tr2bl w:val="nil"/>
                  </w:tcBorders>
                  <w:shd w:val="clear" w:color="auto" w:fill="auto"/>
                  <w:vAlign w:val="center"/>
                </w:tcPr>
                <w:p w14:paraId="468DECE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0</w:t>
                  </w:r>
                </w:p>
              </w:tc>
              <w:tc>
                <w:tcPr>
                  <w:tcW w:w="950" w:type="dxa"/>
                  <w:tcBorders>
                    <w:tl2br w:val="nil"/>
                    <w:tr2bl w:val="nil"/>
                  </w:tcBorders>
                  <w:shd w:val="clear" w:color="auto" w:fill="auto"/>
                  <w:vAlign w:val="center"/>
                </w:tcPr>
                <w:p w14:paraId="4DC62FB6">
                  <w:pPr>
                    <w:adjustRightInd w:val="0"/>
                    <w:snapToGrid w:val="0"/>
                    <w:jc w:val="center"/>
                    <w:rPr>
                      <w:rFonts w:ascii="Times New Roman" w:hAnsi="Times New Roman"/>
                      <w:color w:val="auto"/>
                      <w:kern w:val="0"/>
                      <w:szCs w:val="21"/>
                    </w:rPr>
                  </w:pPr>
                  <w:r>
                    <w:rPr>
                      <w:rFonts w:ascii="Times New Roman" w:hAnsi="Times New Roman"/>
                      <w:color w:val="auto"/>
                      <w:kern w:val="0"/>
                      <w:szCs w:val="21"/>
                    </w:rPr>
                    <w:t xml:space="preserve">0.00 </w:t>
                  </w:r>
                </w:p>
              </w:tc>
            </w:tr>
          </w:tbl>
          <w:p w14:paraId="5F8D1419">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3.2.1.6</w:t>
            </w:r>
            <w:r>
              <w:rPr>
                <w:rFonts w:ascii="Times New Roman" w:hAnsi="Times New Roman"/>
                <w:b/>
                <w:bCs/>
                <w:color w:val="auto"/>
                <w:sz w:val="24"/>
                <w:szCs w:val="24"/>
              </w:rPr>
              <w:t>评价区重点野生植物现状</w:t>
            </w:r>
          </w:p>
          <w:p w14:paraId="4248E37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（1）重点保护野生植物</w:t>
            </w:r>
          </w:p>
          <w:p w14:paraId="014A302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国家重点保护野生植物名录（2021版）》《云南省各州市分布的国家重点保护野生动植物名录（2021年）》（云南省林业和草原局，2022年10月12日）及《云南省重点保护野生植物名录》（云南省人民政府，2023年12月），评价区范围内未发现国家级、云南省级保护野生植物。</w:t>
            </w:r>
          </w:p>
          <w:p w14:paraId="16263AA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（2）古树名木</w:t>
            </w:r>
          </w:p>
          <w:p w14:paraId="53A52DD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据云南省林业厅文件云林保护字（1996）第65号《关于印发云南省古树名木名录的通知》和实地走访，在评价范围内没有发现古树名木分布。</w:t>
            </w:r>
          </w:p>
          <w:p w14:paraId="02DCDBF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（3）珍稀濒危野生植物</w:t>
            </w:r>
          </w:p>
          <w:p w14:paraId="6DEFC47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依据《中国生物多样性红色名录 高等植物卷》（生态环境部、中国科学院，2023年第15号），参考项目所在地有关珍稀濒危植物及其分布的相关资料，根据标本及文献资料查证，野外实地调查及访问调查，现阶段在评价区未发现有极危、濒危、易危植物分布。</w:t>
            </w:r>
          </w:p>
          <w:p w14:paraId="2250B70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（4）极小种群物种</w:t>
            </w:r>
          </w:p>
          <w:p w14:paraId="0D89DE4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现场调查，并结合《全国极小种群野生植物拯救保护工程规划（2011-2015年）》和《云南省极小种群物种拯救保护规划纲要（2010-2020年）》中颁布的极小种群野生植物名单，调查区未发现极小种群野生植物分布。</w:t>
            </w:r>
          </w:p>
          <w:p w14:paraId="7D206097">
            <w:pPr>
              <w:adjustRightInd w:val="0"/>
              <w:snapToGrid w:val="0"/>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（5）外来入侵植物</w:t>
            </w:r>
          </w:p>
          <w:p w14:paraId="5E26802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根据《云南省外来入侵物种名录（2019版）》（云南省生态环境厅等，2019年），参考本项目所在行政区内关于外来入侵植物的相关资料，通过现场实地调查期间，在评价区发现有紫茎泽兰</w:t>
            </w:r>
            <w:r>
              <w:rPr>
                <w:rFonts w:ascii="Times New Roman" w:hAnsi="Times New Roman"/>
                <w:i/>
                <w:iCs/>
                <w:color w:val="auto"/>
                <w:sz w:val="24"/>
                <w:szCs w:val="24"/>
              </w:rPr>
              <w:t>Ageratina adenophora</w:t>
            </w:r>
            <w:r>
              <w:rPr>
                <w:rFonts w:ascii="Times New Roman" w:hAnsi="Times New Roman"/>
                <w:color w:val="auto"/>
                <w:sz w:val="24"/>
                <w:szCs w:val="24"/>
              </w:rPr>
              <w:t>、</w:t>
            </w:r>
            <w:r>
              <w:rPr>
                <w:rFonts w:hint="eastAsia" w:ascii="Times New Roman" w:hAnsi="Times New Roman"/>
                <w:color w:val="auto"/>
                <w:sz w:val="24"/>
                <w:szCs w:val="24"/>
              </w:rPr>
              <w:t>白酒草</w:t>
            </w:r>
            <w:r>
              <w:rPr>
                <w:rFonts w:ascii="Times New Roman" w:hAnsi="Times New Roman"/>
                <w:i/>
                <w:iCs/>
                <w:color w:val="auto"/>
                <w:sz w:val="24"/>
                <w:szCs w:val="24"/>
              </w:rPr>
              <w:t>Eschenbachia japonica</w:t>
            </w:r>
            <w:r>
              <w:rPr>
                <w:rFonts w:ascii="Times New Roman" w:hAnsi="Times New Roman"/>
                <w:color w:val="auto"/>
                <w:sz w:val="24"/>
                <w:szCs w:val="24"/>
              </w:rPr>
              <w:t> </w:t>
            </w:r>
            <w:r>
              <w:rPr>
                <w:rFonts w:hint="eastAsia" w:ascii="Times New Roman" w:hAnsi="Times New Roman"/>
                <w:color w:val="auto"/>
                <w:sz w:val="24"/>
                <w:szCs w:val="24"/>
              </w:rPr>
              <w:t>、革命菜</w:t>
            </w:r>
            <w:r>
              <w:rPr>
                <w:rFonts w:ascii="Times New Roman" w:hAnsi="Times New Roman"/>
                <w:i/>
                <w:iCs/>
                <w:color w:val="auto"/>
                <w:sz w:val="24"/>
                <w:szCs w:val="24"/>
              </w:rPr>
              <w:t>Crassocephalum crepidioides</w:t>
            </w:r>
            <w:r>
              <w:rPr>
                <w:rFonts w:hint="eastAsia" w:ascii="Times New Roman" w:hAnsi="Times New Roman"/>
                <w:color w:val="auto"/>
                <w:sz w:val="24"/>
                <w:szCs w:val="24"/>
              </w:rPr>
              <w:t>、牛膝菊</w:t>
            </w:r>
            <w:r>
              <w:rPr>
                <w:rFonts w:ascii="Times New Roman" w:hAnsi="Times New Roman"/>
                <w:i/>
                <w:iCs/>
                <w:color w:val="auto"/>
                <w:sz w:val="24"/>
                <w:szCs w:val="24"/>
              </w:rPr>
              <w:t>Galinsoga parviflora</w:t>
            </w:r>
            <w:r>
              <w:rPr>
                <w:rFonts w:hint="eastAsia" w:ascii="Times New Roman" w:hAnsi="Times New Roman"/>
                <w:color w:val="auto"/>
                <w:sz w:val="24"/>
                <w:szCs w:val="24"/>
              </w:rPr>
              <w:t>、牛膝菊、</w:t>
            </w:r>
            <w:r>
              <w:rPr>
                <w:rFonts w:ascii="Times New Roman" w:hAnsi="Times New Roman"/>
                <w:color w:val="auto"/>
                <w:sz w:val="24"/>
                <w:szCs w:val="24"/>
              </w:rPr>
              <w:t>鬼针草</w:t>
            </w:r>
            <w:r>
              <w:rPr>
                <w:rFonts w:ascii="Times New Roman" w:hAnsi="Times New Roman"/>
                <w:i/>
                <w:iCs/>
                <w:color w:val="auto"/>
                <w:sz w:val="24"/>
                <w:szCs w:val="24"/>
              </w:rPr>
              <w:t>Biden spilosa</w:t>
            </w:r>
            <w:r>
              <w:rPr>
                <w:rFonts w:ascii="Times New Roman" w:hAnsi="Times New Roman"/>
                <w:color w:val="auto"/>
                <w:sz w:val="24"/>
                <w:szCs w:val="24"/>
              </w:rPr>
              <w:t>等5</w:t>
            </w:r>
            <w:r>
              <w:rPr>
                <w:rFonts w:hint="eastAsia" w:ascii="Times New Roman" w:hAnsi="Times New Roman"/>
                <w:color w:val="auto"/>
                <w:sz w:val="24"/>
                <w:szCs w:val="24"/>
              </w:rPr>
              <w:t>种</w:t>
            </w:r>
            <w:r>
              <w:rPr>
                <w:rFonts w:ascii="Times New Roman" w:hAnsi="Times New Roman"/>
                <w:color w:val="auto"/>
                <w:sz w:val="24"/>
                <w:szCs w:val="24"/>
              </w:rPr>
              <w:t>外来入侵种分布，均生于开阔、空旷、森林郁闭度显著降低、人畜干扰活动频繁的区域。</w:t>
            </w:r>
          </w:p>
          <w:p w14:paraId="060F6FC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 xml:space="preserve">紫茎泽兰为菊科多年生草本植物，是世界上危害最严重的100种外来入侵种之一。在云南南部、西南部、东南部和中部入侵情况十分严重。在本项目评价区，紫茎泽兰也是严重的入侵植物，十分常见，尤其在上层乔木郁闭度小于70%的林地、灌木林地、旷野、林缘等生境。现场调查时，绝大部分塔基范围出现了紫茎泽兰，这些区域都受到了较强的人为活动影响。 </w:t>
            </w:r>
          </w:p>
          <w:p w14:paraId="193EDDD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鬼针草为菊科多年生草本植物，是世界上危害最严重的100种外来入侵种之一。原产于南美洲和中美洲，现广布于亚洲和美洲的热带和亚热带地区；在中国华东、华中、华南、西南各省区均有分布，在本项目评价区，鬼针草也是严重的入侵植物，十分常见，包括灌木草丛、灌木林地、旷野、林缘等生境均有出现。现场调查时，绝大部分调查范围的山坡、林缘均出现了鬼针草。</w:t>
            </w:r>
          </w:p>
          <w:p w14:paraId="50401C7D">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白酒草为菊科白酒草属的一年生或二年生草本植物。原产北美，</w:t>
            </w:r>
            <w:r>
              <w:rPr>
                <w:rFonts w:ascii="Times New Roman" w:hAnsi="Times New Roman"/>
                <w:color w:val="auto"/>
                <w:sz w:val="24"/>
                <w:szCs w:val="24"/>
              </w:rPr>
              <w:t>常生长于山谷田边、山坡草地或林缘及海拔700-2500米处</w:t>
            </w:r>
            <w:r>
              <w:rPr>
                <w:rFonts w:hint="eastAsia" w:ascii="Times New Roman" w:hAnsi="Times New Roman"/>
                <w:color w:val="auto"/>
                <w:sz w:val="24"/>
                <w:szCs w:val="24"/>
              </w:rPr>
              <w:t>。</w:t>
            </w:r>
          </w:p>
          <w:p w14:paraId="5AB991EB">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革命菜为</w:t>
            </w:r>
            <w:r>
              <w:rPr>
                <w:rFonts w:ascii="Times New Roman" w:hAnsi="Times New Roman"/>
                <w:color w:val="auto"/>
                <w:sz w:val="24"/>
                <w:szCs w:val="24"/>
              </w:rPr>
              <w:t>菊科野茼蒿属的直立草本植物。原产热带非洲，现在中国云南的大部分地区及西南、华中、华东、华南均有分布</w:t>
            </w:r>
            <w:r>
              <w:rPr>
                <w:rFonts w:hint="eastAsia" w:ascii="Times New Roman" w:hAnsi="Times New Roman"/>
                <w:color w:val="auto"/>
                <w:sz w:val="24"/>
                <w:szCs w:val="24"/>
              </w:rPr>
              <w:t>。</w:t>
            </w:r>
          </w:p>
          <w:p w14:paraId="63F85BD8">
            <w:pPr>
              <w:adjustRightInd w:val="0"/>
              <w:snapToGrid w:val="0"/>
              <w:spacing w:line="440" w:lineRule="exact"/>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牛膝菊为菊科牛膝菊属的一年生草本。</w:t>
            </w:r>
            <w:r>
              <w:rPr>
                <w:rFonts w:ascii="Times New Roman" w:hAnsi="Times New Roman"/>
                <w:color w:val="auto"/>
                <w:sz w:val="24"/>
                <w:szCs w:val="24"/>
              </w:rPr>
              <w:t>原产于南美，在中国分布于四川、云南、贵州、西藏等地区。</w:t>
            </w:r>
          </w:p>
          <w:p w14:paraId="1BD1205A">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3.2.1.7</w:t>
            </w:r>
            <w:r>
              <w:rPr>
                <w:rFonts w:ascii="Times New Roman" w:hAnsi="Times New Roman"/>
                <w:b/>
                <w:bCs/>
                <w:color w:val="auto"/>
                <w:sz w:val="24"/>
                <w:szCs w:val="24"/>
              </w:rPr>
              <w:t>评价区植物资源小结</w:t>
            </w:r>
          </w:p>
          <w:p w14:paraId="40D2ECB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评价区共记录有维管植物</w:t>
            </w:r>
            <w:r>
              <w:rPr>
                <w:rFonts w:ascii="Times New Roman" w:hAnsi="Times New Roman"/>
                <w:color w:val="auto"/>
                <w:sz w:val="24"/>
                <w:szCs w:val="24"/>
                <w:lang w:val="zh-CN"/>
              </w:rPr>
              <w:t>469种（包含种下等级），隶属于</w:t>
            </w:r>
            <w:r>
              <w:rPr>
                <w:rFonts w:ascii="Times New Roman" w:hAnsi="Times New Roman"/>
                <w:color w:val="auto"/>
                <w:sz w:val="24"/>
                <w:szCs w:val="24"/>
              </w:rPr>
              <w:t>102</w:t>
            </w:r>
            <w:r>
              <w:rPr>
                <w:rFonts w:ascii="Times New Roman" w:hAnsi="Times New Roman"/>
                <w:color w:val="auto"/>
                <w:sz w:val="24"/>
                <w:szCs w:val="24"/>
                <w:lang w:val="zh-CN"/>
              </w:rPr>
              <w:t>科、</w:t>
            </w:r>
            <w:r>
              <w:rPr>
                <w:rFonts w:ascii="Times New Roman" w:hAnsi="Times New Roman"/>
                <w:color w:val="auto"/>
                <w:sz w:val="24"/>
                <w:szCs w:val="24"/>
              </w:rPr>
              <w:t>335</w:t>
            </w:r>
            <w:r>
              <w:rPr>
                <w:rFonts w:ascii="Times New Roman" w:hAnsi="Times New Roman"/>
                <w:color w:val="auto"/>
                <w:sz w:val="24"/>
                <w:szCs w:val="24"/>
                <w:lang w:val="zh-CN"/>
              </w:rPr>
              <w:t>属。其中蕨类植物有</w:t>
            </w:r>
            <w:r>
              <w:rPr>
                <w:rFonts w:ascii="Times New Roman" w:hAnsi="Times New Roman"/>
                <w:color w:val="auto"/>
                <w:sz w:val="24"/>
                <w:szCs w:val="24"/>
              </w:rPr>
              <w:t>11</w:t>
            </w:r>
            <w:r>
              <w:rPr>
                <w:rFonts w:ascii="Times New Roman" w:hAnsi="Times New Roman"/>
                <w:color w:val="auto"/>
                <w:sz w:val="24"/>
                <w:szCs w:val="24"/>
                <w:lang w:val="zh-CN"/>
              </w:rPr>
              <w:t>科、</w:t>
            </w:r>
            <w:r>
              <w:rPr>
                <w:rFonts w:ascii="Times New Roman" w:hAnsi="Times New Roman"/>
                <w:color w:val="auto"/>
                <w:sz w:val="24"/>
                <w:szCs w:val="24"/>
              </w:rPr>
              <w:t>15</w:t>
            </w:r>
            <w:r>
              <w:rPr>
                <w:rFonts w:ascii="Times New Roman" w:hAnsi="Times New Roman"/>
                <w:color w:val="auto"/>
                <w:sz w:val="24"/>
                <w:szCs w:val="24"/>
                <w:lang w:val="zh-CN"/>
              </w:rPr>
              <w:t>属、</w:t>
            </w:r>
            <w:r>
              <w:rPr>
                <w:rFonts w:ascii="Times New Roman" w:hAnsi="Times New Roman"/>
                <w:color w:val="auto"/>
                <w:sz w:val="24"/>
                <w:szCs w:val="24"/>
              </w:rPr>
              <w:t>19</w:t>
            </w:r>
            <w:r>
              <w:rPr>
                <w:rFonts w:ascii="Times New Roman" w:hAnsi="Times New Roman"/>
                <w:color w:val="auto"/>
                <w:sz w:val="24"/>
                <w:szCs w:val="24"/>
                <w:lang w:val="zh-CN"/>
              </w:rPr>
              <w:t>种；裸子植物有3科、4属、5种；被子植物有</w:t>
            </w:r>
            <w:r>
              <w:rPr>
                <w:rFonts w:ascii="Times New Roman" w:hAnsi="Times New Roman"/>
                <w:color w:val="auto"/>
                <w:sz w:val="24"/>
                <w:szCs w:val="24"/>
              </w:rPr>
              <w:t>88</w:t>
            </w:r>
            <w:r>
              <w:rPr>
                <w:rFonts w:ascii="Times New Roman" w:hAnsi="Times New Roman"/>
                <w:color w:val="auto"/>
                <w:sz w:val="24"/>
                <w:szCs w:val="24"/>
                <w:lang w:val="zh-CN"/>
              </w:rPr>
              <w:t>科、316属、445种。</w:t>
            </w:r>
            <w:r>
              <w:rPr>
                <w:rFonts w:ascii="Times New Roman" w:hAnsi="Times New Roman"/>
                <w:color w:val="auto"/>
                <w:sz w:val="24"/>
                <w:szCs w:val="24"/>
              </w:rPr>
              <w:t>根据野外考察结果，本项目生态影响评价区范围内无国家级、云南省级野生保护植物，无珍稀濒危植物，无极小种群物种，无狭域特有物种，无名木古树分布。</w:t>
            </w:r>
          </w:p>
          <w:p w14:paraId="76D02861">
            <w:pPr>
              <w:adjustRightInd w:val="0"/>
              <w:snapToGrid w:val="0"/>
              <w:spacing w:line="440" w:lineRule="exact"/>
              <w:ind w:firstLine="482" w:firstLineChars="200"/>
              <w:rPr>
                <w:rFonts w:ascii="Times New Roman" w:hAnsi="Times New Roman"/>
                <w:b/>
                <w:color w:val="auto"/>
                <w:sz w:val="24"/>
                <w:szCs w:val="24"/>
              </w:rPr>
            </w:pPr>
            <w:bookmarkStart w:id="55" w:name="_Toc377115111"/>
            <w:bookmarkStart w:id="56" w:name="_Toc377831872"/>
            <w:bookmarkStart w:id="57" w:name="_Toc399235663"/>
            <w:bookmarkStart w:id="58" w:name="_Toc399233465"/>
            <w:bookmarkStart w:id="59" w:name="_Toc63243811"/>
            <w:bookmarkStart w:id="60" w:name="_Toc534485246"/>
            <w:bookmarkStart w:id="61" w:name="_Toc377420753"/>
            <w:r>
              <w:rPr>
                <w:rFonts w:ascii="Times New Roman" w:hAnsi="Times New Roman"/>
                <w:b/>
                <w:color w:val="auto"/>
                <w:sz w:val="24"/>
                <w:szCs w:val="24"/>
              </w:rPr>
              <w:t>3.2.2陆生脊椎动物</w:t>
            </w:r>
            <w:bookmarkEnd w:id="55"/>
            <w:bookmarkEnd w:id="56"/>
            <w:bookmarkEnd w:id="57"/>
            <w:bookmarkEnd w:id="58"/>
            <w:bookmarkEnd w:id="59"/>
            <w:bookmarkEnd w:id="60"/>
            <w:bookmarkEnd w:id="61"/>
          </w:p>
          <w:p w14:paraId="2AAA13C4">
            <w:pPr>
              <w:adjustRightInd w:val="0"/>
              <w:snapToGrid w:val="0"/>
              <w:spacing w:line="440" w:lineRule="exact"/>
              <w:ind w:firstLine="482" w:firstLineChars="200"/>
              <w:rPr>
                <w:rFonts w:ascii="Times New Roman" w:hAnsi="Times New Roman"/>
                <w:b/>
                <w:bCs/>
                <w:color w:val="auto"/>
                <w:sz w:val="24"/>
                <w:szCs w:val="24"/>
              </w:rPr>
            </w:pPr>
            <w:bookmarkStart w:id="62" w:name="_Toc399233466"/>
            <w:bookmarkStart w:id="63" w:name="_Toc534485970"/>
            <w:bookmarkStart w:id="64" w:name="_Toc534485471"/>
            <w:bookmarkStart w:id="65" w:name="_Toc377420754"/>
            <w:bookmarkStart w:id="66" w:name="_Toc399235664"/>
            <w:bookmarkStart w:id="67" w:name="_Toc534485720"/>
            <w:bookmarkStart w:id="68" w:name="_Toc377831873"/>
            <w:r>
              <w:rPr>
                <w:rFonts w:ascii="Times New Roman" w:hAnsi="Times New Roman"/>
                <w:b/>
                <w:bCs/>
                <w:color w:val="auto"/>
                <w:sz w:val="24"/>
                <w:szCs w:val="24"/>
              </w:rPr>
              <w:t>3.2.2.1</w:t>
            </w:r>
            <w:bookmarkEnd w:id="62"/>
            <w:bookmarkEnd w:id="63"/>
            <w:bookmarkEnd w:id="64"/>
            <w:bookmarkEnd w:id="65"/>
            <w:bookmarkEnd w:id="66"/>
            <w:bookmarkEnd w:id="67"/>
            <w:bookmarkEnd w:id="68"/>
            <w:bookmarkStart w:id="69" w:name="_Toc377831874"/>
            <w:bookmarkStart w:id="70" w:name="_Toc399235665"/>
            <w:bookmarkStart w:id="71" w:name="_Toc534485472"/>
            <w:bookmarkStart w:id="72" w:name="_Toc534485721"/>
            <w:bookmarkStart w:id="73" w:name="_Toc399233467"/>
            <w:bookmarkStart w:id="74" w:name="_Toc534485971"/>
            <w:bookmarkStart w:id="75" w:name="_Toc377420755"/>
            <w:r>
              <w:rPr>
                <w:rFonts w:ascii="Times New Roman" w:hAnsi="Times New Roman"/>
                <w:b/>
                <w:bCs/>
                <w:color w:val="auto"/>
                <w:sz w:val="24"/>
                <w:szCs w:val="24"/>
              </w:rPr>
              <w:t>调查方法、范围及内容</w:t>
            </w:r>
          </w:p>
          <w:p w14:paraId="59C509DD">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（1）调查方法</w:t>
            </w:r>
          </w:p>
          <w:p w14:paraId="77183DF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评价单位组织相关专家分别于202</w:t>
            </w:r>
            <w:r>
              <w:rPr>
                <w:rFonts w:hint="eastAsia" w:ascii="Times New Roman" w:hAnsi="Times New Roman"/>
                <w:color w:val="auto"/>
                <w:sz w:val="24"/>
                <w:szCs w:val="24"/>
                <w:lang w:val="en-US" w:eastAsia="zh-CN"/>
              </w:rPr>
              <w:t>6</w:t>
            </w:r>
            <w:r>
              <w:rPr>
                <w:rFonts w:ascii="Times New Roman" w:hAnsi="Times New Roman"/>
                <w:color w:val="auto"/>
                <w:sz w:val="24"/>
                <w:szCs w:val="24"/>
              </w:rPr>
              <w:t>年</w:t>
            </w:r>
            <w:r>
              <w:rPr>
                <w:rFonts w:hint="eastAsia" w:ascii="Times New Roman" w:hAnsi="Times New Roman"/>
                <w:color w:val="auto"/>
                <w:sz w:val="24"/>
                <w:szCs w:val="24"/>
                <w:lang w:val="en-US" w:eastAsia="zh-CN"/>
              </w:rPr>
              <w:t>5</w:t>
            </w:r>
            <w:r>
              <w:rPr>
                <w:rFonts w:ascii="Times New Roman" w:hAnsi="Times New Roman"/>
                <w:color w:val="auto"/>
                <w:sz w:val="24"/>
                <w:szCs w:val="24"/>
              </w:rPr>
              <w:t>月12日、2026年7月11日-7月13日对评价区及邻近地区的陆栖脊椎动物进行了专业调查。在调查过程中，确定评价区内动物的种类、资源状况及生存状况，尤其是重点保护种类。调查方法主要有样线法、样点法、访问和资料查询。</w:t>
            </w:r>
          </w:p>
          <w:p w14:paraId="780D64D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1）文献资料</w:t>
            </w:r>
          </w:p>
          <w:p w14:paraId="34E3B7D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通过走访曲靖市、会泽县林草、生态环境、自然资源等主管部门，收集项目涉及区域现有生物多样性资料以及周边生态敏感区资料等。并参考《中国云南野生动物》（中国林业出版社，1994年）；《中国动物志（两栖纲、爬行纲、鸟纲、哺乳纲）》（科学出版社，1978-2006年）；《中国濒危动物红皮书（两栖类、爬行类、鸟类、兽类）》（科学出版社，1998年）等多篇专业著作及科研论文。</w:t>
            </w:r>
          </w:p>
          <w:p w14:paraId="1F11BF6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2）现场调查</w:t>
            </w:r>
          </w:p>
          <w:p w14:paraId="06E8A0A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①两栖爬行类</w:t>
            </w:r>
          </w:p>
          <w:p w14:paraId="2567A5B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本次评价两栖爬行类动物调查以样线法为主。</w:t>
            </w:r>
          </w:p>
          <w:p w14:paraId="144C69A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②鸟类</w:t>
            </w:r>
          </w:p>
          <w:p w14:paraId="527D997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鸟类现场调查主要采用样线法。通过设置的样线观察记数所见鸟类种类、数量以及痕迹，详细记录生境条件。对鸟类的数量等级采用路线统计法进行统计。</w:t>
            </w:r>
          </w:p>
          <w:p w14:paraId="3775186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③兽类</w:t>
            </w:r>
          </w:p>
          <w:p w14:paraId="2235639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兽类主要采用现场环境调查，野外踪迹调查，包括：足迹链、窝迹、粪便，再结合访问调查确定种类及数量等。</w:t>
            </w:r>
          </w:p>
          <w:p w14:paraId="753B22B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3）走访调查</w:t>
            </w:r>
          </w:p>
          <w:p w14:paraId="78B0F9BC">
            <w:pPr>
              <w:keepNext/>
              <w:keepLines/>
              <w:widowControl/>
              <w:adjustRightInd w:val="0"/>
              <w:snapToGrid w:val="0"/>
              <w:spacing w:line="440" w:lineRule="exact"/>
              <w:ind w:firstLine="480" w:firstLineChars="200"/>
              <w:outlineLvl w:val="3"/>
              <w:rPr>
                <w:rFonts w:ascii="Times New Roman" w:hAnsi="Times New Roman"/>
                <w:b/>
                <w:bCs/>
                <w:color w:val="auto"/>
                <w:sz w:val="24"/>
                <w:szCs w:val="24"/>
              </w:rPr>
            </w:pPr>
            <w:r>
              <w:rPr>
                <w:rFonts w:ascii="Times New Roman" w:hAnsi="Times New Roman"/>
                <w:color w:val="auto"/>
                <w:sz w:val="24"/>
                <w:szCs w:val="24"/>
              </w:rPr>
              <w:t>访问当地居民、当地护林员、在山上放牧的群众和工作人员，了解当地陆生脊椎动物的种类及其分布情况。</w:t>
            </w:r>
          </w:p>
          <w:bookmarkEnd w:id="69"/>
          <w:bookmarkEnd w:id="70"/>
          <w:bookmarkEnd w:id="71"/>
          <w:bookmarkEnd w:id="72"/>
          <w:bookmarkEnd w:id="73"/>
          <w:bookmarkEnd w:id="74"/>
          <w:bookmarkEnd w:id="75"/>
          <w:p w14:paraId="3869A758">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（2）调查范围</w:t>
            </w:r>
          </w:p>
          <w:p w14:paraId="4845B32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野外调查工作的重点为受工程建设直接影响的区域，以及受</w:t>
            </w:r>
            <w:r>
              <w:rPr>
                <w:rFonts w:hint="eastAsia" w:ascii="Times New Roman" w:hAnsi="Times New Roman"/>
                <w:color w:val="auto"/>
                <w:sz w:val="24"/>
                <w:szCs w:val="24"/>
              </w:rPr>
              <w:t>间接</w:t>
            </w:r>
            <w:r>
              <w:rPr>
                <w:rFonts w:ascii="Times New Roman" w:hAnsi="Times New Roman"/>
                <w:color w:val="auto"/>
                <w:sz w:val="24"/>
                <w:szCs w:val="24"/>
              </w:rPr>
              <w:t>影响的区域，其次是与评价区相邻的地区；主要调查区域海</w:t>
            </w:r>
            <w:r>
              <w:rPr>
                <w:rFonts w:ascii="Times New Roman" w:hAnsi="Times New Roman"/>
                <w:color w:val="auto"/>
                <w:sz w:val="24"/>
                <w:szCs w:val="24"/>
                <w:highlight w:val="none"/>
              </w:rPr>
              <w:t>拔范围为1</w:t>
            </w:r>
            <w:r>
              <w:rPr>
                <w:rFonts w:hint="eastAsia" w:ascii="Times New Roman" w:hAnsi="Times New Roman"/>
                <w:color w:val="auto"/>
                <w:sz w:val="24"/>
                <w:szCs w:val="24"/>
                <w:highlight w:val="none"/>
                <w:lang w:val="en-US" w:eastAsia="zh-CN"/>
              </w:rPr>
              <w:t>7</w:t>
            </w:r>
            <w:r>
              <w:rPr>
                <w:rFonts w:ascii="Times New Roman" w:hAnsi="Times New Roman"/>
                <w:color w:val="auto"/>
                <w:sz w:val="24"/>
                <w:szCs w:val="24"/>
                <w:highlight w:val="none"/>
              </w:rPr>
              <w:t>95-2</w:t>
            </w:r>
            <w:r>
              <w:rPr>
                <w:rFonts w:hint="eastAsia" w:ascii="Times New Roman" w:hAnsi="Times New Roman"/>
                <w:color w:val="auto"/>
                <w:sz w:val="24"/>
                <w:szCs w:val="24"/>
                <w:highlight w:val="none"/>
                <w:lang w:val="en-US" w:eastAsia="zh-CN"/>
              </w:rPr>
              <w:t>218</w:t>
            </w:r>
            <w:r>
              <w:rPr>
                <w:rFonts w:ascii="Times New Roman" w:hAnsi="Times New Roman"/>
                <w:color w:val="auto"/>
                <w:sz w:val="24"/>
                <w:szCs w:val="24"/>
                <w:highlight w:val="none"/>
              </w:rPr>
              <w:t>m</w:t>
            </w:r>
            <w:r>
              <w:rPr>
                <w:rFonts w:ascii="Times New Roman" w:hAnsi="Times New Roman"/>
                <w:color w:val="auto"/>
                <w:sz w:val="24"/>
                <w:szCs w:val="24"/>
              </w:rPr>
              <w:t>，评价范围总面积共1323.172hm²。</w:t>
            </w:r>
          </w:p>
          <w:p w14:paraId="34F6FDB8">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（3）调查内容</w:t>
            </w:r>
          </w:p>
          <w:p w14:paraId="02703CD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主要调查评价区内的两栖类、爬行类、鸟类、兽类的种类，国家重点保护野生动物分布，云南省级重点保护野生动物分布情况。</w:t>
            </w:r>
          </w:p>
          <w:p w14:paraId="26D9972F">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3.2.2.2动物资源现状及区系分析</w:t>
            </w:r>
          </w:p>
          <w:p w14:paraId="0489B295">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（1）陆生脊椎动物现状</w:t>
            </w:r>
          </w:p>
          <w:p w14:paraId="3194B3B4">
            <w:pPr>
              <w:adjustRightInd w:val="0"/>
              <w:snapToGrid w:val="0"/>
              <w:spacing w:line="440" w:lineRule="exact"/>
              <w:ind w:firstLine="480" w:firstLineChars="200"/>
              <w:rPr>
                <w:rFonts w:ascii="Times New Roman" w:hAnsi="Times New Roman"/>
                <w:color w:val="auto"/>
                <w:szCs w:val="24"/>
              </w:rPr>
            </w:pPr>
            <w:r>
              <w:rPr>
                <w:rFonts w:ascii="Times New Roman" w:hAnsi="Times New Roman"/>
                <w:color w:val="auto"/>
                <w:sz w:val="24"/>
                <w:szCs w:val="24"/>
              </w:rPr>
              <w:t>项目位于会泽县境内，属滇中山山源亚区，地势东部海河河谷低且</w:t>
            </w:r>
            <w:r>
              <w:rPr>
                <w:rFonts w:hint="eastAsia" w:ascii="Times New Roman" w:hAnsi="Times New Roman"/>
                <w:color w:val="auto"/>
                <w:sz w:val="24"/>
                <w:szCs w:val="24"/>
              </w:rPr>
              <w:t>平坦</w:t>
            </w:r>
            <w:r>
              <w:rPr>
                <w:rFonts w:ascii="Times New Roman" w:hAnsi="Times New Roman"/>
                <w:color w:val="auto"/>
                <w:sz w:val="24"/>
                <w:szCs w:val="24"/>
              </w:rPr>
              <w:t>，西部高。评价区主要地貌为深切河谷，两岸高山散布针叶林，谷地灌丛、草丛丰茂，部分山坡为石灰岩</w:t>
            </w:r>
            <w:r>
              <w:rPr>
                <w:rFonts w:hint="eastAsia" w:ascii="Times New Roman" w:hAnsi="Times New Roman"/>
                <w:color w:val="auto"/>
                <w:sz w:val="24"/>
                <w:szCs w:val="24"/>
              </w:rPr>
              <w:t>灌丛</w:t>
            </w:r>
            <w:r>
              <w:rPr>
                <w:rFonts w:ascii="Times New Roman" w:hAnsi="Times New Roman"/>
                <w:color w:val="auto"/>
                <w:sz w:val="24"/>
                <w:szCs w:val="24"/>
              </w:rPr>
              <w:t>。陆栖脊椎动物栖息环境相对丰富。经统计，评价区分布有陆栖脊椎动物72种。见下表。</w:t>
            </w:r>
          </w:p>
          <w:p w14:paraId="30BED55C">
            <w:pPr>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3-7</w:t>
            </w:r>
            <w:r>
              <w:rPr>
                <w:rFonts w:ascii="Times New Roman" w:hAnsi="Times New Roman"/>
                <w:b/>
                <w:color w:val="auto"/>
                <w:sz w:val="24"/>
                <w:szCs w:val="32"/>
              </w:rPr>
              <w:t xml:space="preserve">  陆栖脊椎动物各纲下分类阶元数量</w:t>
            </w:r>
          </w:p>
          <w:tbl>
            <w:tblPr>
              <w:tblStyle w:val="27"/>
              <w:tblW w:w="50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98"/>
              <w:gridCol w:w="1703"/>
              <w:gridCol w:w="1705"/>
              <w:gridCol w:w="1704"/>
              <w:gridCol w:w="1702"/>
            </w:tblGrid>
            <w:tr w14:paraId="126EE8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tcBorders>
                    <w:tl2br w:val="nil"/>
                    <w:tr2bl w:val="nil"/>
                  </w:tcBorders>
                  <w:noWrap/>
                  <w:tcMar>
                    <w:top w:w="15" w:type="dxa"/>
                    <w:left w:w="15" w:type="dxa"/>
                    <w:bottom w:w="0" w:type="dxa"/>
                    <w:right w:w="15" w:type="dxa"/>
                  </w:tcMar>
                  <w:vAlign w:val="center"/>
                </w:tcPr>
                <w:p w14:paraId="240C0383">
                  <w:pPr>
                    <w:adjustRightInd w:val="0"/>
                    <w:snapToGrid w:val="0"/>
                    <w:jc w:val="center"/>
                    <w:rPr>
                      <w:rFonts w:ascii="Times New Roman" w:hAnsi="Times New Roman"/>
                      <w:b/>
                      <w:bCs/>
                      <w:color w:val="auto"/>
                      <w:szCs w:val="21"/>
                    </w:rPr>
                  </w:pPr>
                  <w:r>
                    <w:rPr>
                      <w:rFonts w:ascii="Times New Roman" w:hAnsi="Times New Roman"/>
                      <w:b/>
                      <w:bCs/>
                      <w:color w:val="auto"/>
                      <w:szCs w:val="21"/>
                    </w:rPr>
                    <w:t>种类</w:t>
                  </w:r>
                </w:p>
              </w:tc>
              <w:tc>
                <w:tcPr>
                  <w:tcW w:w="989" w:type="pct"/>
                  <w:tcBorders>
                    <w:tl2br w:val="nil"/>
                    <w:tr2bl w:val="nil"/>
                  </w:tcBorders>
                  <w:noWrap/>
                  <w:tcMar>
                    <w:top w:w="15" w:type="dxa"/>
                    <w:left w:w="15" w:type="dxa"/>
                    <w:bottom w:w="0" w:type="dxa"/>
                    <w:right w:w="15" w:type="dxa"/>
                  </w:tcMar>
                  <w:vAlign w:val="center"/>
                </w:tcPr>
                <w:p w14:paraId="7BEF914D">
                  <w:pPr>
                    <w:adjustRightInd w:val="0"/>
                    <w:snapToGrid w:val="0"/>
                    <w:jc w:val="center"/>
                    <w:rPr>
                      <w:rFonts w:ascii="Times New Roman" w:hAnsi="Times New Roman"/>
                      <w:b/>
                      <w:bCs/>
                      <w:color w:val="auto"/>
                      <w:szCs w:val="21"/>
                    </w:rPr>
                  </w:pPr>
                  <w:r>
                    <w:rPr>
                      <w:rFonts w:ascii="Times New Roman" w:hAnsi="Times New Roman"/>
                      <w:b/>
                      <w:bCs/>
                      <w:color w:val="auto"/>
                      <w:szCs w:val="21"/>
                    </w:rPr>
                    <w:t>目</w:t>
                  </w:r>
                </w:p>
              </w:tc>
              <w:tc>
                <w:tcPr>
                  <w:tcW w:w="990" w:type="pct"/>
                  <w:tcBorders>
                    <w:tl2br w:val="nil"/>
                    <w:tr2bl w:val="nil"/>
                  </w:tcBorders>
                  <w:noWrap/>
                  <w:tcMar>
                    <w:top w:w="15" w:type="dxa"/>
                    <w:left w:w="15" w:type="dxa"/>
                    <w:bottom w:w="0" w:type="dxa"/>
                    <w:right w:w="15" w:type="dxa"/>
                  </w:tcMar>
                  <w:vAlign w:val="center"/>
                </w:tcPr>
                <w:p w14:paraId="30A63993">
                  <w:pPr>
                    <w:adjustRightInd w:val="0"/>
                    <w:snapToGrid w:val="0"/>
                    <w:jc w:val="center"/>
                    <w:rPr>
                      <w:rFonts w:ascii="Times New Roman" w:hAnsi="Times New Roman"/>
                      <w:b/>
                      <w:bCs/>
                      <w:color w:val="auto"/>
                      <w:szCs w:val="21"/>
                    </w:rPr>
                  </w:pPr>
                  <w:r>
                    <w:rPr>
                      <w:rFonts w:ascii="Times New Roman" w:hAnsi="Times New Roman"/>
                      <w:b/>
                      <w:bCs/>
                      <w:color w:val="auto"/>
                      <w:szCs w:val="21"/>
                    </w:rPr>
                    <w:t>科</w:t>
                  </w:r>
                </w:p>
              </w:tc>
              <w:tc>
                <w:tcPr>
                  <w:tcW w:w="990" w:type="pct"/>
                  <w:tcBorders>
                    <w:tl2br w:val="nil"/>
                    <w:tr2bl w:val="nil"/>
                  </w:tcBorders>
                  <w:noWrap/>
                  <w:tcMar>
                    <w:top w:w="15" w:type="dxa"/>
                    <w:left w:w="15" w:type="dxa"/>
                    <w:bottom w:w="0" w:type="dxa"/>
                    <w:right w:w="15" w:type="dxa"/>
                  </w:tcMar>
                  <w:vAlign w:val="center"/>
                </w:tcPr>
                <w:p w14:paraId="73FB86F4">
                  <w:pPr>
                    <w:adjustRightInd w:val="0"/>
                    <w:snapToGrid w:val="0"/>
                    <w:jc w:val="center"/>
                    <w:rPr>
                      <w:rFonts w:ascii="Times New Roman" w:hAnsi="Times New Roman"/>
                      <w:b/>
                      <w:bCs/>
                      <w:color w:val="auto"/>
                      <w:szCs w:val="21"/>
                    </w:rPr>
                  </w:pPr>
                  <w:r>
                    <w:rPr>
                      <w:rFonts w:ascii="Times New Roman" w:hAnsi="Times New Roman"/>
                      <w:b/>
                      <w:bCs/>
                      <w:color w:val="auto"/>
                      <w:szCs w:val="21"/>
                    </w:rPr>
                    <w:t>属</w:t>
                  </w:r>
                </w:p>
              </w:tc>
              <w:tc>
                <w:tcPr>
                  <w:tcW w:w="989" w:type="pct"/>
                  <w:tcBorders>
                    <w:tl2br w:val="nil"/>
                    <w:tr2bl w:val="nil"/>
                  </w:tcBorders>
                  <w:noWrap/>
                  <w:tcMar>
                    <w:top w:w="15" w:type="dxa"/>
                    <w:left w:w="15" w:type="dxa"/>
                    <w:bottom w:w="0" w:type="dxa"/>
                    <w:right w:w="15" w:type="dxa"/>
                  </w:tcMar>
                  <w:vAlign w:val="center"/>
                </w:tcPr>
                <w:p w14:paraId="13753495">
                  <w:pPr>
                    <w:adjustRightInd w:val="0"/>
                    <w:snapToGrid w:val="0"/>
                    <w:jc w:val="center"/>
                    <w:rPr>
                      <w:rFonts w:ascii="Times New Roman" w:hAnsi="Times New Roman"/>
                      <w:b/>
                      <w:bCs/>
                      <w:color w:val="auto"/>
                      <w:szCs w:val="21"/>
                    </w:rPr>
                  </w:pPr>
                  <w:r>
                    <w:rPr>
                      <w:rFonts w:ascii="Times New Roman" w:hAnsi="Times New Roman"/>
                      <w:b/>
                      <w:bCs/>
                      <w:color w:val="auto"/>
                      <w:szCs w:val="21"/>
                    </w:rPr>
                    <w:t>种</w:t>
                  </w:r>
                </w:p>
              </w:tc>
            </w:tr>
            <w:tr w14:paraId="6FB8F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noWrap/>
                  <w:tcMar>
                    <w:top w:w="15" w:type="dxa"/>
                    <w:left w:w="15" w:type="dxa"/>
                    <w:bottom w:w="0" w:type="dxa"/>
                    <w:right w:w="15" w:type="dxa"/>
                  </w:tcMar>
                  <w:vAlign w:val="bottom"/>
                </w:tcPr>
                <w:p w14:paraId="43C77130">
                  <w:pPr>
                    <w:adjustRightInd w:val="0"/>
                    <w:snapToGrid w:val="0"/>
                    <w:jc w:val="center"/>
                    <w:rPr>
                      <w:rFonts w:ascii="Times New Roman" w:hAnsi="Times New Roman"/>
                      <w:color w:val="auto"/>
                      <w:szCs w:val="21"/>
                    </w:rPr>
                  </w:pPr>
                  <w:r>
                    <w:rPr>
                      <w:rFonts w:ascii="Times New Roman" w:hAnsi="Times New Roman"/>
                      <w:color w:val="auto"/>
                      <w:szCs w:val="21"/>
                    </w:rPr>
                    <w:t>两栖类</w:t>
                  </w:r>
                </w:p>
              </w:tc>
              <w:tc>
                <w:tcPr>
                  <w:tcW w:w="1683" w:type="dxa"/>
                  <w:noWrap/>
                  <w:tcMar>
                    <w:top w:w="15" w:type="dxa"/>
                    <w:left w:w="15" w:type="dxa"/>
                    <w:bottom w:w="0" w:type="dxa"/>
                    <w:right w:w="15" w:type="dxa"/>
                  </w:tcMar>
                  <w:vAlign w:val="bottom"/>
                </w:tcPr>
                <w:p w14:paraId="554E1DD2">
                  <w:pPr>
                    <w:pStyle w:val="85"/>
                    <w:adjustRightInd w:val="0"/>
                    <w:snapToGrid w:val="0"/>
                    <w:spacing w:before="0" w:after="0"/>
                    <w:rPr>
                      <w:rFonts w:cs="Times New Roman"/>
                      <w:color w:val="auto"/>
                      <w:szCs w:val="21"/>
                    </w:rPr>
                  </w:pPr>
                  <w:r>
                    <w:rPr>
                      <w:rFonts w:cs="Times New Roman"/>
                      <w:color w:val="auto"/>
                    </w:rPr>
                    <w:t>1</w:t>
                  </w:r>
                </w:p>
              </w:tc>
              <w:tc>
                <w:tcPr>
                  <w:tcW w:w="1684" w:type="dxa"/>
                  <w:noWrap/>
                  <w:tcMar>
                    <w:top w:w="15" w:type="dxa"/>
                    <w:left w:w="15" w:type="dxa"/>
                    <w:bottom w:w="0" w:type="dxa"/>
                    <w:right w:w="15" w:type="dxa"/>
                  </w:tcMar>
                  <w:vAlign w:val="bottom"/>
                </w:tcPr>
                <w:p w14:paraId="30DAE3E5">
                  <w:pPr>
                    <w:pStyle w:val="85"/>
                    <w:adjustRightInd w:val="0"/>
                    <w:snapToGrid w:val="0"/>
                    <w:spacing w:before="0" w:after="0"/>
                    <w:rPr>
                      <w:rFonts w:cs="Times New Roman"/>
                      <w:color w:val="auto"/>
                      <w:szCs w:val="21"/>
                    </w:rPr>
                  </w:pPr>
                  <w:r>
                    <w:rPr>
                      <w:rFonts w:hint="eastAsia" w:cs="Times New Roman"/>
                      <w:color w:val="auto"/>
                    </w:rPr>
                    <w:t>3</w:t>
                  </w:r>
                </w:p>
              </w:tc>
              <w:tc>
                <w:tcPr>
                  <w:tcW w:w="1684" w:type="dxa"/>
                  <w:noWrap/>
                  <w:tcMar>
                    <w:top w:w="15" w:type="dxa"/>
                    <w:left w:w="15" w:type="dxa"/>
                    <w:bottom w:w="0" w:type="dxa"/>
                    <w:right w:w="15" w:type="dxa"/>
                  </w:tcMar>
                  <w:vAlign w:val="bottom"/>
                </w:tcPr>
                <w:p w14:paraId="5865A387">
                  <w:pPr>
                    <w:pStyle w:val="85"/>
                    <w:adjustRightInd w:val="0"/>
                    <w:snapToGrid w:val="0"/>
                    <w:spacing w:before="0" w:after="0"/>
                    <w:rPr>
                      <w:rFonts w:cs="Times New Roman"/>
                      <w:color w:val="auto"/>
                      <w:szCs w:val="21"/>
                    </w:rPr>
                  </w:pPr>
                  <w:r>
                    <w:rPr>
                      <w:rFonts w:hint="eastAsia" w:cs="Times New Roman"/>
                      <w:color w:val="auto"/>
                    </w:rPr>
                    <w:t>4</w:t>
                  </w:r>
                </w:p>
              </w:tc>
              <w:tc>
                <w:tcPr>
                  <w:tcW w:w="1683" w:type="dxa"/>
                  <w:noWrap/>
                  <w:tcMar>
                    <w:top w:w="15" w:type="dxa"/>
                    <w:left w:w="15" w:type="dxa"/>
                    <w:bottom w:w="0" w:type="dxa"/>
                    <w:right w:w="15" w:type="dxa"/>
                  </w:tcMar>
                  <w:vAlign w:val="bottom"/>
                </w:tcPr>
                <w:p w14:paraId="4E3F5BFE">
                  <w:pPr>
                    <w:pStyle w:val="85"/>
                    <w:adjustRightInd w:val="0"/>
                    <w:snapToGrid w:val="0"/>
                    <w:spacing w:before="0" w:after="0"/>
                    <w:rPr>
                      <w:rFonts w:cs="Times New Roman"/>
                      <w:color w:val="auto"/>
                      <w:szCs w:val="21"/>
                    </w:rPr>
                  </w:pPr>
                  <w:r>
                    <w:rPr>
                      <w:rFonts w:hint="eastAsia" w:cs="Times New Roman"/>
                      <w:color w:val="auto"/>
                    </w:rPr>
                    <w:t>6</w:t>
                  </w:r>
                </w:p>
              </w:tc>
            </w:tr>
            <w:tr w14:paraId="7AB65F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noWrap/>
                  <w:tcMar>
                    <w:top w:w="15" w:type="dxa"/>
                    <w:left w:w="15" w:type="dxa"/>
                    <w:bottom w:w="0" w:type="dxa"/>
                    <w:right w:w="15" w:type="dxa"/>
                  </w:tcMar>
                  <w:vAlign w:val="bottom"/>
                </w:tcPr>
                <w:p w14:paraId="254DE9D0">
                  <w:pPr>
                    <w:adjustRightInd w:val="0"/>
                    <w:snapToGrid w:val="0"/>
                    <w:jc w:val="center"/>
                    <w:rPr>
                      <w:rFonts w:ascii="Times New Roman" w:hAnsi="Times New Roman"/>
                      <w:color w:val="auto"/>
                      <w:szCs w:val="21"/>
                    </w:rPr>
                  </w:pPr>
                  <w:r>
                    <w:rPr>
                      <w:rFonts w:ascii="Times New Roman" w:hAnsi="Times New Roman"/>
                      <w:color w:val="auto"/>
                      <w:szCs w:val="21"/>
                    </w:rPr>
                    <w:t>爬行类</w:t>
                  </w:r>
                </w:p>
              </w:tc>
              <w:tc>
                <w:tcPr>
                  <w:tcW w:w="1683" w:type="dxa"/>
                  <w:noWrap/>
                  <w:tcMar>
                    <w:top w:w="15" w:type="dxa"/>
                    <w:left w:w="15" w:type="dxa"/>
                    <w:bottom w:w="0" w:type="dxa"/>
                    <w:right w:w="15" w:type="dxa"/>
                  </w:tcMar>
                  <w:vAlign w:val="bottom"/>
                </w:tcPr>
                <w:p w14:paraId="390FA29C">
                  <w:pPr>
                    <w:pStyle w:val="85"/>
                    <w:adjustRightInd w:val="0"/>
                    <w:snapToGrid w:val="0"/>
                    <w:spacing w:before="0" w:after="0"/>
                    <w:rPr>
                      <w:rFonts w:cs="Times New Roman"/>
                      <w:color w:val="auto"/>
                      <w:szCs w:val="21"/>
                    </w:rPr>
                  </w:pPr>
                  <w:r>
                    <w:rPr>
                      <w:rFonts w:cs="Times New Roman"/>
                      <w:color w:val="auto"/>
                    </w:rPr>
                    <w:t>2</w:t>
                  </w:r>
                </w:p>
              </w:tc>
              <w:tc>
                <w:tcPr>
                  <w:tcW w:w="1684" w:type="dxa"/>
                  <w:noWrap/>
                  <w:tcMar>
                    <w:top w:w="15" w:type="dxa"/>
                    <w:left w:w="15" w:type="dxa"/>
                    <w:bottom w:w="0" w:type="dxa"/>
                    <w:right w:w="15" w:type="dxa"/>
                  </w:tcMar>
                  <w:vAlign w:val="bottom"/>
                </w:tcPr>
                <w:p w14:paraId="27DE108B">
                  <w:pPr>
                    <w:pStyle w:val="85"/>
                    <w:adjustRightInd w:val="0"/>
                    <w:snapToGrid w:val="0"/>
                    <w:spacing w:before="0" w:after="0"/>
                    <w:rPr>
                      <w:rFonts w:cs="Times New Roman"/>
                      <w:color w:val="auto"/>
                      <w:szCs w:val="21"/>
                    </w:rPr>
                  </w:pPr>
                  <w:r>
                    <w:rPr>
                      <w:rFonts w:cs="Times New Roman"/>
                      <w:color w:val="auto"/>
                    </w:rPr>
                    <w:t>5</w:t>
                  </w:r>
                </w:p>
              </w:tc>
              <w:tc>
                <w:tcPr>
                  <w:tcW w:w="1684" w:type="dxa"/>
                  <w:noWrap/>
                  <w:tcMar>
                    <w:top w:w="15" w:type="dxa"/>
                    <w:left w:w="15" w:type="dxa"/>
                    <w:bottom w:w="0" w:type="dxa"/>
                    <w:right w:w="15" w:type="dxa"/>
                  </w:tcMar>
                  <w:vAlign w:val="bottom"/>
                </w:tcPr>
                <w:p w14:paraId="0D2D5E1F">
                  <w:pPr>
                    <w:pStyle w:val="85"/>
                    <w:adjustRightInd w:val="0"/>
                    <w:snapToGrid w:val="0"/>
                    <w:spacing w:before="0" w:after="0"/>
                    <w:rPr>
                      <w:rFonts w:cs="Times New Roman"/>
                      <w:color w:val="auto"/>
                      <w:szCs w:val="21"/>
                    </w:rPr>
                  </w:pPr>
                  <w:r>
                    <w:rPr>
                      <w:rFonts w:hint="eastAsia" w:cs="Times New Roman"/>
                      <w:color w:val="auto"/>
                    </w:rPr>
                    <w:t>5</w:t>
                  </w:r>
                </w:p>
              </w:tc>
              <w:tc>
                <w:tcPr>
                  <w:tcW w:w="1683" w:type="dxa"/>
                  <w:noWrap/>
                  <w:tcMar>
                    <w:top w:w="15" w:type="dxa"/>
                    <w:left w:w="15" w:type="dxa"/>
                    <w:bottom w:w="0" w:type="dxa"/>
                    <w:right w:w="15" w:type="dxa"/>
                  </w:tcMar>
                  <w:vAlign w:val="bottom"/>
                </w:tcPr>
                <w:p w14:paraId="20807287">
                  <w:pPr>
                    <w:pStyle w:val="85"/>
                    <w:adjustRightInd w:val="0"/>
                    <w:snapToGrid w:val="0"/>
                    <w:spacing w:before="0" w:after="0"/>
                    <w:rPr>
                      <w:rFonts w:cs="Times New Roman"/>
                      <w:color w:val="auto"/>
                      <w:szCs w:val="21"/>
                    </w:rPr>
                  </w:pPr>
                  <w:r>
                    <w:rPr>
                      <w:rFonts w:hint="eastAsia" w:cs="Times New Roman"/>
                      <w:color w:val="auto"/>
                    </w:rPr>
                    <w:t>5</w:t>
                  </w:r>
                </w:p>
              </w:tc>
            </w:tr>
            <w:tr w14:paraId="115D7A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noWrap/>
                  <w:tcMar>
                    <w:top w:w="15" w:type="dxa"/>
                    <w:left w:w="15" w:type="dxa"/>
                    <w:bottom w:w="0" w:type="dxa"/>
                    <w:right w:w="15" w:type="dxa"/>
                  </w:tcMar>
                  <w:vAlign w:val="bottom"/>
                </w:tcPr>
                <w:p w14:paraId="41772C17">
                  <w:pPr>
                    <w:adjustRightInd w:val="0"/>
                    <w:snapToGrid w:val="0"/>
                    <w:jc w:val="center"/>
                    <w:rPr>
                      <w:rFonts w:ascii="Times New Roman" w:hAnsi="Times New Roman"/>
                      <w:color w:val="auto"/>
                      <w:szCs w:val="21"/>
                    </w:rPr>
                  </w:pPr>
                  <w:r>
                    <w:rPr>
                      <w:rFonts w:ascii="Times New Roman" w:hAnsi="Times New Roman"/>
                      <w:color w:val="auto"/>
                      <w:szCs w:val="21"/>
                    </w:rPr>
                    <w:t>鸟类</w:t>
                  </w:r>
                </w:p>
              </w:tc>
              <w:tc>
                <w:tcPr>
                  <w:tcW w:w="1683" w:type="dxa"/>
                  <w:noWrap/>
                  <w:tcMar>
                    <w:top w:w="15" w:type="dxa"/>
                    <w:left w:w="15" w:type="dxa"/>
                    <w:bottom w:w="0" w:type="dxa"/>
                    <w:right w:w="15" w:type="dxa"/>
                  </w:tcMar>
                  <w:vAlign w:val="bottom"/>
                </w:tcPr>
                <w:p w14:paraId="13E34C65">
                  <w:pPr>
                    <w:pStyle w:val="85"/>
                    <w:adjustRightInd w:val="0"/>
                    <w:snapToGrid w:val="0"/>
                    <w:spacing w:before="0" w:after="0"/>
                    <w:rPr>
                      <w:rFonts w:cs="Times New Roman"/>
                      <w:color w:val="auto"/>
                      <w:szCs w:val="21"/>
                    </w:rPr>
                  </w:pPr>
                  <w:r>
                    <w:rPr>
                      <w:rFonts w:cs="Times New Roman"/>
                      <w:color w:val="auto"/>
                    </w:rPr>
                    <w:t>10</w:t>
                  </w:r>
                </w:p>
              </w:tc>
              <w:tc>
                <w:tcPr>
                  <w:tcW w:w="1684" w:type="dxa"/>
                  <w:noWrap/>
                  <w:tcMar>
                    <w:top w:w="15" w:type="dxa"/>
                    <w:left w:w="15" w:type="dxa"/>
                    <w:bottom w:w="0" w:type="dxa"/>
                    <w:right w:w="15" w:type="dxa"/>
                  </w:tcMar>
                  <w:vAlign w:val="bottom"/>
                </w:tcPr>
                <w:p w14:paraId="11F67099">
                  <w:pPr>
                    <w:pStyle w:val="85"/>
                    <w:adjustRightInd w:val="0"/>
                    <w:snapToGrid w:val="0"/>
                    <w:spacing w:before="0" w:after="0"/>
                    <w:rPr>
                      <w:rFonts w:cs="Times New Roman"/>
                      <w:color w:val="auto"/>
                      <w:szCs w:val="21"/>
                    </w:rPr>
                  </w:pPr>
                  <w:r>
                    <w:rPr>
                      <w:rFonts w:cs="Times New Roman"/>
                      <w:color w:val="auto"/>
                    </w:rPr>
                    <w:t>23</w:t>
                  </w:r>
                </w:p>
              </w:tc>
              <w:tc>
                <w:tcPr>
                  <w:tcW w:w="1684" w:type="dxa"/>
                  <w:noWrap/>
                  <w:tcMar>
                    <w:top w:w="15" w:type="dxa"/>
                    <w:left w:w="15" w:type="dxa"/>
                    <w:bottom w:w="0" w:type="dxa"/>
                    <w:right w:w="15" w:type="dxa"/>
                  </w:tcMar>
                  <w:vAlign w:val="bottom"/>
                </w:tcPr>
                <w:p w14:paraId="364A5002">
                  <w:pPr>
                    <w:pStyle w:val="85"/>
                    <w:adjustRightInd w:val="0"/>
                    <w:snapToGrid w:val="0"/>
                    <w:spacing w:before="0" w:after="0"/>
                    <w:rPr>
                      <w:rFonts w:cs="Times New Roman"/>
                      <w:color w:val="auto"/>
                      <w:szCs w:val="21"/>
                    </w:rPr>
                  </w:pPr>
                  <w:r>
                    <w:rPr>
                      <w:rFonts w:cs="Times New Roman"/>
                      <w:color w:val="auto"/>
                    </w:rPr>
                    <w:t>43</w:t>
                  </w:r>
                </w:p>
              </w:tc>
              <w:tc>
                <w:tcPr>
                  <w:tcW w:w="1683" w:type="dxa"/>
                  <w:noWrap/>
                  <w:tcMar>
                    <w:top w:w="15" w:type="dxa"/>
                    <w:left w:w="15" w:type="dxa"/>
                    <w:bottom w:w="0" w:type="dxa"/>
                    <w:right w:w="15" w:type="dxa"/>
                  </w:tcMar>
                  <w:vAlign w:val="bottom"/>
                </w:tcPr>
                <w:p w14:paraId="5BEC3FEE">
                  <w:pPr>
                    <w:pStyle w:val="85"/>
                    <w:adjustRightInd w:val="0"/>
                    <w:snapToGrid w:val="0"/>
                    <w:spacing w:before="0" w:after="0"/>
                    <w:rPr>
                      <w:rFonts w:cs="Times New Roman"/>
                      <w:color w:val="auto"/>
                      <w:szCs w:val="21"/>
                    </w:rPr>
                  </w:pPr>
                  <w:r>
                    <w:rPr>
                      <w:rFonts w:cs="Times New Roman"/>
                      <w:color w:val="auto"/>
                    </w:rPr>
                    <w:t>51</w:t>
                  </w:r>
                </w:p>
              </w:tc>
            </w:tr>
            <w:tr w14:paraId="714ED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noWrap/>
                  <w:tcMar>
                    <w:top w:w="15" w:type="dxa"/>
                    <w:left w:w="15" w:type="dxa"/>
                    <w:bottom w:w="0" w:type="dxa"/>
                    <w:right w:w="15" w:type="dxa"/>
                  </w:tcMar>
                  <w:vAlign w:val="bottom"/>
                </w:tcPr>
                <w:p w14:paraId="4A25260E">
                  <w:pPr>
                    <w:adjustRightInd w:val="0"/>
                    <w:snapToGrid w:val="0"/>
                    <w:jc w:val="center"/>
                    <w:rPr>
                      <w:rFonts w:ascii="Times New Roman" w:hAnsi="Times New Roman"/>
                      <w:color w:val="auto"/>
                      <w:szCs w:val="21"/>
                    </w:rPr>
                  </w:pPr>
                  <w:r>
                    <w:rPr>
                      <w:rFonts w:ascii="Times New Roman" w:hAnsi="Times New Roman"/>
                      <w:color w:val="auto"/>
                      <w:szCs w:val="21"/>
                    </w:rPr>
                    <w:t>哺乳类</w:t>
                  </w:r>
                </w:p>
              </w:tc>
              <w:tc>
                <w:tcPr>
                  <w:tcW w:w="1683" w:type="dxa"/>
                  <w:noWrap/>
                  <w:tcMar>
                    <w:top w:w="15" w:type="dxa"/>
                    <w:left w:w="15" w:type="dxa"/>
                    <w:bottom w:w="0" w:type="dxa"/>
                    <w:right w:w="15" w:type="dxa"/>
                  </w:tcMar>
                  <w:vAlign w:val="bottom"/>
                </w:tcPr>
                <w:p w14:paraId="0E31BDC8">
                  <w:pPr>
                    <w:pStyle w:val="85"/>
                    <w:adjustRightInd w:val="0"/>
                    <w:snapToGrid w:val="0"/>
                    <w:spacing w:before="0" w:after="0"/>
                    <w:rPr>
                      <w:rFonts w:cs="Times New Roman"/>
                      <w:color w:val="auto"/>
                      <w:szCs w:val="21"/>
                    </w:rPr>
                  </w:pPr>
                  <w:r>
                    <w:rPr>
                      <w:rFonts w:cs="Times New Roman"/>
                      <w:color w:val="auto"/>
                    </w:rPr>
                    <w:t>4</w:t>
                  </w:r>
                </w:p>
              </w:tc>
              <w:tc>
                <w:tcPr>
                  <w:tcW w:w="1684" w:type="dxa"/>
                  <w:noWrap/>
                  <w:tcMar>
                    <w:top w:w="15" w:type="dxa"/>
                    <w:left w:w="15" w:type="dxa"/>
                    <w:bottom w:w="0" w:type="dxa"/>
                    <w:right w:w="15" w:type="dxa"/>
                  </w:tcMar>
                  <w:vAlign w:val="bottom"/>
                </w:tcPr>
                <w:p w14:paraId="254A5B34">
                  <w:pPr>
                    <w:pStyle w:val="85"/>
                    <w:adjustRightInd w:val="0"/>
                    <w:snapToGrid w:val="0"/>
                    <w:spacing w:before="0" w:after="0"/>
                    <w:rPr>
                      <w:rFonts w:cs="Times New Roman"/>
                      <w:color w:val="auto"/>
                      <w:szCs w:val="21"/>
                    </w:rPr>
                  </w:pPr>
                  <w:r>
                    <w:rPr>
                      <w:rFonts w:cs="Times New Roman"/>
                      <w:color w:val="auto"/>
                    </w:rPr>
                    <w:t>7</w:t>
                  </w:r>
                </w:p>
              </w:tc>
              <w:tc>
                <w:tcPr>
                  <w:tcW w:w="1684" w:type="dxa"/>
                  <w:noWrap/>
                  <w:tcMar>
                    <w:top w:w="15" w:type="dxa"/>
                    <w:left w:w="15" w:type="dxa"/>
                    <w:bottom w:w="0" w:type="dxa"/>
                    <w:right w:w="15" w:type="dxa"/>
                  </w:tcMar>
                  <w:vAlign w:val="bottom"/>
                </w:tcPr>
                <w:p w14:paraId="3099A08D">
                  <w:pPr>
                    <w:pStyle w:val="85"/>
                    <w:adjustRightInd w:val="0"/>
                    <w:snapToGrid w:val="0"/>
                    <w:spacing w:before="0" w:after="0"/>
                    <w:rPr>
                      <w:rFonts w:cs="Times New Roman"/>
                      <w:color w:val="auto"/>
                      <w:szCs w:val="21"/>
                    </w:rPr>
                  </w:pPr>
                  <w:r>
                    <w:rPr>
                      <w:rFonts w:cs="Times New Roman"/>
                      <w:color w:val="auto"/>
                    </w:rPr>
                    <w:t>10</w:t>
                  </w:r>
                </w:p>
              </w:tc>
              <w:tc>
                <w:tcPr>
                  <w:tcW w:w="1683" w:type="dxa"/>
                  <w:noWrap/>
                  <w:tcMar>
                    <w:top w:w="15" w:type="dxa"/>
                    <w:left w:w="15" w:type="dxa"/>
                    <w:bottom w:w="0" w:type="dxa"/>
                    <w:right w:w="15" w:type="dxa"/>
                  </w:tcMar>
                  <w:vAlign w:val="bottom"/>
                </w:tcPr>
                <w:p w14:paraId="10B0FFB7">
                  <w:pPr>
                    <w:pStyle w:val="85"/>
                    <w:adjustRightInd w:val="0"/>
                    <w:snapToGrid w:val="0"/>
                    <w:spacing w:before="0" w:after="0"/>
                    <w:rPr>
                      <w:rFonts w:cs="Times New Roman"/>
                      <w:color w:val="auto"/>
                      <w:szCs w:val="21"/>
                    </w:rPr>
                  </w:pPr>
                  <w:r>
                    <w:rPr>
                      <w:rFonts w:cs="Times New Roman"/>
                      <w:color w:val="auto"/>
                    </w:rPr>
                    <w:t>10</w:t>
                  </w:r>
                </w:p>
              </w:tc>
            </w:tr>
            <w:tr w14:paraId="75C9D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86" w:type="pct"/>
                  <w:noWrap/>
                  <w:tcMar>
                    <w:top w:w="15" w:type="dxa"/>
                    <w:left w:w="15" w:type="dxa"/>
                    <w:bottom w:w="0" w:type="dxa"/>
                    <w:right w:w="15" w:type="dxa"/>
                  </w:tcMar>
                  <w:vAlign w:val="bottom"/>
                </w:tcPr>
                <w:p w14:paraId="7868A257">
                  <w:pPr>
                    <w:adjustRightInd w:val="0"/>
                    <w:snapToGrid w:val="0"/>
                    <w:jc w:val="center"/>
                    <w:rPr>
                      <w:rFonts w:ascii="Times New Roman" w:hAnsi="Times New Roman"/>
                      <w:color w:val="auto"/>
                      <w:szCs w:val="21"/>
                    </w:rPr>
                  </w:pPr>
                  <w:r>
                    <w:rPr>
                      <w:rFonts w:ascii="Times New Roman" w:hAnsi="Times New Roman"/>
                      <w:color w:val="auto"/>
                      <w:szCs w:val="21"/>
                    </w:rPr>
                    <w:t>小计</w:t>
                  </w:r>
                </w:p>
              </w:tc>
              <w:tc>
                <w:tcPr>
                  <w:tcW w:w="1683" w:type="dxa"/>
                  <w:noWrap/>
                  <w:tcMar>
                    <w:top w:w="15" w:type="dxa"/>
                    <w:left w:w="15" w:type="dxa"/>
                    <w:bottom w:w="0" w:type="dxa"/>
                    <w:right w:w="15" w:type="dxa"/>
                  </w:tcMar>
                  <w:vAlign w:val="bottom"/>
                </w:tcPr>
                <w:p w14:paraId="6128E8E7">
                  <w:pPr>
                    <w:pStyle w:val="85"/>
                    <w:adjustRightInd w:val="0"/>
                    <w:snapToGrid w:val="0"/>
                    <w:spacing w:before="0" w:after="0"/>
                    <w:rPr>
                      <w:rFonts w:cs="Times New Roman"/>
                      <w:color w:val="auto"/>
                      <w:szCs w:val="21"/>
                    </w:rPr>
                  </w:pPr>
                  <w:r>
                    <w:rPr>
                      <w:rFonts w:cs="Times New Roman"/>
                      <w:color w:val="auto"/>
                    </w:rPr>
                    <w:t>17</w:t>
                  </w:r>
                </w:p>
              </w:tc>
              <w:tc>
                <w:tcPr>
                  <w:tcW w:w="1684" w:type="dxa"/>
                  <w:noWrap/>
                  <w:tcMar>
                    <w:top w:w="15" w:type="dxa"/>
                    <w:left w:w="15" w:type="dxa"/>
                    <w:bottom w:w="0" w:type="dxa"/>
                    <w:right w:w="15" w:type="dxa"/>
                  </w:tcMar>
                  <w:vAlign w:val="bottom"/>
                </w:tcPr>
                <w:p w14:paraId="797BC526">
                  <w:pPr>
                    <w:pStyle w:val="85"/>
                    <w:adjustRightInd w:val="0"/>
                    <w:snapToGrid w:val="0"/>
                    <w:spacing w:before="0" w:after="0"/>
                    <w:rPr>
                      <w:rFonts w:cs="Times New Roman"/>
                      <w:color w:val="auto"/>
                      <w:szCs w:val="21"/>
                    </w:rPr>
                  </w:pPr>
                  <w:r>
                    <w:rPr>
                      <w:rFonts w:cs="Times New Roman"/>
                      <w:color w:val="auto"/>
                    </w:rPr>
                    <w:t>38</w:t>
                  </w:r>
                </w:p>
              </w:tc>
              <w:tc>
                <w:tcPr>
                  <w:tcW w:w="1684" w:type="dxa"/>
                  <w:noWrap/>
                  <w:tcMar>
                    <w:top w:w="15" w:type="dxa"/>
                    <w:left w:w="15" w:type="dxa"/>
                    <w:bottom w:w="0" w:type="dxa"/>
                    <w:right w:w="15" w:type="dxa"/>
                  </w:tcMar>
                  <w:vAlign w:val="bottom"/>
                </w:tcPr>
                <w:p w14:paraId="1C473DD7">
                  <w:pPr>
                    <w:pStyle w:val="85"/>
                    <w:adjustRightInd w:val="0"/>
                    <w:snapToGrid w:val="0"/>
                    <w:spacing w:before="0" w:after="0"/>
                    <w:rPr>
                      <w:rFonts w:cs="Times New Roman"/>
                      <w:color w:val="auto"/>
                      <w:szCs w:val="21"/>
                    </w:rPr>
                  </w:pPr>
                  <w:r>
                    <w:rPr>
                      <w:rFonts w:cs="Times New Roman"/>
                      <w:color w:val="auto"/>
                    </w:rPr>
                    <w:t>62</w:t>
                  </w:r>
                </w:p>
              </w:tc>
              <w:tc>
                <w:tcPr>
                  <w:tcW w:w="1683" w:type="dxa"/>
                  <w:noWrap/>
                  <w:tcMar>
                    <w:top w:w="15" w:type="dxa"/>
                    <w:left w:w="15" w:type="dxa"/>
                    <w:bottom w:w="0" w:type="dxa"/>
                    <w:right w:w="15" w:type="dxa"/>
                  </w:tcMar>
                  <w:vAlign w:val="bottom"/>
                </w:tcPr>
                <w:p w14:paraId="741C1E78">
                  <w:pPr>
                    <w:pStyle w:val="85"/>
                    <w:adjustRightInd w:val="0"/>
                    <w:snapToGrid w:val="0"/>
                    <w:spacing w:before="0" w:after="0"/>
                    <w:rPr>
                      <w:rFonts w:cs="Times New Roman"/>
                      <w:color w:val="auto"/>
                      <w:szCs w:val="21"/>
                    </w:rPr>
                  </w:pPr>
                  <w:r>
                    <w:rPr>
                      <w:rFonts w:cs="Times New Roman"/>
                      <w:color w:val="auto"/>
                    </w:rPr>
                    <w:t>72</w:t>
                  </w:r>
                </w:p>
              </w:tc>
            </w:tr>
          </w:tbl>
          <w:p w14:paraId="5B8C5094">
            <w:pPr>
              <w:pStyle w:val="6"/>
              <w:adjustRightInd w:val="0"/>
              <w:snapToGrid w:val="0"/>
              <w:spacing w:line="440" w:lineRule="exact"/>
              <w:ind w:firstLine="482" w:firstLineChars="200"/>
              <w:rPr>
                <w:rFonts w:ascii="Times New Roman" w:hAnsi="Times New Roman"/>
                <w:color w:val="auto"/>
                <w:szCs w:val="24"/>
              </w:rPr>
            </w:pPr>
            <w:r>
              <w:rPr>
                <w:rFonts w:hint="eastAsia" w:ascii="Times New Roman" w:hAnsi="Times New Roman"/>
                <w:color w:val="auto"/>
                <w:szCs w:val="24"/>
              </w:rPr>
              <w:t>（2）</w:t>
            </w:r>
            <w:r>
              <w:rPr>
                <w:rFonts w:ascii="Times New Roman" w:hAnsi="Times New Roman"/>
                <w:color w:val="auto"/>
                <w:szCs w:val="24"/>
              </w:rPr>
              <w:t>陆生脊椎动物现状分类</w:t>
            </w:r>
          </w:p>
          <w:p w14:paraId="30FC251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1）两栖类</w:t>
            </w:r>
          </w:p>
          <w:p w14:paraId="5427CFB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调查及资料表明，评价区内分布有两栖动物</w:t>
            </w:r>
            <w:r>
              <w:rPr>
                <w:rFonts w:hint="eastAsia" w:ascii="Times New Roman" w:hAnsi="Times New Roman"/>
                <w:color w:val="auto"/>
                <w:sz w:val="24"/>
                <w:szCs w:val="24"/>
              </w:rPr>
              <w:t>6</w:t>
            </w:r>
            <w:r>
              <w:rPr>
                <w:rFonts w:ascii="Times New Roman" w:hAnsi="Times New Roman"/>
                <w:color w:val="auto"/>
                <w:sz w:val="24"/>
                <w:szCs w:val="24"/>
              </w:rPr>
              <w:t>种，隶属于1目、4科、</w:t>
            </w:r>
            <w:r>
              <w:rPr>
                <w:rFonts w:hint="eastAsia" w:ascii="Times New Roman" w:hAnsi="Times New Roman"/>
                <w:color w:val="auto"/>
                <w:sz w:val="24"/>
                <w:szCs w:val="24"/>
              </w:rPr>
              <w:t>4</w:t>
            </w:r>
            <w:r>
              <w:rPr>
                <w:rFonts w:ascii="Times New Roman" w:hAnsi="Times New Roman"/>
                <w:color w:val="auto"/>
                <w:sz w:val="24"/>
                <w:szCs w:val="24"/>
              </w:rPr>
              <w:t>属。这些两栖动物在当地都为偶见种。</w:t>
            </w:r>
          </w:p>
          <w:p w14:paraId="1657F8E5">
            <w:pPr>
              <w:adjustRightInd w:val="0"/>
              <w:snapToGrid w:val="0"/>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3-8</w:t>
            </w:r>
            <w:r>
              <w:rPr>
                <w:rFonts w:ascii="Times New Roman" w:hAnsi="Times New Roman"/>
                <w:b/>
                <w:color w:val="auto"/>
                <w:sz w:val="24"/>
                <w:szCs w:val="32"/>
              </w:rPr>
              <w:t xml:space="preserve">  评价区两栖动物组成</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4363"/>
              <w:gridCol w:w="1943"/>
            </w:tblGrid>
            <w:tr w14:paraId="19BD62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7" w:type="pct"/>
                  <w:tcBorders>
                    <w:tl2br w:val="nil"/>
                    <w:tr2bl w:val="nil"/>
                  </w:tcBorders>
                  <w:noWrap/>
                  <w:vAlign w:val="center"/>
                </w:tcPr>
                <w:p w14:paraId="47F42E20">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目</w:t>
                  </w:r>
                </w:p>
              </w:tc>
              <w:tc>
                <w:tcPr>
                  <w:tcW w:w="2588" w:type="pct"/>
                  <w:tcBorders>
                    <w:tl2br w:val="nil"/>
                    <w:tr2bl w:val="nil"/>
                  </w:tcBorders>
                  <w:noWrap/>
                  <w:vAlign w:val="center"/>
                </w:tcPr>
                <w:p w14:paraId="7D9A5FA8">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科</w:t>
                  </w:r>
                </w:p>
              </w:tc>
              <w:tc>
                <w:tcPr>
                  <w:tcW w:w="1153" w:type="pct"/>
                  <w:tcBorders>
                    <w:tl2br w:val="nil"/>
                    <w:tr2bl w:val="nil"/>
                  </w:tcBorders>
                  <w:vAlign w:val="center"/>
                </w:tcPr>
                <w:p w14:paraId="2654AEA9">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种数</w:t>
                  </w:r>
                </w:p>
              </w:tc>
            </w:tr>
            <w:tr w14:paraId="2CD55E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7" w:type="pct"/>
                  <w:vMerge w:val="restart"/>
                  <w:tcBorders>
                    <w:tl2br w:val="nil"/>
                    <w:tr2bl w:val="nil"/>
                  </w:tcBorders>
                  <w:noWrap/>
                  <w:vAlign w:val="center"/>
                </w:tcPr>
                <w:p w14:paraId="11724806">
                  <w:pPr>
                    <w:adjustRightInd w:val="0"/>
                    <w:snapToGrid w:val="0"/>
                    <w:jc w:val="center"/>
                    <w:rPr>
                      <w:rFonts w:ascii="Times New Roman" w:hAnsi="Times New Roman"/>
                      <w:color w:val="auto"/>
                      <w:kern w:val="0"/>
                      <w:szCs w:val="21"/>
                    </w:rPr>
                  </w:pPr>
                  <w:r>
                    <w:rPr>
                      <w:rFonts w:ascii="Times New Roman" w:hAnsi="Times New Roman"/>
                      <w:color w:val="auto"/>
                      <w:kern w:val="0"/>
                      <w:szCs w:val="21"/>
                    </w:rPr>
                    <w:t>无尾目ANURA</w:t>
                  </w:r>
                </w:p>
              </w:tc>
              <w:tc>
                <w:tcPr>
                  <w:tcW w:w="2588" w:type="pct"/>
                  <w:tcBorders>
                    <w:tl2br w:val="nil"/>
                    <w:tr2bl w:val="nil"/>
                  </w:tcBorders>
                  <w:shd w:val="clear" w:color="auto" w:fill="auto"/>
                  <w:noWrap/>
                  <w:vAlign w:val="center"/>
                </w:tcPr>
                <w:p w14:paraId="6841CC4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树蛙科</w:t>
                  </w:r>
                  <w:r>
                    <w:rPr>
                      <w:rFonts w:ascii="Times New Roman" w:hAnsi="Times New Roman"/>
                      <w:color w:val="auto"/>
                      <w:kern w:val="0"/>
                      <w:szCs w:val="21"/>
                    </w:rPr>
                    <w:t>Rhacophoridae</w:t>
                  </w:r>
                </w:p>
              </w:tc>
              <w:tc>
                <w:tcPr>
                  <w:tcW w:w="1153" w:type="pct"/>
                  <w:tcBorders>
                    <w:tl2br w:val="nil"/>
                    <w:tr2bl w:val="nil"/>
                  </w:tcBorders>
                  <w:shd w:val="clear" w:color="auto" w:fill="auto"/>
                  <w:vAlign w:val="center"/>
                </w:tcPr>
                <w:p w14:paraId="3F474957">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09620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7" w:type="pct"/>
                  <w:vMerge w:val="continue"/>
                  <w:tcBorders>
                    <w:tl2br w:val="nil"/>
                    <w:tr2bl w:val="nil"/>
                  </w:tcBorders>
                  <w:noWrap/>
                  <w:vAlign w:val="center"/>
                </w:tcPr>
                <w:p w14:paraId="108DC0AD">
                  <w:pPr>
                    <w:adjustRightInd w:val="0"/>
                    <w:snapToGrid w:val="0"/>
                    <w:jc w:val="center"/>
                    <w:rPr>
                      <w:rFonts w:ascii="Times New Roman" w:hAnsi="Times New Roman"/>
                      <w:color w:val="auto"/>
                      <w:kern w:val="0"/>
                      <w:szCs w:val="21"/>
                    </w:rPr>
                  </w:pPr>
                </w:p>
              </w:tc>
              <w:tc>
                <w:tcPr>
                  <w:tcW w:w="2588" w:type="pct"/>
                  <w:tcBorders>
                    <w:tl2br w:val="nil"/>
                    <w:tr2bl w:val="nil"/>
                  </w:tcBorders>
                  <w:shd w:val="clear" w:color="auto" w:fill="auto"/>
                  <w:noWrap/>
                  <w:vAlign w:val="center"/>
                </w:tcPr>
                <w:p w14:paraId="29257741">
                  <w:pPr>
                    <w:adjustRightInd w:val="0"/>
                    <w:snapToGrid w:val="0"/>
                    <w:jc w:val="center"/>
                    <w:rPr>
                      <w:rFonts w:ascii="Times New Roman" w:hAnsi="Times New Roman"/>
                      <w:color w:val="auto"/>
                      <w:kern w:val="0"/>
                      <w:szCs w:val="21"/>
                    </w:rPr>
                  </w:pPr>
                  <w:r>
                    <w:rPr>
                      <w:rFonts w:ascii="Times New Roman" w:hAnsi="Times New Roman"/>
                      <w:color w:val="auto"/>
                      <w:kern w:val="0"/>
                      <w:szCs w:val="21"/>
                    </w:rPr>
                    <w:t>蟾蜍科Bufonidae</w:t>
                  </w:r>
                </w:p>
              </w:tc>
              <w:tc>
                <w:tcPr>
                  <w:tcW w:w="1153" w:type="pct"/>
                  <w:tcBorders>
                    <w:tl2br w:val="nil"/>
                    <w:tr2bl w:val="nil"/>
                  </w:tcBorders>
                  <w:shd w:val="clear" w:color="auto" w:fill="auto"/>
                  <w:vAlign w:val="center"/>
                </w:tcPr>
                <w:p w14:paraId="1D5CBA41">
                  <w:pPr>
                    <w:adjustRightInd w:val="0"/>
                    <w:snapToGrid w:val="0"/>
                    <w:jc w:val="center"/>
                    <w:rPr>
                      <w:rFonts w:ascii="Times New Roman" w:hAnsi="Times New Roman"/>
                      <w:color w:val="auto"/>
                      <w:kern w:val="0"/>
                      <w:szCs w:val="21"/>
                    </w:rPr>
                  </w:pPr>
                  <w:r>
                    <w:rPr>
                      <w:rFonts w:ascii="Times New Roman" w:hAnsi="Times New Roman"/>
                      <w:color w:val="auto"/>
                      <w:kern w:val="0"/>
                      <w:szCs w:val="21"/>
                    </w:rPr>
                    <w:t>2</w:t>
                  </w:r>
                </w:p>
              </w:tc>
            </w:tr>
            <w:tr w14:paraId="5CA98F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7" w:type="pct"/>
                  <w:vMerge w:val="continue"/>
                  <w:tcBorders>
                    <w:tl2br w:val="nil"/>
                    <w:tr2bl w:val="nil"/>
                  </w:tcBorders>
                  <w:noWrap/>
                  <w:vAlign w:val="center"/>
                </w:tcPr>
                <w:p w14:paraId="10C9D345">
                  <w:pPr>
                    <w:adjustRightInd w:val="0"/>
                    <w:snapToGrid w:val="0"/>
                    <w:jc w:val="center"/>
                    <w:rPr>
                      <w:rFonts w:ascii="Times New Roman" w:hAnsi="Times New Roman"/>
                      <w:color w:val="auto"/>
                      <w:kern w:val="0"/>
                      <w:szCs w:val="21"/>
                    </w:rPr>
                  </w:pPr>
                </w:p>
              </w:tc>
              <w:tc>
                <w:tcPr>
                  <w:tcW w:w="2588" w:type="pct"/>
                  <w:tcBorders>
                    <w:tl2br w:val="nil"/>
                    <w:tr2bl w:val="nil"/>
                  </w:tcBorders>
                  <w:shd w:val="clear" w:color="auto" w:fill="auto"/>
                  <w:noWrap/>
                  <w:vAlign w:val="center"/>
                </w:tcPr>
                <w:p w14:paraId="29BAC660">
                  <w:pPr>
                    <w:adjustRightInd w:val="0"/>
                    <w:snapToGrid w:val="0"/>
                    <w:jc w:val="center"/>
                    <w:rPr>
                      <w:rFonts w:ascii="Times New Roman" w:hAnsi="Times New Roman"/>
                      <w:color w:val="auto"/>
                      <w:kern w:val="0"/>
                      <w:szCs w:val="21"/>
                    </w:rPr>
                  </w:pPr>
                  <w:r>
                    <w:rPr>
                      <w:rFonts w:ascii="Times New Roman" w:hAnsi="Times New Roman"/>
                      <w:color w:val="auto"/>
                      <w:kern w:val="0"/>
                      <w:szCs w:val="21"/>
                    </w:rPr>
                    <w:t>蛙科Ranidae</w:t>
                  </w:r>
                </w:p>
              </w:tc>
              <w:tc>
                <w:tcPr>
                  <w:tcW w:w="1153" w:type="pct"/>
                  <w:tcBorders>
                    <w:tl2br w:val="nil"/>
                    <w:tr2bl w:val="nil"/>
                  </w:tcBorders>
                  <w:shd w:val="clear" w:color="auto" w:fill="auto"/>
                  <w:vAlign w:val="center"/>
                </w:tcPr>
                <w:p w14:paraId="7D590F36">
                  <w:pPr>
                    <w:adjustRightInd w:val="0"/>
                    <w:snapToGrid w:val="0"/>
                    <w:jc w:val="center"/>
                    <w:rPr>
                      <w:rFonts w:ascii="Times New Roman" w:hAnsi="Times New Roman"/>
                      <w:color w:val="auto"/>
                      <w:kern w:val="0"/>
                      <w:szCs w:val="21"/>
                    </w:rPr>
                  </w:pPr>
                  <w:r>
                    <w:rPr>
                      <w:rFonts w:ascii="Times New Roman" w:hAnsi="Times New Roman"/>
                      <w:color w:val="auto"/>
                      <w:kern w:val="0"/>
                      <w:szCs w:val="21"/>
                    </w:rPr>
                    <w:t>3</w:t>
                  </w:r>
                </w:p>
              </w:tc>
            </w:tr>
          </w:tbl>
          <w:p w14:paraId="6FF763C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2）爬行类</w:t>
            </w:r>
          </w:p>
          <w:p w14:paraId="00BAEEA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调查及资料表明，评价区内分布有爬行动物</w:t>
            </w:r>
            <w:r>
              <w:rPr>
                <w:rFonts w:hint="eastAsia" w:ascii="Times New Roman" w:hAnsi="Times New Roman"/>
                <w:color w:val="auto"/>
                <w:sz w:val="24"/>
                <w:szCs w:val="24"/>
              </w:rPr>
              <w:t>5</w:t>
            </w:r>
            <w:r>
              <w:rPr>
                <w:rFonts w:ascii="Times New Roman" w:hAnsi="Times New Roman"/>
                <w:color w:val="auto"/>
                <w:sz w:val="24"/>
                <w:szCs w:val="24"/>
              </w:rPr>
              <w:t>种，隶属于2目、5科、</w:t>
            </w:r>
            <w:r>
              <w:rPr>
                <w:rFonts w:hint="eastAsia" w:ascii="Times New Roman" w:hAnsi="Times New Roman"/>
                <w:color w:val="auto"/>
                <w:sz w:val="24"/>
                <w:szCs w:val="24"/>
              </w:rPr>
              <w:t>5</w:t>
            </w:r>
            <w:r>
              <w:rPr>
                <w:rFonts w:ascii="Times New Roman" w:hAnsi="Times New Roman"/>
                <w:color w:val="auto"/>
                <w:sz w:val="24"/>
                <w:szCs w:val="24"/>
              </w:rPr>
              <w:t>属。评价区主要是深切河谷，分布于该区域的爬行动物主要为攀蜥、游蛇。实际调查见到丽纹攀蜥，访问得知该区域赤链蛇、红脖颈槽蛇数量较多。云南竹叶青为偶见种。</w:t>
            </w:r>
          </w:p>
          <w:p w14:paraId="1E6178B9">
            <w:pPr>
              <w:adjustRightInd w:val="0"/>
              <w:snapToGrid w:val="0"/>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3-9</w:t>
            </w:r>
            <w:r>
              <w:rPr>
                <w:rFonts w:ascii="Times New Roman" w:hAnsi="Times New Roman"/>
                <w:b/>
                <w:color w:val="auto"/>
                <w:sz w:val="24"/>
                <w:szCs w:val="32"/>
              </w:rPr>
              <w:t xml:space="preserve">  评价区爬行动物组成</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73"/>
              <w:gridCol w:w="4331"/>
              <w:gridCol w:w="1923"/>
            </w:tblGrid>
            <w:tr w14:paraId="3C2986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tcBorders>
                    <w:tl2br w:val="nil"/>
                    <w:tr2bl w:val="nil"/>
                  </w:tcBorders>
                  <w:noWrap/>
                  <w:vAlign w:val="center"/>
                </w:tcPr>
                <w:p w14:paraId="1C6109B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目</w:t>
                  </w:r>
                </w:p>
              </w:tc>
              <w:tc>
                <w:tcPr>
                  <w:tcW w:w="2569" w:type="pct"/>
                  <w:tcBorders>
                    <w:tl2br w:val="nil"/>
                    <w:tr2bl w:val="nil"/>
                  </w:tcBorders>
                  <w:noWrap/>
                  <w:vAlign w:val="center"/>
                </w:tcPr>
                <w:p w14:paraId="51BE221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科</w:t>
                  </w:r>
                </w:p>
              </w:tc>
              <w:tc>
                <w:tcPr>
                  <w:tcW w:w="1141" w:type="pct"/>
                  <w:tcBorders>
                    <w:tl2br w:val="nil"/>
                    <w:tr2bl w:val="nil"/>
                  </w:tcBorders>
                  <w:noWrap/>
                  <w:vAlign w:val="center"/>
                </w:tcPr>
                <w:p w14:paraId="062E601A">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种数</w:t>
                  </w:r>
                </w:p>
              </w:tc>
            </w:tr>
            <w:tr w14:paraId="6B929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restart"/>
                  <w:tcBorders>
                    <w:tl2br w:val="nil"/>
                    <w:tr2bl w:val="nil"/>
                  </w:tcBorders>
                  <w:noWrap/>
                  <w:vAlign w:val="center"/>
                </w:tcPr>
                <w:p w14:paraId="20248F7C">
                  <w:pPr>
                    <w:adjustRightInd w:val="0"/>
                    <w:snapToGrid w:val="0"/>
                    <w:jc w:val="center"/>
                    <w:rPr>
                      <w:rFonts w:ascii="Times New Roman" w:hAnsi="Times New Roman"/>
                      <w:color w:val="auto"/>
                      <w:kern w:val="0"/>
                      <w:szCs w:val="21"/>
                    </w:rPr>
                  </w:pPr>
                  <w:r>
                    <w:rPr>
                      <w:rFonts w:ascii="Times New Roman" w:hAnsi="Times New Roman"/>
                      <w:color w:val="auto"/>
                      <w:kern w:val="0"/>
                      <w:szCs w:val="21"/>
                    </w:rPr>
                    <w:t>蜥蜴目ACETILA</w:t>
                  </w:r>
                </w:p>
              </w:tc>
              <w:tc>
                <w:tcPr>
                  <w:tcW w:w="2569" w:type="pct"/>
                  <w:tcBorders>
                    <w:tl2br w:val="nil"/>
                    <w:tr2bl w:val="nil"/>
                  </w:tcBorders>
                  <w:noWrap/>
                  <w:vAlign w:val="center"/>
                </w:tcPr>
                <w:p w14:paraId="35A13FF2">
                  <w:pPr>
                    <w:adjustRightInd w:val="0"/>
                    <w:snapToGrid w:val="0"/>
                    <w:jc w:val="center"/>
                    <w:rPr>
                      <w:rFonts w:ascii="Times New Roman" w:hAnsi="Times New Roman"/>
                      <w:color w:val="auto"/>
                      <w:kern w:val="0"/>
                      <w:szCs w:val="21"/>
                    </w:rPr>
                  </w:pPr>
                  <w:r>
                    <w:rPr>
                      <w:rFonts w:ascii="Times New Roman" w:hAnsi="Times New Roman"/>
                      <w:color w:val="auto"/>
                      <w:kern w:val="0"/>
                      <w:szCs w:val="21"/>
                    </w:rPr>
                    <w:t>鬣蜥科Agamidae</w:t>
                  </w:r>
                </w:p>
              </w:tc>
              <w:tc>
                <w:tcPr>
                  <w:tcW w:w="1141" w:type="pct"/>
                  <w:tcBorders>
                    <w:tl2br w:val="nil"/>
                    <w:tr2bl w:val="nil"/>
                  </w:tcBorders>
                  <w:noWrap/>
                  <w:vAlign w:val="center"/>
                </w:tcPr>
                <w:p w14:paraId="061EEDBA">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699E4B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72DC912E">
                  <w:pPr>
                    <w:adjustRightInd w:val="0"/>
                    <w:snapToGrid w:val="0"/>
                    <w:jc w:val="center"/>
                    <w:rPr>
                      <w:rFonts w:ascii="Times New Roman" w:hAnsi="Times New Roman"/>
                      <w:color w:val="auto"/>
                      <w:kern w:val="0"/>
                      <w:szCs w:val="21"/>
                    </w:rPr>
                  </w:pPr>
                </w:p>
              </w:tc>
              <w:tc>
                <w:tcPr>
                  <w:tcW w:w="2569" w:type="pct"/>
                  <w:tcBorders>
                    <w:tl2br w:val="nil"/>
                    <w:tr2bl w:val="nil"/>
                  </w:tcBorders>
                  <w:noWrap/>
                  <w:vAlign w:val="center"/>
                </w:tcPr>
                <w:p w14:paraId="12BA73F2">
                  <w:pPr>
                    <w:adjustRightInd w:val="0"/>
                    <w:snapToGrid w:val="0"/>
                    <w:jc w:val="center"/>
                    <w:rPr>
                      <w:rFonts w:ascii="Times New Roman" w:hAnsi="Times New Roman"/>
                      <w:color w:val="auto"/>
                      <w:kern w:val="0"/>
                      <w:szCs w:val="21"/>
                    </w:rPr>
                  </w:pPr>
                  <w:r>
                    <w:rPr>
                      <w:rFonts w:ascii="Times New Roman" w:hAnsi="Times New Roman"/>
                      <w:color w:val="auto"/>
                      <w:kern w:val="0"/>
                      <w:szCs w:val="21"/>
                    </w:rPr>
                    <w:t>石龙子科Scincida</w:t>
                  </w:r>
                </w:p>
              </w:tc>
              <w:tc>
                <w:tcPr>
                  <w:tcW w:w="1141" w:type="pct"/>
                  <w:tcBorders>
                    <w:tl2br w:val="nil"/>
                    <w:tr2bl w:val="nil"/>
                  </w:tcBorders>
                  <w:noWrap/>
                  <w:vAlign w:val="center"/>
                </w:tcPr>
                <w:p w14:paraId="15FEC37D">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55256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78B7FDF4">
                  <w:pPr>
                    <w:adjustRightInd w:val="0"/>
                    <w:snapToGrid w:val="0"/>
                    <w:jc w:val="center"/>
                    <w:rPr>
                      <w:rFonts w:ascii="Times New Roman" w:hAnsi="Times New Roman"/>
                      <w:color w:val="auto"/>
                      <w:kern w:val="0"/>
                      <w:szCs w:val="21"/>
                    </w:rPr>
                  </w:pPr>
                </w:p>
              </w:tc>
              <w:tc>
                <w:tcPr>
                  <w:tcW w:w="2569" w:type="pct"/>
                  <w:tcBorders>
                    <w:tl2br w:val="nil"/>
                    <w:tr2bl w:val="nil"/>
                  </w:tcBorders>
                  <w:noWrap/>
                  <w:vAlign w:val="center"/>
                </w:tcPr>
                <w:p w14:paraId="45966157">
                  <w:pPr>
                    <w:adjustRightInd w:val="0"/>
                    <w:snapToGrid w:val="0"/>
                    <w:jc w:val="center"/>
                    <w:rPr>
                      <w:rFonts w:ascii="Times New Roman" w:hAnsi="Times New Roman"/>
                      <w:color w:val="auto"/>
                      <w:kern w:val="0"/>
                      <w:szCs w:val="21"/>
                    </w:rPr>
                  </w:pPr>
                  <w:r>
                    <w:rPr>
                      <w:rFonts w:ascii="Times New Roman" w:hAnsi="Times New Roman"/>
                      <w:color w:val="auto"/>
                      <w:kern w:val="0"/>
                      <w:szCs w:val="21"/>
                    </w:rPr>
                    <w:t>壁虎科Gekkonidae</w:t>
                  </w:r>
                </w:p>
              </w:tc>
              <w:tc>
                <w:tcPr>
                  <w:tcW w:w="1141" w:type="pct"/>
                  <w:tcBorders>
                    <w:tl2br w:val="nil"/>
                    <w:tr2bl w:val="nil"/>
                  </w:tcBorders>
                  <w:noWrap/>
                  <w:vAlign w:val="center"/>
                </w:tcPr>
                <w:p w14:paraId="35212F6E">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703AFB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restart"/>
                  <w:tcBorders>
                    <w:tl2br w:val="nil"/>
                    <w:tr2bl w:val="nil"/>
                  </w:tcBorders>
                  <w:noWrap/>
                  <w:vAlign w:val="center"/>
                </w:tcPr>
                <w:p w14:paraId="17DBEA84">
                  <w:pPr>
                    <w:adjustRightInd w:val="0"/>
                    <w:snapToGrid w:val="0"/>
                    <w:jc w:val="center"/>
                    <w:rPr>
                      <w:rFonts w:ascii="Times New Roman" w:hAnsi="Times New Roman"/>
                      <w:color w:val="auto"/>
                      <w:kern w:val="0"/>
                      <w:szCs w:val="21"/>
                    </w:rPr>
                  </w:pPr>
                  <w:r>
                    <w:rPr>
                      <w:rFonts w:ascii="Times New Roman" w:hAnsi="Times New Roman"/>
                      <w:color w:val="auto"/>
                      <w:kern w:val="0"/>
                      <w:szCs w:val="21"/>
                    </w:rPr>
                    <w:t>蛇目SERPENTES</w:t>
                  </w:r>
                </w:p>
              </w:tc>
              <w:tc>
                <w:tcPr>
                  <w:tcW w:w="2569" w:type="pct"/>
                  <w:tcBorders>
                    <w:tl2br w:val="nil"/>
                    <w:tr2bl w:val="nil"/>
                  </w:tcBorders>
                  <w:noWrap/>
                  <w:vAlign w:val="center"/>
                </w:tcPr>
                <w:p w14:paraId="6AC09661">
                  <w:pPr>
                    <w:adjustRightInd w:val="0"/>
                    <w:snapToGrid w:val="0"/>
                    <w:jc w:val="center"/>
                    <w:rPr>
                      <w:rFonts w:ascii="Times New Roman" w:hAnsi="Times New Roman"/>
                      <w:color w:val="auto"/>
                      <w:kern w:val="0"/>
                      <w:szCs w:val="21"/>
                    </w:rPr>
                  </w:pPr>
                  <w:r>
                    <w:rPr>
                      <w:rFonts w:ascii="Times New Roman" w:hAnsi="Times New Roman"/>
                      <w:color w:val="auto"/>
                      <w:kern w:val="0"/>
                      <w:szCs w:val="21"/>
                    </w:rPr>
                    <w:t>游蛇科Colubridae</w:t>
                  </w:r>
                </w:p>
              </w:tc>
              <w:tc>
                <w:tcPr>
                  <w:tcW w:w="1141" w:type="pct"/>
                  <w:tcBorders>
                    <w:tl2br w:val="nil"/>
                    <w:tr2bl w:val="nil"/>
                  </w:tcBorders>
                  <w:noWrap/>
                  <w:vAlign w:val="center"/>
                </w:tcPr>
                <w:p w14:paraId="7955EB90">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w:t>
                  </w:r>
                </w:p>
              </w:tc>
            </w:tr>
            <w:tr w14:paraId="5F8BA5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21DBF26C">
                  <w:pPr>
                    <w:adjustRightInd w:val="0"/>
                    <w:snapToGrid w:val="0"/>
                    <w:jc w:val="center"/>
                    <w:rPr>
                      <w:rFonts w:ascii="Times New Roman" w:hAnsi="Times New Roman"/>
                      <w:color w:val="auto"/>
                      <w:kern w:val="0"/>
                      <w:szCs w:val="21"/>
                    </w:rPr>
                  </w:pPr>
                </w:p>
              </w:tc>
              <w:tc>
                <w:tcPr>
                  <w:tcW w:w="2569" w:type="pct"/>
                  <w:tcBorders>
                    <w:tl2br w:val="nil"/>
                    <w:tr2bl w:val="nil"/>
                  </w:tcBorders>
                  <w:noWrap/>
                  <w:vAlign w:val="center"/>
                </w:tcPr>
                <w:p w14:paraId="0DEFDD33">
                  <w:pPr>
                    <w:adjustRightInd w:val="0"/>
                    <w:snapToGrid w:val="0"/>
                    <w:jc w:val="center"/>
                    <w:rPr>
                      <w:rFonts w:ascii="Times New Roman" w:hAnsi="Times New Roman"/>
                      <w:color w:val="auto"/>
                      <w:kern w:val="0"/>
                      <w:szCs w:val="21"/>
                    </w:rPr>
                  </w:pPr>
                  <w:r>
                    <w:rPr>
                      <w:rFonts w:ascii="Times New Roman" w:hAnsi="Times New Roman"/>
                      <w:color w:val="auto"/>
                      <w:kern w:val="0"/>
                      <w:szCs w:val="21"/>
                    </w:rPr>
                    <w:t>蝰蛇科Viperidae</w:t>
                  </w:r>
                </w:p>
              </w:tc>
              <w:tc>
                <w:tcPr>
                  <w:tcW w:w="1141" w:type="pct"/>
                  <w:tcBorders>
                    <w:tl2br w:val="nil"/>
                    <w:tr2bl w:val="nil"/>
                  </w:tcBorders>
                  <w:noWrap/>
                  <w:vAlign w:val="center"/>
                </w:tcPr>
                <w:p w14:paraId="46059756">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bl>
          <w:p w14:paraId="0B6157C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3）鸟类</w:t>
            </w:r>
          </w:p>
          <w:p w14:paraId="3070BE7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根据对评价区现场调查及文献记载，评价范围分布有鸟类51种，隶属于10目、23科、43属（云南鸟类志分类系统），见表</w:t>
            </w:r>
            <w:r>
              <w:rPr>
                <w:rFonts w:hint="eastAsia" w:ascii="Times New Roman" w:hAnsi="Times New Roman"/>
                <w:color w:val="auto"/>
                <w:sz w:val="24"/>
                <w:szCs w:val="24"/>
              </w:rPr>
              <w:t>3-10</w:t>
            </w:r>
            <w:r>
              <w:rPr>
                <w:rFonts w:ascii="Times New Roman" w:hAnsi="Times New Roman"/>
                <w:color w:val="auto"/>
                <w:sz w:val="24"/>
                <w:szCs w:val="24"/>
              </w:rPr>
              <w:t>。评价区主要地貌为深切河谷，两岸高山散布阔叶林、针叶林，部分山坡为荒坡，鸟类栖息环境良好。实际调查中见到戴胜、金腰燕、白鹡鸰、黄臀鹎、黑卷尾、红尾水鸲、白颊噪鹛、黄腹柳莺、大山雀、树麻雀，其中红尾水鸲、白鹡鸰、黄臀鹎为优势种。其他种类，普通鵟、红隼为以礼河河谷常见种，其他猛禽由于其活动范围大，有可能在评价区内出现；环颈雉为以礼河河谷面山第一层山脊以上区域常见种；鸻形目种类较少，数量亦少，主要在开阔河滩处偶见；鸠鸽类为山顶针叶林区域常见种；鹡鸰类、鹎类、鹛类、鸫亚科等种类在评价区常见。</w:t>
            </w:r>
          </w:p>
          <w:p w14:paraId="7047A0E9">
            <w:pPr>
              <w:adjustRightInd w:val="0"/>
              <w:snapToGrid w:val="0"/>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3-10</w:t>
            </w:r>
            <w:r>
              <w:rPr>
                <w:rFonts w:ascii="Times New Roman" w:hAnsi="Times New Roman"/>
                <w:b/>
                <w:color w:val="auto"/>
                <w:sz w:val="24"/>
                <w:szCs w:val="32"/>
              </w:rPr>
              <w:t xml:space="preserve">  评价区鸟类组成</w:t>
            </w:r>
          </w:p>
          <w:tbl>
            <w:tblPr>
              <w:tblStyle w:val="27"/>
              <w:tblW w:w="928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3440"/>
              <w:gridCol w:w="1755"/>
            </w:tblGrid>
            <w:tr w14:paraId="773D7C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06F50801">
                  <w:pPr>
                    <w:adjustRightInd w:val="0"/>
                    <w:snapToGrid w:val="0"/>
                    <w:jc w:val="center"/>
                    <w:rPr>
                      <w:rFonts w:ascii="Times New Roman" w:hAnsi="Times New Roman"/>
                      <w:b/>
                      <w:bCs/>
                      <w:color w:val="auto"/>
                      <w:szCs w:val="21"/>
                    </w:rPr>
                  </w:pPr>
                  <w:r>
                    <w:rPr>
                      <w:rFonts w:ascii="Times New Roman" w:hAnsi="Times New Roman"/>
                      <w:b/>
                      <w:bCs/>
                      <w:color w:val="auto"/>
                      <w:szCs w:val="21"/>
                    </w:rPr>
                    <w:t>目</w:t>
                  </w:r>
                </w:p>
              </w:tc>
              <w:tc>
                <w:tcPr>
                  <w:tcW w:w="3440" w:type="dxa"/>
                  <w:tcBorders>
                    <w:tl2br w:val="nil"/>
                    <w:tr2bl w:val="nil"/>
                  </w:tcBorders>
                  <w:vAlign w:val="center"/>
                </w:tcPr>
                <w:p w14:paraId="0140BD7F">
                  <w:pPr>
                    <w:adjustRightInd w:val="0"/>
                    <w:snapToGrid w:val="0"/>
                    <w:jc w:val="center"/>
                    <w:rPr>
                      <w:rFonts w:ascii="Times New Roman" w:hAnsi="Times New Roman"/>
                      <w:b/>
                      <w:bCs/>
                      <w:color w:val="auto"/>
                      <w:szCs w:val="21"/>
                    </w:rPr>
                  </w:pPr>
                  <w:r>
                    <w:rPr>
                      <w:rFonts w:ascii="Times New Roman" w:hAnsi="Times New Roman"/>
                      <w:b/>
                      <w:bCs/>
                      <w:color w:val="auto"/>
                      <w:szCs w:val="21"/>
                    </w:rPr>
                    <w:t>科</w:t>
                  </w:r>
                </w:p>
              </w:tc>
              <w:tc>
                <w:tcPr>
                  <w:tcW w:w="1755" w:type="dxa"/>
                  <w:tcBorders>
                    <w:tl2br w:val="nil"/>
                    <w:tr2bl w:val="nil"/>
                  </w:tcBorders>
                  <w:vAlign w:val="center"/>
                </w:tcPr>
                <w:p w14:paraId="2BB26E48">
                  <w:pPr>
                    <w:adjustRightInd w:val="0"/>
                    <w:snapToGrid w:val="0"/>
                    <w:jc w:val="center"/>
                    <w:rPr>
                      <w:rFonts w:ascii="Times New Roman" w:hAnsi="Times New Roman"/>
                      <w:b/>
                      <w:bCs/>
                      <w:color w:val="auto"/>
                      <w:szCs w:val="21"/>
                    </w:rPr>
                  </w:pPr>
                  <w:r>
                    <w:rPr>
                      <w:rFonts w:ascii="Times New Roman" w:hAnsi="Times New Roman"/>
                      <w:b/>
                      <w:bCs/>
                      <w:color w:val="auto"/>
                      <w:szCs w:val="21"/>
                    </w:rPr>
                    <w:t>种数</w:t>
                  </w:r>
                </w:p>
              </w:tc>
            </w:tr>
            <w:tr w14:paraId="00096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restart"/>
                  <w:tcBorders>
                    <w:tl2br w:val="nil"/>
                    <w:tr2bl w:val="nil"/>
                  </w:tcBorders>
                  <w:vAlign w:val="center"/>
                </w:tcPr>
                <w:p w14:paraId="0CCBDC8B">
                  <w:pPr>
                    <w:adjustRightInd w:val="0"/>
                    <w:snapToGrid w:val="0"/>
                    <w:jc w:val="center"/>
                    <w:rPr>
                      <w:rFonts w:ascii="Times New Roman" w:hAnsi="Times New Roman"/>
                      <w:color w:val="auto"/>
                      <w:szCs w:val="21"/>
                    </w:rPr>
                  </w:pPr>
                  <w:r>
                    <w:rPr>
                      <w:rFonts w:ascii="Times New Roman" w:hAnsi="Times New Roman"/>
                      <w:color w:val="auto"/>
                      <w:szCs w:val="21"/>
                    </w:rPr>
                    <w:t>隼形目 FALCONIFORMES</w:t>
                  </w:r>
                </w:p>
              </w:tc>
              <w:tc>
                <w:tcPr>
                  <w:tcW w:w="3440" w:type="dxa"/>
                  <w:tcBorders>
                    <w:tl2br w:val="nil"/>
                    <w:tr2bl w:val="nil"/>
                  </w:tcBorders>
                  <w:vAlign w:val="center"/>
                </w:tcPr>
                <w:p w14:paraId="03D88103">
                  <w:pPr>
                    <w:adjustRightInd w:val="0"/>
                    <w:snapToGrid w:val="0"/>
                    <w:jc w:val="center"/>
                    <w:rPr>
                      <w:rFonts w:ascii="Times New Roman" w:hAnsi="Times New Roman"/>
                      <w:color w:val="auto"/>
                      <w:szCs w:val="21"/>
                    </w:rPr>
                  </w:pPr>
                  <w:r>
                    <w:rPr>
                      <w:rFonts w:ascii="Times New Roman" w:hAnsi="Times New Roman"/>
                      <w:color w:val="auto"/>
                      <w:szCs w:val="21"/>
                    </w:rPr>
                    <w:t xml:space="preserve">鹰科 </w:t>
                  </w:r>
                  <w:r>
                    <w:rPr>
                      <w:rFonts w:ascii="Times New Roman" w:hAnsi="Times New Roman"/>
                      <w:i/>
                      <w:color w:val="auto"/>
                      <w:szCs w:val="21"/>
                    </w:rPr>
                    <w:t>Accipitridae</w:t>
                  </w:r>
                </w:p>
              </w:tc>
              <w:tc>
                <w:tcPr>
                  <w:tcW w:w="1755" w:type="dxa"/>
                  <w:tcBorders>
                    <w:tl2br w:val="nil"/>
                    <w:tr2bl w:val="nil"/>
                  </w:tcBorders>
                  <w:vAlign w:val="center"/>
                </w:tcPr>
                <w:p w14:paraId="23DA12A1">
                  <w:pPr>
                    <w:adjustRightInd w:val="0"/>
                    <w:snapToGrid w:val="0"/>
                    <w:jc w:val="center"/>
                    <w:rPr>
                      <w:rFonts w:ascii="Times New Roman" w:hAnsi="Times New Roman"/>
                      <w:color w:val="auto"/>
                      <w:szCs w:val="21"/>
                    </w:rPr>
                  </w:pPr>
                  <w:r>
                    <w:rPr>
                      <w:rFonts w:ascii="Times New Roman" w:hAnsi="Times New Roman"/>
                      <w:color w:val="auto"/>
                      <w:szCs w:val="21"/>
                    </w:rPr>
                    <w:t>2</w:t>
                  </w:r>
                </w:p>
              </w:tc>
            </w:tr>
            <w:tr w14:paraId="40B42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41B8AC0">
                  <w:pPr>
                    <w:adjustRightInd w:val="0"/>
                    <w:snapToGrid w:val="0"/>
                    <w:jc w:val="center"/>
                    <w:rPr>
                      <w:rFonts w:ascii="Times New Roman" w:hAnsi="Times New Roman"/>
                      <w:color w:val="auto"/>
                      <w:szCs w:val="21"/>
                    </w:rPr>
                  </w:pPr>
                </w:p>
              </w:tc>
              <w:tc>
                <w:tcPr>
                  <w:tcW w:w="3440" w:type="dxa"/>
                  <w:tcBorders>
                    <w:tl2br w:val="nil"/>
                    <w:tr2bl w:val="nil"/>
                  </w:tcBorders>
                  <w:vAlign w:val="bottom"/>
                </w:tcPr>
                <w:p w14:paraId="2FA68E31">
                  <w:pPr>
                    <w:adjustRightInd w:val="0"/>
                    <w:snapToGrid w:val="0"/>
                    <w:jc w:val="center"/>
                    <w:rPr>
                      <w:rFonts w:ascii="Times New Roman" w:hAnsi="Times New Roman"/>
                      <w:color w:val="auto"/>
                      <w:szCs w:val="21"/>
                    </w:rPr>
                  </w:pPr>
                  <w:r>
                    <w:rPr>
                      <w:rFonts w:ascii="Times New Roman" w:hAnsi="Times New Roman"/>
                      <w:color w:val="auto"/>
                      <w:szCs w:val="21"/>
                    </w:rPr>
                    <w:t xml:space="preserve">隼科 </w:t>
                  </w:r>
                  <w:r>
                    <w:rPr>
                      <w:rFonts w:ascii="Times New Roman" w:hAnsi="Times New Roman"/>
                      <w:i/>
                      <w:color w:val="auto"/>
                      <w:szCs w:val="21"/>
                    </w:rPr>
                    <w:t>Falconidae</w:t>
                  </w:r>
                </w:p>
              </w:tc>
              <w:tc>
                <w:tcPr>
                  <w:tcW w:w="1755" w:type="dxa"/>
                  <w:tcBorders>
                    <w:tl2br w:val="nil"/>
                    <w:tr2bl w:val="nil"/>
                  </w:tcBorders>
                  <w:vAlign w:val="bottom"/>
                </w:tcPr>
                <w:p w14:paraId="23A9B5E7">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F63A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5A433B0E">
                  <w:pPr>
                    <w:adjustRightInd w:val="0"/>
                    <w:snapToGrid w:val="0"/>
                    <w:jc w:val="center"/>
                    <w:rPr>
                      <w:rFonts w:ascii="Times New Roman" w:hAnsi="Times New Roman"/>
                      <w:color w:val="auto"/>
                      <w:szCs w:val="21"/>
                    </w:rPr>
                  </w:pPr>
                  <w:r>
                    <w:rPr>
                      <w:rFonts w:ascii="Times New Roman" w:hAnsi="Times New Roman"/>
                      <w:color w:val="auto"/>
                      <w:szCs w:val="21"/>
                    </w:rPr>
                    <w:t>鹳形目 CICONIIFORMES</w:t>
                  </w:r>
                </w:p>
              </w:tc>
              <w:tc>
                <w:tcPr>
                  <w:tcW w:w="3440" w:type="dxa"/>
                  <w:tcBorders>
                    <w:tl2br w:val="nil"/>
                    <w:tr2bl w:val="nil"/>
                  </w:tcBorders>
                  <w:vAlign w:val="center"/>
                </w:tcPr>
                <w:p w14:paraId="603D7B53">
                  <w:pPr>
                    <w:adjustRightInd w:val="0"/>
                    <w:snapToGrid w:val="0"/>
                    <w:jc w:val="center"/>
                    <w:rPr>
                      <w:rFonts w:ascii="Times New Roman" w:hAnsi="Times New Roman"/>
                      <w:color w:val="auto"/>
                      <w:szCs w:val="21"/>
                    </w:rPr>
                  </w:pPr>
                  <w:r>
                    <w:rPr>
                      <w:rFonts w:ascii="Times New Roman" w:hAnsi="Times New Roman"/>
                      <w:color w:val="auto"/>
                      <w:szCs w:val="21"/>
                    </w:rPr>
                    <w:t>鹭科</w:t>
                  </w:r>
                  <w:r>
                    <w:rPr>
                      <w:rFonts w:ascii="Times New Roman" w:hAnsi="Times New Roman"/>
                      <w:i/>
                      <w:color w:val="auto"/>
                      <w:szCs w:val="21"/>
                    </w:rPr>
                    <w:t xml:space="preserve"> Ardeidae</w:t>
                  </w:r>
                </w:p>
              </w:tc>
              <w:tc>
                <w:tcPr>
                  <w:tcW w:w="1755" w:type="dxa"/>
                  <w:tcBorders>
                    <w:tl2br w:val="nil"/>
                    <w:tr2bl w:val="nil"/>
                  </w:tcBorders>
                  <w:vAlign w:val="center"/>
                </w:tcPr>
                <w:p w14:paraId="31B106EE">
                  <w:pPr>
                    <w:adjustRightInd w:val="0"/>
                    <w:snapToGrid w:val="0"/>
                    <w:jc w:val="center"/>
                    <w:rPr>
                      <w:rFonts w:ascii="Times New Roman" w:hAnsi="Times New Roman"/>
                      <w:color w:val="auto"/>
                      <w:szCs w:val="21"/>
                    </w:rPr>
                  </w:pPr>
                  <w:r>
                    <w:rPr>
                      <w:rFonts w:ascii="Times New Roman" w:hAnsi="Times New Roman"/>
                      <w:color w:val="auto"/>
                      <w:szCs w:val="21"/>
                    </w:rPr>
                    <w:t>2</w:t>
                  </w:r>
                </w:p>
              </w:tc>
            </w:tr>
            <w:tr w14:paraId="184406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5C4681F7">
                  <w:pPr>
                    <w:adjustRightInd w:val="0"/>
                    <w:snapToGrid w:val="0"/>
                    <w:jc w:val="center"/>
                    <w:rPr>
                      <w:rFonts w:ascii="Times New Roman" w:hAnsi="Times New Roman"/>
                      <w:color w:val="auto"/>
                      <w:szCs w:val="21"/>
                    </w:rPr>
                  </w:pPr>
                  <w:r>
                    <w:rPr>
                      <w:rFonts w:ascii="Times New Roman" w:hAnsi="Times New Roman"/>
                      <w:color w:val="auto"/>
                      <w:szCs w:val="21"/>
                    </w:rPr>
                    <w:t>鸻形目 CHARDRIFORME</w:t>
                  </w:r>
                </w:p>
              </w:tc>
              <w:tc>
                <w:tcPr>
                  <w:tcW w:w="3440" w:type="dxa"/>
                  <w:tcBorders>
                    <w:tl2br w:val="nil"/>
                    <w:tr2bl w:val="nil"/>
                  </w:tcBorders>
                  <w:vAlign w:val="center"/>
                </w:tcPr>
                <w:p w14:paraId="17F4CE5A">
                  <w:pPr>
                    <w:adjustRightInd w:val="0"/>
                    <w:snapToGrid w:val="0"/>
                    <w:jc w:val="center"/>
                    <w:rPr>
                      <w:rFonts w:ascii="Times New Roman" w:hAnsi="Times New Roman"/>
                      <w:color w:val="auto"/>
                      <w:szCs w:val="21"/>
                    </w:rPr>
                  </w:pPr>
                  <w:r>
                    <w:rPr>
                      <w:rFonts w:ascii="Times New Roman" w:hAnsi="Times New Roman"/>
                      <w:color w:val="auto"/>
                      <w:szCs w:val="21"/>
                    </w:rPr>
                    <w:t xml:space="preserve">鹬科 </w:t>
                  </w:r>
                  <w:r>
                    <w:rPr>
                      <w:rFonts w:ascii="Times New Roman" w:hAnsi="Times New Roman"/>
                      <w:i/>
                      <w:color w:val="auto"/>
                      <w:szCs w:val="21"/>
                    </w:rPr>
                    <w:t>Scolopacidae</w:t>
                  </w:r>
                </w:p>
              </w:tc>
              <w:tc>
                <w:tcPr>
                  <w:tcW w:w="1755" w:type="dxa"/>
                  <w:tcBorders>
                    <w:tl2br w:val="nil"/>
                    <w:tr2bl w:val="nil"/>
                  </w:tcBorders>
                  <w:vAlign w:val="center"/>
                </w:tcPr>
                <w:p w14:paraId="259D2292">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0D900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04BFA5FC">
                  <w:pPr>
                    <w:adjustRightInd w:val="0"/>
                    <w:snapToGrid w:val="0"/>
                    <w:jc w:val="center"/>
                    <w:rPr>
                      <w:rFonts w:ascii="Times New Roman" w:hAnsi="Times New Roman"/>
                      <w:color w:val="auto"/>
                      <w:szCs w:val="21"/>
                    </w:rPr>
                  </w:pPr>
                  <w:r>
                    <w:rPr>
                      <w:rFonts w:ascii="Times New Roman" w:hAnsi="Times New Roman"/>
                      <w:color w:val="auto"/>
                      <w:szCs w:val="21"/>
                    </w:rPr>
                    <w:t>鸡形目 GALLIFORMES</w:t>
                  </w:r>
                </w:p>
              </w:tc>
              <w:tc>
                <w:tcPr>
                  <w:tcW w:w="3440" w:type="dxa"/>
                  <w:tcBorders>
                    <w:tl2br w:val="nil"/>
                    <w:tr2bl w:val="nil"/>
                  </w:tcBorders>
                  <w:vAlign w:val="center"/>
                </w:tcPr>
                <w:p w14:paraId="474F774F">
                  <w:pPr>
                    <w:adjustRightInd w:val="0"/>
                    <w:snapToGrid w:val="0"/>
                    <w:jc w:val="center"/>
                    <w:rPr>
                      <w:rFonts w:ascii="Times New Roman" w:hAnsi="Times New Roman"/>
                      <w:color w:val="auto"/>
                      <w:szCs w:val="21"/>
                    </w:rPr>
                  </w:pPr>
                  <w:r>
                    <w:rPr>
                      <w:rFonts w:ascii="Times New Roman" w:hAnsi="Times New Roman"/>
                      <w:color w:val="auto"/>
                      <w:szCs w:val="21"/>
                    </w:rPr>
                    <w:t xml:space="preserve">雉科 </w:t>
                  </w:r>
                  <w:r>
                    <w:rPr>
                      <w:rFonts w:ascii="Times New Roman" w:hAnsi="Times New Roman"/>
                      <w:i/>
                      <w:color w:val="auto"/>
                      <w:szCs w:val="21"/>
                    </w:rPr>
                    <w:t>Pheasianidae</w:t>
                  </w:r>
                </w:p>
              </w:tc>
              <w:tc>
                <w:tcPr>
                  <w:tcW w:w="1755" w:type="dxa"/>
                  <w:tcBorders>
                    <w:tl2br w:val="nil"/>
                    <w:tr2bl w:val="nil"/>
                  </w:tcBorders>
                  <w:vAlign w:val="center"/>
                </w:tcPr>
                <w:p w14:paraId="4EA0E578">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0EC03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69C0DD14">
                  <w:pPr>
                    <w:adjustRightInd w:val="0"/>
                    <w:snapToGrid w:val="0"/>
                    <w:jc w:val="center"/>
                    <w:rPr>
                      <w:rFonts w:ascii="Times New Roman" w:hAnsi="Times New Roman"/>
                      <w:color w:val="auto"/>
                      <w:szCs w:val="21"/>
                    </w:rPr>
                  </w:pPr>
                  <w:r>
                    <w:rPr>
                      <w:rFonts w:ascii="Times New Roman" w:hAnsi="Times New Roman"/>
                      <w:color w:val="auto"/>
                      <w:szCs w:val="21"/>
                    </w:rPr>
                    <w:t>鸽形目 COLUMBIFORMES</w:t>
                  </w:r>
                </w:p>
              </w:tc>
              <w:tc>
                <w:tcPr>
                  <w:tcW w:w="3440" w:type="dxa"/>
                  <w:tcBorders>
                    <w:tl2br w:val="nil"/>
                    <w:tr2bl w:val="nil"/>
                  </w:tcBorders>
                  <w:vAlign w:val="center"/>
                </w:tcPr>
                <w:p w14:paraId="26EE44E0">
                  <w:pPr>
                    <w:adjustRightInd w:val="0"/>
                    <w:snapToGrid w:val="0"/>
                    <w:jc w:val="center"/>
                    <w:rPr>
                      <w:rFonts w:ascii="Times New Roman" w:hAnsi="Times New Roman"/>
                      <w:color w:val="auto"/>
                      <w:szCs w:val="21"/>
                    </w:rPr>
                  </w:pPr>
                  <w:r>
                    <w:rPr>
                      <w:rFonts w:ascii="Times New Roman" w:hAnsi="Times New Roman"/>
                      <w:color w:val="auto"/>
                      <w:szCs w:val="21"/>
                    </w:rPr>
                    <w:t>鸠鸽科</w:t>
                  </w:r>
                  <w:r>
                    <w:rPr>
                      <w:rFonts w:ascii="Times New Roman" w:hAnsi="Times New Roman"/>
                      <w:i/>
                      <w:color w:val="auto"/>
                      <w:szCs w:val="21"/>
                    </w:rPr>
                    <w:t xml:space="preserve"> Columbidae</w:t>
                  </w:r>
                </w:p>
              </w:tc>
              <w:tc>
                <w:tcPr>
                  <w:tcW w:w="1755" w:type="dxa"/>
                  <w:tcBorders>
                    <w:tl2br w:val="nil"/>
                    <w:tr2bl w:val="nil"/>
                  </w:tcBorders>
                  <w:vAlign w:val="center"/>
                </w:tcPr>
                <w:p w14:paraId="1DD4FB7A">
                  <w:pPr>
                    <w:adjustRightInd w:val="0"/>
                    <w:snapToGrid w:val="0"/>
                    <w:jc w:val="center"/>
                    <w:rPr>
                      <w:rFonts w:ascii="Times New Roman" w:hAnsi="Times New Roman"/>
                      <w:color w:val="auto"/>
                      <w:szCs w:val="21"/>
                    </w:rPr>
                  </w:pPr>
                  <w:r>
                    <w:rPr>
                      <w:rFonts w:ascii="Times New Roman" w:hAnsi="Times New Roman"/>
                      <w:color w:val="auto"/>
                      <w:szCs w:val="21"/>
                    </w:rPr>
                    <w:t>2</w:t>
                  </w:r>
                </w:p>
              </w:tc>
            </w:tr>
            <w:tr w14:paraId="46707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7E0B5C35">
                  <w:pPr>
                    <w:adjustRightInd w:val="0"/>
                    <w:snapToGrid w:val="0"/>
                    <w:jc w:val="center"/>
                    <w:rPr>
                      <w:rFonts w:ascii="Times New Roman" w:hAnsi="Times New Roman"/>
                      <w:color w:val="auto"/>
                      <w:szCs w:val="21"/>
                    </w:rPr>
                  </w:pPr>
                  <w:r>
                    <w:rPr>
                      <w:rFonts w:ascii="Times New Roman" w:hAnsi="Times New Roman"/>
                      <w:color w:val="auto"/>
                      <w:szCs w:val="21"/>
                    </w:rPr>
                    <w:t>鹃形目 CUCULIFORMES</w:t>
                  </w:r>
                </w:p>
              </w:tc>
              <w:tc>
                <w:tcPr>
                  <w:tcW w:w="3440" w:type="dxa"/>
                  <w:tcBorders>
                    <w:tl2br w:val="nil"/>
                    <w:tr2bl w:val="nil"/>
                  </w:tcBorders>
                  <w:vAlign w:val="center"/>
                </w:tcPr>
                <w:p w14:paraId="14DD5EF5">
                  <w:pPr>
                    <w:adjustRightInd w:val="0"/>
                    <w:snapToGrid w:val="0"/>
                    <w:jc w:val="center"/>
                    <w:rPr>
                      <w:rFonts w:ascii="Times New Roman" w:hAnsi="Times New Roman"/>
                      <w:color w:val="auto"/>
                      <w:szCs w:val="21"/>
                    </w:rPr>
                  </w:pPr>
                  <w:r>
                    <w:rPr>
                      <w:rFonts w:ascii="Times New Roman" w:hAnsi="Times New Roman"/>
                      <w:color w:val="auto"/>
                      <w:szCs w:val="21"/>
                    </w:rPr>
                    <w:t xml:space="preserve">杜鹃科 </w:t>
                  </w:r>
                  <w:r>
                    <w:rPr>
                      <w:rFonts w:ascii="Times New Roman" w:hAnsi="Times New Roman"/>
                      <w:i/>
                      <w:color w:val="auto"/>
                      <w:szCs w:val="21"/>
                    </w:rPr>
                    <w:t>Cuculidae</w:t>
                  </w:r>
                </w:p>
              </w:tc>
              <w:tc>
                <w:tcPr>
                  <w:tcW w:w="1755" w:type="dxa"/>
                  <w:tcBorders>
                    <w:tl2br w:val="nil"/>
                    <w:tr2bl w:val="nil"/>
                  </w:tcBorders>
                  <w:vAlign w:val="center"/>
                </w:tcPr>
                <w:p w14:paraId="0B90A0AB">
                  <w:pPr>
                    <w:adjustRightInd w:val="0"/>
                    <w:snapToGrid w:val="0"/>
                    <w:jc w:val="center"/>
                    <w:rPr>
                      <w:rFonts w:ascii="Times New Roman" w:hAnsi="Times New Roman"/>
                      <w:color w:val="auto"/>
                      <w:szCs w:val="21"/>
                    </w:rPr>
                  </w:pPr>
                  <w:r>
                    <w:rPr>
                      <w:rFonts w:ascii="Times New Roman" w:hAnsi="Times New Roman"/>
                      <w:color w:val="auto"/>
                      <w:szCs w:val="21"/>
                    </w:rPr>
                    <w:t>2</w:t>
                  </w:r>
                </w:p>
              </w:tc>
            </w:tr>
            <w:tr w14:paraId="412E7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632F24D4">
                  <w:pPr>
                    <w:adjustRightInd w:val="0"/>
                    <w:snapToGrid w:val="0"/>
                    <w:jc w:val="center"/>
                    <w:rPr>
                      <w:rFonts w:ascii="Times New Roman" w:hAnsi="Times New Roman"/>
                      <w:color w:val="auto"/>
                      <w:szCs w:val="21"/>
                    </w:rPr>
                  </w:pPr>
                  <w:r>
                    <w:rPr>
                      <w:rFonts w:ascii="Times New Roman" w:hAnsi="Times New Roman"/>
                      <w:color w:val="auto"/>
                      <w:szCs w:val="21"/>
                    </w:rPr>
                    <w:t>夜鹰目 CAPRIMULGIFORMES</w:t>
                  </w:r>
                </w:p>
              </w:tc>
              <w:tc>
                <w:tcPr>
                  <w:tcW w:w="3440" w:type="dxa"/>
                  <w:tcBorders>
                    <w:tl2br w:val="nil"/>
                    <w:tr2bl w:val="nil"/>
                  </w:tcBorders>
                  <w:vAlign w:val="center"/>
                </w:tcPr>
                <w:p w14:paraId="22A4D1CD">
                  <w:pPr>
                    <w:adjustRightInd w:val="0"/>
                    <w:snapToGrid w:val="0"/>
                    <w:jc w:val="center"/>
                    <w:rPr>
                      <w:rFonts w:ascii="Times New Roman" w:hAnsi="Times New Roman"/>
                      <w:color w:val="auto"/>
                      <w:szCs w:val="21"/>
                    </w:rPr>
                  </w:pPr>
                  <w:r>
                    <w:rPr>
                      <w:rFonts w:ascii="Times New Roman" w:hAnsi="Times New Roman"/>
                      <w:color w:val="auto"/>
                      <w:szCs w:val="21"/>
                    </w:rPr>
                    <w:t xml:space="preserve">夜鹰科 </w:t>
                  </w:r>
                  <w:r>
                    <w:rPr>
                      <w:rFonts w:ascii="Times New Roman" w:hAnsi="Times New Roman"/>
                      <w:i/>
                      <w:color w:val="auto"/>
                      <w:szCs w:val="21"/>
                    </w:rPr>
                    <w:t>Caprimulgidae</w:t>
                  </w:r>
                </w:p>
              </w:tc>
              <w:tc>
                <w:tcPr>
                  <w:tcW w:w="1755" w:type="dxa"/>
                  <w:tcBorders>
                    <w:tl2br w:val="nil"/>
                    <w:tr2bl w:val="nil"/>
                  </w:tcBorders>
                  <w:vAlign w:val="center"/>
                </w:tcPr>
                <w:p w14:paraId="281177D2">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5F7B6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2FBE359F">
                  <w:pPr>
                    <w:adjustRightInd w:val="0"/>
                    <w:snapToGrid w:val="0"/>
                    <w:jc w:val="center"/>
                    <w:rPr>
                      <w:rFonts w:ascii="Times New Roman" w:hAnsi="Times New Roman"/>
                      <w:color w:val="auto"/>
                      <w:szCs w:val="21"/>
                    </w:rPr>
                  </w:pPr>
                  <w:r>
                    <w:rPr>
                      <w:rFonts w:ascii="Times New Roman" w:hAnsi="Times New Roman"/>
                      <w:color w:val="auto"/>
                      <w:szCs w:val="21"/>
                    </w:rPr>
                    <w:t>雨燕目 APODIFORMES</w:t>
                  </w:r>
                </w:p>
              </w:tc>
              <w:tc>
                <w:tcPr>
                  <w:tcW w:w="3440" w:type="dxa"/>
                  <w:tcBorders>
                    <w:tl2br w:val="nil"/>
                    <w:tr2bl w:val="nil"/>
                  </w:tcBorders>
                  <w:vAlign w:val="center"/>
                </w:tcPr>
                <w:p w14:paraId="2F1BE3E3">
                  <w:pPr>
                    <w:adjustRightInd w:val="0"/>
                    <w:snapToGrid w:val="0"/>
                    <w:jc w:val="center"/>
                    <w:rPr>
                      <w:rFonts w:ascii="Times New Roman" w:hAnsi="Times New Roman"/>
                      <w:color w:val="auto"/>
                      <w:szCs w:val="21"/>
                    </w:rPr>
                  </w:pPr>
                  <w:r>
                    <w:rPr>
                      <w:rFonts w:ascii="Times New Roman" w:hAnsi="Times New Roman"/>
                      <w:color w:val="auto"/>
                      <w:szCs w:val="21"/>
                    </w:rPr>
                    <w:t xml:space="preserve">雨燕科 </w:t>
                  </w:r>
                  <w:r>
                    <w:rPr>
                      <w:rFonts w:ascii="Times New Roman" w:hAnsi="Times New Roman"/>
                      <w:i/>
                      <w:color w:val="auto"/>
                      <w:szCs w:val="21"/>
                    </w:rPr>
                    <w:t>Apodidae</w:t>
                  </w:r>
                </w:p>
              </w:tc>
              <w:tc>
                <w:tcPr>
                  <w:tcW w:w="1755" w:type="dxa"/>
                  <w:tcBorders>
                    <w:tl2br w:val="nil"/>
                    <w:tr2bl w:val="nil"/>
                  </w:tcBorders>
                  <w:vAlign w:val="center"/>
                </w:tcPr>
                <w:p w14:paraId="5C024E1C">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4D51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1D6E679D">
                  <w:pPr>
                    <w:adjustRightInd w:val="0"/>
                    <w:snapToGrid w:val="0"/>
                    <w:jc w:val="center"/>
                    <w:rPr>
                      <w:rFonts w:ascii="Times New Roman" w:hAnsi="Times New Roman"/>
                      <w:color w:val="auto"/>
                      <w:szCs w:val="21"/>
                    </w:rPr>
                  </w:pPr>
                  <w:r>
                    <w:rPr>
                      <w:rFonts w:ascii="Times New Roman" w:hAnsi="Times New Roman"/>
                      <w:color w:val="auto"/>
                      <w:szCs w:val="21"/>
                    </w:rPr>
                    <w:t>佛法僧目 CORACIIFORMES</w:t>
                  </w:r>
                </w:p>
              </w:tc>
              <w:tc>
                <w:tcPr>
                  <w:tcW w:w="3440" w:type="dxa"/>
                  <w:tcBorders>
                    <w:tl2br w:val="nil"/>
                    <w:tr2bl w:val="nil"/>
                  </w:tcBorders>
                  <w:vAlign w:val="center"/>
                </w:tcPr>
                <w:p w14:paraId="2F89C2A9">
                  <w:pPr>
                    <w:adjustRightInd w:val="0"/>
                    <w:snapToGrid w:val="0"/>
                    <w:jc w:val="center"/>
                    <w:rPr>
                      <w:rFonts w:ascii="Times New Roman" w:hAnsi="Times New Roman"/>
                      <w:color w:val="auto"/>
                      <w:szCs w:val="21"/>
                    </w:rPr>
                  </w:pPr>
                  <w:r>
                    <w:rPr>
                      <w:rFonts w:ascii="Times New Roman" w:hAnsi="Times New Roman"/>
                      <w:color w:val="auto"/>
                      <w:szCs w:val="21"/>
                    </w:rPr>
                    <w:t xml:space="preserve">戴胜科 </w:t>
                  </w:r>
                  <w:r>
                    <w:rPr>
                      <w:rFonts w:ascii="Times New Roman" w:hAnsi="Times New Roman"/>
                      <w:i/>
                      <w:color w:val="auto"/>
                      <w:szCs w:val="21"/>
                    </w:rPr>
                    <w:t>Upupidae</w:t>
                  </w:r>
                </w:p>
              </w:tc>
              <w:tc>
                <w:tcPr>
                  <w:tcW w:w="1755" w:type="dxa"/>
                  <w:tcBorders>
                    <w:tl2br w:val="nil"/>
                    <w:tr2bl w:val="nil"/>
                  </w:tcBorders>
                  <w:vAlign w:val="center"/>
                </w:tcPr>
                <w:p w14:paraId="52FD91F4">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0E559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restart"/>
                  <w:tcBorders>
                    <w:tl2br w:val="nil"/>
                    <w:tr2bl w:val="nil"/>
                  </w:tcBorders>
                  <w:vAlign w:val="center"/>
                </w:tcPr>
                <w:p w14:paraId="5F1AAE09">
                  <w:pPr>
                    <w:adjustRightInd w:val="0"/>
                    <w:snapToGrid w:val="0"/>
                    <w:jc w:val="center"/>
                    <w:rPr>
                      <w:rFonts w:ascii="Times New Roman" w:hAnsi="Times New Roman"/>
                      <w:color w:val="auto"/>
                      <w:szCs w:val="21"/>
                    </w:rPr>
                  </w:pPr>
                  <w:r>
                    <w:rPr>
                      <w:rFonts w:ascii="Times New Roman" w:hAnsi="Times New Roman"/>
                      <w:color w:val="auto"/>
                      <w:szCs w:val="21"/>
                    </w:rPr>
                    <w:t>雀形目 PASSERIFORMES</w:t>
                  </w:r>
                </w:p>
              </w:tc>
              <w:tc>
                <w:tcPr>
                  <w:tcW w:w="3440" w:type="dxa"/>
                  <w:tcBorders>
                    <w:tl2br w:val="nil"/>
                    <w:tr2bl w:val="nil"/>
                  </w:tcBorders>
                  <w:vAlign w:val="center"/>
                </w:tcPr>
                <w:p w14:paraId="1D936630">
                  <w:pPr>
                    <w:adjustRightInd w:val="0"/>
                    <w:snapToGrid w:val="0"/>
                    <w:jc w:val="center"/>
                    <w:rPr>
                      <w:rFonts w:ascii="Times New Roman" w:hAnsi="Times New Roman"/>
                      <w:color w:val="auto"/>
                      <w:szCs w:val="21"/>
                    </w:rPr>
                  </w:pPr>
                  <w:r>
                    <w:rPr>
                      <w:rFonts w:ascii="Times New Roman" w:hAnsi="Times New Roman"/>
                      <w:color w:val="auto"/>
                      <w:szCs w:val="21"/>
                    </w:rPr>
                    <w:t xml:space="preserve">燕科 </w:t>
                  </w:r>
                  <w:r>
                    <w:rPr>
                      <w:rFonts w:ascii="Times New Roman" w:hAnsi="Times New Roman"/>
                      <w:i/>
                      <w:color w:val="auto"/>
                      <w:szCs w:val="21"/>
                    </w:rPr>
                    <w:t>Hirundinidae</w:t>
                  </w:r>
                </w:p>
              </w:tc>
              <w:tc>
                <w:tcPr>
                  <w:tcW w:w="1755" w:type="dxa"/>
                  <w:tcBorders>
                    <w:tl2br w:val="nil"/>
                    <w:tr2bl w:val="nil"/>
                  </w:tcBorders>
                  <w:vAlign w:val="center"/>
                </w:tcPr>
                <w:p w14:paraId="3AC40DE3">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0001C5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59FF13E">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63F6932A">
                  <w:pPr>
                    <w:adjustRightInd w:val="0"/>
                    <w:snapToGrid w:val="0"/>
                    <w:jc w:val="center"/>
                    <w:rPr>
                      <w:rFonts w:ascii="Times New Roman" w:hAnsi="Times New Roman"/>
                      <w:color w:val="auto"/>
                      <w:szCs w:val="21"/>
                    </w:rPr>
                  </w:pPr>
                  <w:r>
                    <w:rPr>
                      <w:rFonts w:ascii="Times New Roman" w:hAnsi="Times New Roman"/>
                      <w:color w:val="auto"/>
                      <w:szCs w:val="21"/>
                    </w:rPr>
                    <w:t xml:space="preserve">鹡鸰科 </w:t>
                  </w:r>
                  <w:r>
                    <w:rPr>
                      <w:rFonts w:ascii="Times New Roman" w:hAnsi="Times New Roman"/>
                      <w:i/>
                      <w:color w:val="auto"/>
                      <w:szCs w:val="21"/>
                    </w:rPr>
                    <w:t>Motacillidae</w:t>
                  </w:r>
                </w:p>
              </w:tc>
              <w:tc>
                <w:tcPr>
                  <w:tcW w:w="1755" w:type="dxa"/>
                  <w:tcBorders>
                    <w:tl2br w:val="nil"/>
                    <w:tr2bl w:val="nil"/>
                  </w:tcBorders>
                  <w:vAlign w:val="center"/>
                </w:tcPr>
                <w:p w14:paraId="0578A294">
                  <w:pPr>
                    <w:adjustRightInd w:val="0"/>
                    <w:snapToGrid w:val="0"/>
                    <w:jc w:val="center"/>
                    <w:rPr>
                      <w:rFonts w:ascii="Times New Roman" w:hAnsi="Times New Roman"/>
                      <w:color w:val="auto"/>
                      <w:szCs w:val="21"/>
                    </w:rPr>
                  </w:pPr>
                  <w:r>
                    <w:rPr>
                      <w:rFonts w:ascii="Times New Roman" w:hAnsi="Times New Roman"/>
                      <w:color w:val="auto"/>
                      <w:szCs w:val="21"/>
                    </w:rPr>
                    <w:t>3</w:t>
                  </w:r>
                </w:p>
              </w:tc>
            </w:tr>
            <w:tr w14:paraId="60C03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5F1418B3">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21047CEC">
                  <w:pPr>
                    <w:adjustRightInd w:val="0"/>
                    <w:snapToGrid w:val="0"/>
                    <w:jc w:val="center"/>
                    <w:rPr>
                      <w:rFonts w:ascii="Times New Roman" w:hAnsi="Times New Roman"/>
                      <w:color w:val="auto"/>
                      <w:szCs w:val="21"/>
                    </w:rPr>
                  </w:pPr>
                  <w:r>
                    <w:rPr>
                      <w:rFonts w:ascii="Times New Roman" w:hAnsi="Times New Roman"/>
                      <w:color w:val="auto"/>
                      <w:szCs w:val="21"/>
                    </w:rPr>
                    <w:t xml:space="preserve">山椒鸟科 </w:t>
                  </w:r>
                  <w:r>
                    <w:rPr>
                      <w:rFonts w:ascii="Times New Roman" w:hAnsi="Times New Roman"/>
                      <w:i/>
                      <w:color w:val="auto"/>
                      <w:szCs w:val="21"/>
                    </w:rPr>
                    <w:t>Campephagidae</w:t>
                  </w:r>
                </w:p>
              </w:tc>
              <w:tc>
                <w:tcPr>
                  <w:tcW w:w="1755" w:type="dxa"/>
                  <w:tcBorders>
                    <w:tl2br w:val="nil"/>
                    <w:tr2bl w:val="nil"/>
                  </w:tcBorders>
                  <w:vAlign w:val="center"/>
                </w:tcPr>
                <w:p w14:paraId="44392EAB">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D768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89DBACC">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6613FCE6">
                  <w:pPr>
                    <w:adjustRightInd w:val="0"/>
                    <w:snapToGrid w:val="0"/>
                    <w:jc w:val="center"/>
                    <w:rPr>
                      <w:rFonts w:ascii="Times New Roman" w:hAnsi="Times New Roman"/>
                      <w:color w:val="auto"/>
                      <w:szCs w:val="21"/>
                    </w:rPr>
                  </w:pPr>
                  <w:r>
                    <w:rPr>
                      <w:rFonts w:ascii="Times New Roman" w:hAnsi="Times New Roman"/>
                      <w:color w:val="auto"/>
                      <w:szCs w:val="21"/>
                    </w:rPr>
                    <w:t xml:space="preserve">鹎科 </w:t>
                  </w:r>
                  <w:r>
                    <w:rPr>
                      <w:rFonts w:ascii="Times New Roman" w:hAnsi="Times New Roman"/>
                      <w:i/>
                      <w:color w:val="auto"/>
                      <w:szCs w:val="21"/>
                    </w:rPr>
                    <w:t>Pycnonotidae</w:t>
                  </w:r>
                </w:p>
              </w:tc>
              <w:tc>
                <w:tcPr>
                  <w:tcW w:w="1755" w:type="dxa"/>
                  <w:tcBorders>
                    <w:tl2br w:val="nil"/>
                    <w:tr2bl w:val="nil"/>
                  </w:tcBorders>
                  <w:vAlign w:val="center"/>
                </w:tcPr>
                <w:p w14:paraId="27D9E6C3">
                  <w:pPr>
                    <w:adjustRightInd w:val="0"/>
                    <w:snapToGrid w:val="0"/>
                    <w:jc w:val="center"/>
                    <w:rPr>
                      <w:rFonts w:ascii="Times New Roman" w:hAnsi="Times New Roman"/>
                      <w:color w:val="auto"/>
                      <w:szCs w:val="21"/>
                    </w:rPr>
                  </w:pPr>
                  <w:r>
                    <w:rPr>
                      <w:rFonts w:ascii="Times New Roman" w:hAnsi="Times New Roman"/>
                      <w:color w:val="auto"/>
                      <w:szCs w:val="21"/>
                    </w:rPr>
                    <w:t>3</w:t>
                  </w:r>
                </w:p>
              </w:tc>
            </w:tr>
            <w:tr w14:paraId="16C87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7813A681">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24E7A012">
                  <w:pPr>
                    <w:adjustRightInd w:val="0"/>
                    <w:snapToGrid w:val="0"/>
                    <w:jc w:val="center"/>
                    <w:rPr>
                      <w:rFonts w:ascii="Times New Roman" w:hAnsi="Times New Roman"/>
                      <w:color w:val="auto"/>
                      <w:szCs w:val="21"/>
                    </w:rPr>
                  </w:pPr>
                  <w:r>
                    <w:rPr>
                      <w:rFonts w:ascii="Times New Roman" w:hAnsi="Times New Roman"/>
                      <w:color w:val="auto"/>
                      <w:szCs w:val="21"/>
                    </w:rPr>
                    <w:t>伯劳科</w:t>
                  </w:r>
                  <w:r>
                    <w:rPr>
                      <w:rFonts w:ascii="Times New Roman" w:hAnsi="Times New Roman"/>
                      <w:i/>
                      <w:color w:val="auto"/>
                      <w:szCs w:val="21"/>
                    </w:rPr>
                    <w:t xml:space="preserve"> Laniidae</w:t>
                  </w:r>
                </w:p>
              </w:tc>
              <w:tc>
                <w:tcPr>
                  <w:tcW w:w="1755" w:type="dxa"/>
                  <w:tcBorders>
                    <w:tl2br w:val="nil"/>
                    <w:tr2bl w:val="nil"/>
                  </w:tcBorders>
                  <w:vAlign w:val="center"/>
                </w:tcPr>
                <w:p w14:paraId="64F49A18">
                  <w:pPr>
                    <w:adjustRightInd w:val="0"/>
                    <w:snapToGrid w:val="0"/>
                    <w:jc w:val="center"/>
                    <w:rPr>
                      <w:rFonts w:ascii="Times New Roman" w:hAnsi="Times New Roman"/>
                      <w:color w:val="auto"/>
                      <w:szCs w:val="21"/>
                    </w:rPr>
                  </w:pPr>
                  <w:r>
                    <w:rPr>
                      <w:rFonts w:ascii="Times New Roman" w:hAnsi="Times New Roman"/>
                      <w:color w:val="auto"/>
                      <w:szCs w:val="21"/>
                    </w:rPr>
                    <w:t>2</w:t>
                  </w:r>
                </w:p>
              </w:tc>
            </w:tr>
            <w:tr w14:paraId="4BED0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237594B7">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70D6F004">
                  <w:pPr>
                    <w:adjustRightInd w:val="0"/>
                    <w:snapToGrid w:val="0"/>
                    <w:jc w:val="center"/>
                    <w:rPr>
                      <w:rFonts w:ascii="Times New Roman" w:hAnsi="Times New Roman"/>
                      <w:color w:val="auto"/>
                      <w:szCs w:val="21"/>
                    </w:rPr>
                  </w:pPr>
                  <w:r>
                    <w:rPr>
                      <w:rFonts w:ascii="Times New Roman" w:hAnsi="Times New Roman"/>
                      <w:color w:val="auto"/>
                      <w:szCs w:val="21"/>
                    </w:rPr>
                    <w:t xml:space="preserve">卷尾科 </w:t>
                  </w:r>
                  <w:r>
                    <w:rPr>
                      <w:rFonts w:ascii="Times New Roman" w:hAnsi="Times New Roman"/>
                      <w:i/>
                      <w:color w:val="auto"/>
                      <w:szCs w:val="21"/>
                    </w:rPr>
                    <w:t>Dicruridae</w:t>
                  </w:r>
                </w:p>
              </w:tc>
              <w:tc>
                <w:tcPr>
                  <w:tcW w:w="1755" w:type="dxa"/>
                  <w:tcBorders>
                    <w:tl2br w:val="nil"/>
                    <w:tr2bl w:val="nil"/>
                  </w:tcBorders>
                  <w:vAlign w:val="center"/>
                </w:tcPr>
                <w:p w14:paraId="00C2CADC">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4B125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5E6767E7">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4009E47B">
                  <w:pPr>
                    <w:adjustRightInd w:val="0"/>
                    <w:snapToGrid w:val="0"/>
                    <w:jc w:val="center"/>
                    <w:rPr>
                      <w:rFonts w:ascii="Times New Roman" w:hAnsi="Times New Roman"/>
                      <w:color w:val="auto"/>
                      <w:szCs w:val="21"/>
                    </w:rPr>
                  </w:pPr>
                  <w:r>
                    <w:rPr>
                      <w:rFonts w:ascii="Times New Roman" w:hAnsi="Times New Roman"/>
                      <w:color w:val="auto"/>
                      <w:szCs w:val="21"/>
                    </w:rPr>
                    <w:t xml:space="preserve">鸦科 </w:t>
                  </w:r>
                  <w:r>
                    <w:rPr>
                      <w:rFonts w:ascii="Times New Roman" w:hAnsi="Times New Roman"/>
                      <w:i/>
                      <w:color w:val="auto"/>
                      <w:szCs w:val="21"/>
                    </w:rPr>
                    <w:t>Corvidae</w:t>
                  </w:r>
                </w:p>
              </w:tc>
              <w:tc>
                <w:tcPr>
                  <w:tcW w:w="1755" w:type="dxa"/>
                  <w:tcBorders>
                    <w:tl2br w:val="nil"/>
                    <w:tr2bl w:val="nil"/>
                  </w:tcBorders>
                  <w:vAlign w:val="center"/>
                </w:tcPr>
                <w:p w14:paraId="568F1B2C">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AAF1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19476E0E">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6455D691">
                  <w:pPr>
                    <w:adjustRightInd w:val="0"/>
                    <w:snapToGrid w:val="0"/>
                    <w:jc w:val="center"/>
                    <w:rPr>
                      <w:rFonts w:ascii="Times New Roman" w:hAnsi="Times New Roman"/>
                      <w:color w:val="auto"/>
                      <w:szCs w:val="21"/>
                    </w:rPr>
                  </w:pPr>
                  <w:r>
                    <w:rPr>
                      <w:rFonts w:ascii="Times New Roman" w:hAnsi="Times New Roman"/>
                      <w:color w:val="auto"/>
                      <w:szCs w:val="21"/>
                    </w:rPr>
                    <w:t xml:space="preserve">鹟科 </w:t>
                  </w:r>
                  <w:r>
                    <w:rPr>
                      <w:rFonts w:ascii="Times New Roman" w:hAnsi="Times New Roman"/>
                      <w:i/>
                      <w:color w:val="auto"/>
                      <w:szCs w:val="21"/>
                    </w:rPr>
                    <w:t>Muscicapidae</w:t>
                  </w:r>
                </w:p>
              </w:tc>
              <w:tc>
                <w:tcPr>
                  <w:tcW w:w="1755" w:type="dxa"/>
                  <w:tcBorders>
                    <w:tl2br w:val="nil"/>
                    <w:tr2bl w:val="nil"/>
                  </w:tcBorders>
                  <w:vAlign w:val="center"/>
                </w:tcPr>
                <w:p w14:paraId="4C155D74">
                  <w:pPr>
                    <w:adjustRightInd w:val="0"/>
                    <w:snapToGrid w:val="0"/>
                    <w:jc w:val="center"/>
                    <w:rPr>
                      <w:rFonts w:ascii="Times New Roman" w:hAnsi="Times New Roman"/>
                      <w:color w:val="auto"/>
                      <w:szCs w:val="21"/>
                    </w:rPr>
                  </w:pPr>
                  <w:r>
                    <w:rPr>
                      <w:rFonts w:ascii="Times New Roman" w:hAnsi="Times New Roman"/>
                      <w:color w:val="auto"/>
                      <w:szCs w:val="21"/>
                    </w:rPr>
                    <w:t>16</w:t>
                  </w:r>
                </w:p>
              </w:tc>
            </w:tr>
            <w:tr w14:paraId="59BC7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59222E8D">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0F60B5C9">
                  <w:pPr>
                    <w:adjustRightInd w:val="0"/>
                    <w:snapToGrid w:val="0"/>
                    <w:jc w:val="center"/>
                    <w:rPr>
                      <w:rFonts w:ascii="Times New Roman" w:hAnsi="Times New Roman"/>
                      <w:color w:val="auto"/>
                      <w:szCs w:val="21"/>
                    </w:rPr>
                  </w:pPr>
                  <w:r>
                    <w:rPr>
                      <w:rFonts w:ascii="Times New Roman" w:hAnsi="Times New Roman"/>
                      <w:color w:val="auto"/>
                      <w:szCs w:val="21"/>
                    </w:rPr>
                    <w:t xml:space="preserve">1. 鸫亚科 </w:t>
                  </w:r>
                  <w:r>
                    <w:rPr>
                      <w:rFonts w:ascii="Times New Roman" w:hAnsi="Times New Roman"/>
                      <w:i/>
                      <w:color w:val="auto"/>
                      <w:szCs w:val="21"/>
                    </w:rPr>
                    <w:t>Turdinae</w:t>
                  </w:r>
                </w:p>
              </w:tc>
              <w:tc>
                <w:tcPr>
                  <w:tcW w:w="1755" w:type="dxa"/>
                  <w:tcBorders>
                    <w:tl2br w:val="nil"/>
                    <w:tr2bl w:val="nil"/>
                  </w:tcBorders>
                  <w:vAlign w:val="center"/>
                </w:tcPr>
                <w:p w14:paraId="0C2A9C57">
                  <w:pPr>
                    <w:adjustRightInd w:val="0"/>
                    <w:snapToGrid w:val="0"/>
                    <w:jc w:val="center"/>
                    <w:rPr>
                      <w:rFonts w:ascii="Times New Roman" w:hAnsi="Times New Roman"/>
                      <w:color w:val="auto"/>
                      <w:szCs w:val="21"/>
                    </w:rPr>
                  </w:pPr>
                  <w:r>
                    <w:rPr>
                      <w:rFonts w:ascii="Times New Roman" w:hAnsi="Times New Roman"/>
                      <w:color w:val="auto"/>
                      <w:szCs w:val="21"/>
                    </w:rPr>
                    <w:t>(5)</w:t>
                  </w:r>
                </w:p>
              </w:tc>
            </w:tr>
            <w:tr w14:paraId="438C9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2D5CEDB0">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61174D01">
                  <w:pPr>
                    <w:adjustRightInd w:val="0"/>
                    <w:snapToGrid w:val="0"/>
                    <w:jc w:val="center"/>
                    <w:rPr>
                      <w:rFonts w:ascii="Times New Roman" w:hAnsi="Times New Roman"/>
                      <w:color w:val="auto"/>
                      <w:szCs w:val="21"/>
                    </w:rPr>
                  </w:pPr>
                  <w:r>
                    <w:rPr>
                      <w:rFonts w:ascii="Times New Roman" w:hAnsi="Times New Roman"/>
                      <w:color w:val="auto"/>
                      <w:szCs w:val="21"/>
                    </w:rPr>
                    <w:t xml:space="preserve">2. 画眉亚科 </w:t>
                  </w:r>
                  <w:r>
                    <w:rPr>
                      <w:rFonts w:ascii="Times New Roman" w:hAnsi="Times New Roman"/>
                      <w:i/>
                      <w:color w:val="auto"/>
                      <w:szCs w:val="21"/>
                    </w:rPr>
                    <w:t>Timaliinae</w:t>
                  </w:r>
                </w:p>
              </w:tc>
              <w:tc>
                <w:tcPr>
                  <w:tcW w:w="1755" w:type="dxa"/>
                  <w:tcBorders>
                    <w:tl2br w:val="nil"/>
                    <w:tr2bl w:val="nil"/>
                  </w:tcBorders>
                  <w:vAlign w:val="center"/>
                </w:tcPr>
                <w:p w14:paraId="55F217EC">
                  <w:pPr>
                    <w:adjustRightInd w:val="0"/>
                    <w:snapToGrid w:val="0"/>
                    <w:jc w:val="center"/>
                    <w:rPr>
                      <w:rFonts w:ascii="Times New Roman" w:hAnsi="Times New Roman"/>
                      <w:color w:val="auto"/>
                      <w:szCs w:val="21"/>
                    </w:rPr>
                  </w:pPr>
                  <w:r>
                    <w:rPr>
                      <w:rFonts w:ascii="Times New Roman" w:hAnsi="Times New Roman"/>
                      <w:color w:val="auto"/>
                      <w:szCs w:val="21"/>
                    </w:rPr>
                    <w:t>(4)</w:t>
                  </w:r>
                </w:p>
              </w:tc>
            </w:tr>
            <w:tr w14:paraId="2A810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45E31E1">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2CAC2CC0">
                  <w:pPr>
                    <w:adjustRightInd w:val="0"/>
                    <w:snapToGrid w:val="0"/>
                    <w:jc w:val="center"/>
                    <w:rPr>
                      <w:rFonts w:ascii="Times New Roman" w:hAnsi="Times New Roman"/>
                      <w:color w:val="auto"/>
                      <w:szCs w:val="21"/>
                    </w:rPr>
                  </w:pPr>
                  <w:r>
                    <w:rPr>
                      <w:rFonts w:ascii="Times New Roman" w:hAnsi="Times New Roman"/>
                      <w:color w:val="auto"/>
                      <w:szCs w:val="21"/>
                    </w:rPr>
                    <w:t xml:space="preserve">3. 莺亚科 </w:t>
                  </w:r>
                  <w:r>
                    <w:rPr>
                      <w:rFonts w:ascii="Times New Roman" w:hAnsi="Times New Roman"/>
                      <w:i/>
                      <w:color w:val="auto"/>
                      <w:szCs w:val="21"/>
                    </w:rPr>
                    <w:t>Sylviinae</w:t>
                  </w:r>
                </w:p>
              </w:tc>
              <w:tc>
                <w:tcPr>
                  <w:tcW w:w="1755" w:type="dxa"/>
                  <w:tcBorders>
                    <w:tl2br w:val="nil"/>
                    <w:tr2bl w:val="nil"/>
                  </w:tcBorders>
                  <w:vAlign w:val="center"/>
                </w:tcPr>
                <w:p w14:paraId="643D9B70">
                  <w:pPr>
                    <w:adjustRightInd w:val="0"/>
                    <w:snapToGrid w:val="0"/>
                    <w:jc w:val="center"/>
                    <w:rPr>
                      <w:rFonts w:ascii="Times New Roman" w:hAnsi="Times New Roman"/>
                      <w:color w:val="auto"/>
                      <w:szCs w:val="21"/>
                    </w:rPr>
                  </w:pPr>
                  <w:r>
                    <w:rPr>
                      <w:rFonts w:ascii="Times New Roman" w:hAnsi="Times New Roman"/>
                      <w:color w:val="auto"/>
                      <w:szCs w:val="21"/>
                    </w:rPr>
                    <w:t>(4)</w:t>
                  </w:r>
                </w:p>
              </w:tc>
            </w:tr>
            <w:tr w14:paraId="6F7D5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322E5DA7">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37CB9D25">
                  <w:pPr>
                    <w:adjustRightInd w:val="0"/>
                    <w:snapToGrid w:val="0"/>
                    <w:jc w:val="center"/>
                    <w:rPr>
                      <w:rFonts w:ascii="Times New Roman" w:hAnsi="Times New Roman"/>
                      <w:color w:val="auto"/>
                      <w:szCs w:val="21"/>
                    </w:rPr>
                  </w:pPr>
                  <w:r>
                    <w:rPr>
                      <w:rFonts w:ascii="Times New Roman" w:hAnsi="Times New Roman"/>
                      <w:color w:val="auto"/>
                      <w:szCs w:val="21"/>
                    </w:rPr>
                    <w:t xml:space="preserve">4. 鹟亚科 </w:t>
                  </w:r>
                  <w:r>
                    <w:rPr>
                      <w:rFonts w:ascii="Times New Roman" w:hAnsi="Times New Roman"/>
                      <w:i/>
                      <w:color w:val="auto"/>
                      <w:szCs w:val="21"/>
                    </w:rPr>
                    <w:t>Muscicapinae</w:t>
                  </w:r>
                </w:p>
              </w:tc>
              <w:tc>
                <w:tcPr>
                  <w:tcW w:w="1755" w:type="dxa"/>
                  <w:tcBorders>
                    <w:tl2br w:val="nil"/>
                    <w:tr2bl w:val="nil"/>
                  </w:tcBorders>
                  <w:vAlign w:val="center"/>
                </w:tcPr>
                <w:p w14:paraId="1958673D">
                  <w:pPr>
                    <w:adjustRightInd w:val="0"/>
                    <w:snapToGrid w:val="0"/>
                    <w:jc w:val="center"/>
                    <w:rPr>
                      <w:rFonts w:ascii="Times New Roman" w:hAnsi="Times New Roman"/>
                      <w:color w:val="auto"/>
                      <w:szCs w:val="21"/>
                    </w:rPr>
                  </w:pPr>
                  <w:r>
                    <w:rPr>
                      <w:rFonts w:ascii="Times New Roman" w:hAnsi="Times New Roman"/>
                      <w:color w:val="auto"/>
                      <w:szCs w:val="21"/>
                    </w:rPr>
                    <w:t>(3)</w:t>
                  </w:r>
                </w:p>
              </w:tc>
            </w:tr>
            <w:tr w14:paraId="5AE0C6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378B69AF">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7A623005">
                  <w:pPr>
                    <w:adjustRightInd w:val="0"/>
                    <w:snapToGrid w:val="0"/>
                    <w:jc w:val="center"/>
                    <w:rPr>
                      <w:rFonts w:ascii="Times New Roman" w:hAnsi="Times New Roman"/>
                      <w:color w:val="auto"/>
                      <w:szCs w:val="21"/>
                    </w:rPr>
                  </w:pPr>
                  <w:r>
                    <w:rPr>
                      <w:rFonts w:ascii="Times New Roman" w:hAnsi="Times New Roman"/>
                      <w:color w:val="auto"/>
                      <w:szCs w:val="21"/>
                    </w:rPr>
                    <w:t>山雀科</w:t>
                  </w:r>
                  <w:r>
                    <w:rPr>
                      <w:rFonts w:ascii="Times New Roman" w:hAnsi="Times New Roman"/>
                      <w:i/>
                      <w:color w:val="auto"/>
                      <w:szCs w:val="21"/>
                    </w:rPr>
                    <w:t xml:space="preserve"> Paridae</w:t>
                  </w:r>
                </w:p>
              </w:tc>
              <w:tc>
                <w:tcPr>
                  <w:tcW w:w="1755" w:type="dxa"/>
                  <w:tcBorders>
                    <w:tl2br w:val="nil"/>
                    <w:tr2bl w:val="nil"/>
                  </w:tcBorders>
                  <w:vAlign w:val="center"/>
                </w:tcPr>
                <w:p w14:paraId="23D91AAB">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8832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7C2BCEB3">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37A59DB1">
                  <w:pPr>
                    <w:adjustRightInd w:val="0"/>
                    <w:snapToGrid w:val="0"/>
                    <w:jc w:val="center"/>
                    <w:rPr>
                      <w:rFonts w:ascii="Times New Roman" w:hAnsi="Times New Roman"/>
                      <w:color w:val="auto"/>
                      <w:szCs w:val="21"/>
                    </w:rPr>
                  </w:pPr>
                  <w:r>
                    <w:rPr>
                      <w:rFonts w:ascii="Times New Roman" w:hAnsi="Times New Roman"/>
                      <w:color w:val="auto"/>
                      <w:szCs w:val="21"/>
                    </w:rPr>
                    <w:t>啄花鸟科</w:t>
                  </w:r>
                  <w:r>
                    <w:rPr>
                      <w:rFonts w:ascii="Times New Roman" w:hAnsi="Times New Roman"/>
                      <w:i/>
                      <w:color w:val="auto"/>
                      <w:szCs w:val="21"/>
                    </w:rPr>
                    <w:t xml:space="preserve"> Dicaeidae</w:t>
                  </w:r>
                </w:p>
              </w:tc>
              <w:tc>
                <w:tcPr>
                  <w:tcW w:w="1755" w:type="dxa"/>
                  <w:tcBorders>
                    <w:tl2br w:val="nil"/>
                    <w:tr2bl w:val="nil"/>
                  </w:tcBorders>
                  <w:vAlign w:val="center"/>
                </w:tcPr>
                <w:p w14:paraId="679F6218">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62122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A9ECC6C">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0914F63F">
                  <w:pPr>
                    <w:adjustRightInd w:val="0"/>
                    <w:snapToGrid w:val="0"/>
                    <w:jc w:val="center"/>
                    <w:rPr>
                      <w:rFonts w:ascii="Times New Roman" w:hAnsi="Times New Roman"/>
                      <w:color w:val="auto"/>
                      <w:szCs w:val="21"/>
                    </w:rPr>
                  </w:pPr>
                  <w:r>
                    <w:rPr>
                      <w:rFonts w:ascii="Times New Roman" w:hAnsi="Times New Roman"/>
                      <w:color w:val="auto"/>
                      <w:szCs w:val="21"/>
                    </w:rPr>
                    <w:t xml:space="preserve">绣眼鸟科 </w:t>
                  </w:r>
                  <w:r>
                    <w:rPr>
                      <w:rFonts w:ascii="Times New Roman" w:hAnsi="Times New Roman"/>
                      <w:i/>
                      <w:color w:val="auto"/>
                      <w:szCs w:val="21"/>
                    </w:rPr>
                    <w:t>Zosteropidae</w:t>
                  </w:r>
                </w:p>
              </w:tc>
              <w:tc>
                <w:tcPr>
                  <w:tcW w:w="1755" w:type="dxa"/>
                  <w:tcBorders>
                    <w:tl2br w:val="nil"/>
                    <w:tr2bl w:val="nil"/>
                  </w:tcBorders>
                  <w:vAlign w:val="center"/>
                </w:tcPr>
                <w:p w14:paraId="04378C68">
                  <w:pPr>
                    <w:adjustRightInd w:val="0"/>
                    <w:snapToGrid w:val="0"/>
                    <w:jc w:val="center"/>
                    <w:rPr>
                      <w:rFonts w:ascii="Times New Roman" w:hAnsi="Times New Roman"/>
                      <w:color w:val="auto"/>
                      <w:szCs w:val="21"/>
                    </w:rPr>
                  </w:pPr>
                  <w:r>
                    <w:rPr>
                      <w:rFonts w:ascii="Times New Roman" w:hAnsi="Times New Roman"/>
                      <w:color w:val="auto"/>
                      <w:szCs w:val="21"/>
                    </w:rPr>
                    <w:t>1</w:t>
                  </w:r>
                </w:p>
              </w:tc>
            </w:tr>
            <w:tr w14:paraId="263EB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6DE6FE3D">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51B46A96">
                  <w:pPr>
                    <w:adjustRightInd w:val="0"/>
                    <w:snapToGrid w:val="0"/>
                    <w:jc w:val="center"/>
                    <w:rPr>
                      <w:rFonts w:ascii="Times New Roman" w:hAnsi="Times New Roman"/>
                      <w:color w:val="auto"/>
                      <w:szCs w:val="21"/>
                    </w:rPr>
                  </w:pPr>
                  <w:r>
                    <w:rPr>
                      <w:rFonts w:ascii="Times New Roman" w:hAnsi="Times New Roman"/>
                      <w:color w:val="auto"/>
                      <w:szCs w:val="21"/>
                    </w:rPr>
                    <w:t xml:space="preserve">文鸟科 </w:t>
                  </w:r>
                  <w:r>
                    <w:rPr>
                      <w:rFonts w:ascii="Times New Roman" w:hAnsi="Times New Roman"/>
                      <w:i/>
                      <w:color w:val="auto"/>
                      <w:szCs w:val="21"/>
                    </w:rPr>
                    <w:t>Ploceidae</w:t>
                  </w:r>
                </w:p>
              </w:tc>
              <w:tc>
                <w:tcPr>
                  <w:tcW w:w="1755" w:type="dxa"/>
                  <w:tcBorders>
                    <w:tl2br w:val="nil"/>
                    <w:tr2bl w:val="nil"/>
                  </w:tcBorders>
                  <w:vAlign w:val="center"/>
                </w:tcPr>
                <w:p w14:paraId="1169E339">
                  <w:pPr>
                    <w:adjustRightInd w:val="0"/>
                    <w:snapToGrid w:val="0"/>
                    <w:jc w:val="center"/>
                    <w:rPr>
                      <w:rFonts w:ascii="Times New Roman" w:hAnsi="Times New Roman"/>
                      <w:color w:val="auto"/>
                      <w:szCs w:val="21"/>
                    </w:rPr>
                  </w:pPr>
                  <w:r>
                    <w:rPr>
                      <w:rFonts w:ascii="Times New Roman" w:hAnsi="Times New Roman"/>
                      <w:color w:val="auto"/>
                      <w:szCs w:val="21"/>
                    </w:rPr>
                    <w:t>3</w:t>
                  </w:r>
                </w:p>
              </w:tc>
            </w:tr>
            <w:tr w14:paraId="1D38C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EE4BBCE">
                  <w:pPr>
                    <w:adjustRightInd w:val="0"/>
                    <w:snapToGrid w:val="0"/>
                    <w:jc w:val="center"/>
                    <w:rPr>
                      <w:rFonts w:ascii="Times New Roman" w:hAnsi="Times New Roman"/>
                      <w:color w:val="auto"/>
                      <w:szCs w:val="21"/>
                    </w:rPr>
                  </w:pPr>
                </w:p>
              </w:tc>
              <w:tc>
                <w:tcPr>
                  <w:tcW w:w="3440" w:type="dxa"/>
                  <w:tcBorders>
                    <w:tl2br w:val="nil"/>
                    <w:tr2bl w:val="nil"/>
                  </w:tcBorders>
                  <w:vAlign w:val="center"/>
                </w:tcPr>
                <w:p w14:paraId="3805B623">
                  <w:pPr>
                    <w:adjustRightInd w:val="0"/>
                    <w:snapToGrid w:val="0"/>
                    <w:jc w:val="center"/>
                    <w:rPr>
                      <w:rFonts w:ascii="Times New Roman" w:hAnsi="Times New Roman"/>
                      <w:color w:val="auto"/>
                      <w:szCs w:val="21"/>
                    </w:rPr>
                  </w:pPr>
                  <w:r>
                    <w:rPr>
                      <w:rFonts w:ascii="Times New Roman" w:hAnsi="Times New Roman"/>
                      <w:color w:val="auto"/>
                      <w:szCs w:val="21"/>
                    </w:rPr>
                    <w:t xml:space="preserve">雀科 </w:t>
                  </w:r>
                  <w:r>
                    <w:rPr>
                      <w:rFonts w:ascii="Times New Roman" w:hAnsi="Times New Roman"/>
                      <w:i/>
                      <w:color w:val="auto"/>
                      <w:szCs w:val="21"/>
                    </w:rPr>
                    <w:t>Fringillidae</w:t>
                  </w:r>
                </w:p>
              </w:tc>
              <w:tc>
                <w:tcPr>
                  <w:tcW w:w="1755" w:type="dxa"/>
                  <w:tcBorders>
                    <w:tl2br w:val="nil"/>
                    <w:tr2bl w:val="nil"/>
                  </w:tcBorders>
                  <w:vAlign w:val="center"/>
                </w:tcPr>
                <w:p w14:paraId="4E29308F">
                  <w:pPr>
                    <w:adjustRightInd w:val="0"/>
                    <w:snapToGrid w:val="0"/>
                    <w:jc w:val="center"/>
                    <w:rPr>
                      <w:rFonts w:ascii="Times New Roman" w:hAnsi="Times New Roman"/>
                      <w:color w:val="auto"/>
                      <w:szCs w:val="21"/>
                    </w:rPr>
                  </w:pPr>
                  <w:r>
                    <w:rPr>
                      <w:rFonts w:ascii="Times New Roman" w:hAnsi="Times New Roman"/>
                      <w:color w:val="auto"/>
                      <w:szCs w:val="21"/>
                    </w:rPr>
                    <w:t>3</w:t>
                  </w:r>
                </w:p>
              </w:tc>
            </w:tr>
            <w:tr w14:paraId="0022D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2568211D">
                  <w:pPr>
                    <w:adjustRightInd w:val="0"/>
                    <w:snapToGrid w:val="0"/>
                    <w:jc w:val="center"/>
                    <w:rPr>
                      <w:rFonts w:ascii="Times New Roman" w:hAnsi="Times New Roman"/>
                      <w:color w:val="auto"/>
                      <w:szCs w:val="21"/>
                    </w:rPr>
                  </w:pPr>
                  <w:r>
                    <w:rPr>
                      <w:rFonts w:ascii="Times New Roman" w:hAnsi="Times New Roman"/>
                      <w:color w:val="auto"/>
                      <w:szCs w:val="21"/>
                    </w:rPr>
                    <w:t>10目</w:t>
                  </w:r>
                </w:p>
              </w:tc>
              <w:tc>
                <w:tcPr>
                  <w:tcW w:w="3440" w:type="dxa"/>
                  <w:tcBorders>
                    <w:tl2br w:val="nil"/>
                    <w:tr2bl w:val="nil"/>
                  </w:tcBorders>
                  <w:vAlign w:val="center"/>
                </w:tcPr>
                <w:p w14:paraId="26CB2C27">
                  <w:pPr>
                    <w:adjustRightInd w:val="0"/>
                    <w:snapToGrid w:val="0"/>
                    <w:jc w:val="center"/>
                    <w:rPr>
                      <w:rFonts w:ascii="Times New Roman" w:hAnsi="Times New Roman"/>
                      <w:color w:val="auto"/>
                      <w:szCs w:val="21"/>
                    </w:rPr>
                  </w:pPr>
                  <w:r>
                    <w:rPr>
                      <w:rFonts w:ascii="Times New Roman" w:hAnsi="Times New Roman"/>
                      <w:color w:val="auto"/>
                      <w:szCs w:val="21"/>
                    </w:rPr>
                    <w:t>23科</w:t>
                  </w:r>
                </w:p>
              </w:tc>
              <w:tc>
                <w:tcPr>
                  <w:tcW w:w="1755" w:type="dxa"/>
                  <w:tcBorders>
                    <w:tl2br w:val="nil"/>
                    <w:tr2bl w:val="nil"/>
                  </w:tcBorders>
                  <w:vAlign w:val="center"/>
                </w:tcPr>
                <w:p w14:paraId="5B69AD1B">
                  <w:pPr>
                    <w:adjustRightInd w:val="0"/>
                    <w:snapToGrid w:val="0"/>
                    <w:jc w:val="center"/>
                    <w:rPr>
                      <w:rFonts w:ascii="Times New Roman" w:hAnsi="Times New Roman"/>
                      <w:color w:val="auto"/>
                      <w:szCs w:val="21"/>
                    </w:rPr>
                  </w:pPr>
                  <w:r>
                    <w:rPr>
                      <w:rFonts w:ascii="Times New Roman" w:hAnsi="Times New Roman"/>
                      <w:color w:val="auto"/>
                      <w:szCs w:val="21"/>
                    </w:rPr>
                    <w:t>51种</w:t>
                  </w:r>
                </w:p>
              </w:tc>
            </w:tr>
          </w:tbl>
          <w:p w14:paraId="5376AFC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4）哺乳类</w:t>
            </w:r>
          </w:p>
          <w:p w14:paraId="0B416F3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分布有哺乳动物10种，隶属于4目、7科、10属。评价区哺乳动物栖息环境多样，区域内哺乳动物种类相对丰富，但是种群数量较为贫乏，大多为偶见种，只有小型啮齿类部分种类常见。访问调查中得知该区域内缺乏大型兽类；短尾鼩主要栖息于阔叶林、针叶林、针阔混交林内；食肉目小型兽类的黄鼬主要栖息于河谷靠近河边的灌丛、阔叶林、针叶林、针阔混交林地带；其他小型啮齿生境广泛，常见种类黄胸鼠、褐家鼠；调查中于公路边山坡见到赤腹松鼠。</w:t>
            </w:r>
          </w:p>
          <w:p w14:paraId="68542249">
            <w:pPr>
              <w:adjustRightInd w:val="0"/>
              <w:snapToGrid w:val="0"/>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3-11</w:t>
            </w:r>
            <w:r>
              <w:rPr>
                <w:rFonts w:ascii="Times New Roman" w:hAnsi="Times New Roman"/>
                <w:b/>
                <w:color w:val="auto"/>
                <w:sz w:val="24"/>
                <w:szCs w:val="32"/>
              </w:rPr>
              <w:t xml:space="preserve">  评价区哺乳动物组成</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42"/>
              <w:gridCol w:w="4011"/>
              <w:gridCol w:w="1473"/>
            </w:tblGrid>
            <w:tr w14:paraId="274E8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tcBorders>
                    <w:tl2br w:val="nil"/>
                    <w:tr2bl w:val="nil"/>
                  </w:tcBorders>
                  <w:noWrap/>
                  <w:vAlign w:val="center"/>
                </w:tcPr>
                <w:p w14:paraId="7EB44925">
                  <w:pPr>
                    <w:adjustRightInd w:val="0"/>
                    <w:snapToGrid w:val="0"/>
                    <w:jc w:val="center"/>
                    <w:rPr>
                      <w:rFonts w:ascii="Times New Roman" w:hAnsi="Times New Roman"/>
                      <w:color w:val="auto"/>
                      <w:kern w:val="0"/>
                      <w:szCs w:val="21"/>
                    </w:rPr>
                  </w:pPr>
                  <w:r>
                    <w:rPr>
                      <w:rFonts w:ascii="Times New Roman" w:hAnsi="Times New Roman"/>
                      <w:color w:val="auto"/>
                      <w:kern w:val="0"/>
                      <w:szCs w:val="21"/>
                    </w:rPr>
                    <w:t>目</w:t>
                  </w:r>
                </w:p>
              </w:tc>
              <w:tc>
                <w:tcPr>
                  <w:tcW w:w="2380" w:type="pct"/>
                  <w:tcBorders>
                    <w:tl2br w:val="nil"/>
                    <w:tr2bl w:val="nil"/>
                  </w:tcBorders>
                  <w:noWrap/>
                  <w:vAlign w:val="center"/>
                </w:tcPr>
                <w:p w14:paraId="65670F98">
                  <w:pPr>
                    <w:adjustRightInd w:val="0"/>
                    <w:snapToGrid w:val="0"/>
                    <w:jc w:val="center"/>
                    <w:rPr>
                      <w:rFonts w:ascii="Times New Roman" w:hAnsi="Times New Roman"/>
                      <w:color w:val="auto"/>
                      <w:kern w:val="0"/>
                      <w:szCs w:val="21"/>
                    </w:rPr>
                  </w:pPr>
                  <w:r>
                    <w:rPr>
                      <w:rFonts w:ascii="Times New Roman" w:hAnsi="Times New Roman"/>
                      <w:color w:val="auto"/>
                      <w:kern w:val="0"/>
                      <w:szCs w:val="21"/>
                    </w:rPr>
                    <w:t>科</w:t>
                  </w:r>
                </w:p>
              </w:tc>
              <w:tc>
                <w:tcPr>
                  <w:tcW w:w="874" w:type="pct"/>
                  <w:tcBorders>
                    <w:tl2br w:val="nil"/>
                    <w:tr2bl w:val="nil"/>
                  </w:tcBorders>
                  <w:vAlign w:val="center"/>
                </w:tcPr>
                <w:p w14:paraId="3DCE1D80">
                  <w:pPr>
                    <w:adjustRightInd w:val="0"/>
                    <w:snapToGrid w:val="0"/>
                    <w:jc w:val="center"/>
                    <w:rPr>
                      <w:rFonts w:ascii="Times New Roman" w:hAnsi="Times New Roman"/>
                      <w:color w:val="auto"/>
                      <w:kern w:val="0"/>
                      <w:szCs w:val="21"/>
                    </w:rPr>
                  </w:pPr>
                  <w:r>
                    <w:rPr>
                      <w:rFonts w:ascii="Times New Roman" w:hAnsi="Times New Roman"/>
                      <w:color w:val="auto"/>
                      <w:kern w:val="0"/>
                      <w:szCs w:val="21"/>
                    </w:rPr>
                    <w:t>种数</w:t>
                  </w:r>
                </w:p>
              </w:tc>
            </w:tr>
            <w:tr w14:paraId="7F667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restart"/>
                  <w:tcBorders>
                    <w:tl2br w:val="nil"/>
                    <w:tr2bl w:val="nil"/>
                  </w:tcBorders>
                  <w:noWrap/>
                  <w:vAlign w:val="center"/>
                </w:tcPr>
                <w:p w14:paraId="0A4A7DE1">
                  <w:pPr>
                    <w:adjustRightInd w:val="0"/>
                    <w:snapToGrid w:val="0"/>
                    <w:jc w:val="center"/>
                    <w:rPr>
                      <w:rFonts w:ascii="Times New Roman" w:hAnsi="Times New Roman"/>
                      <w:color w:val="auto"/>
                      <w:kern w:val="0"/>
                      <w:szCs w:val="21"/>
                    </w:rPr>
                  </w:pPr>
                  <w:r>
                    <w:rPr>
                      <w:rFonts w:ascii="Times New Roman" w:hAnsi="Times New Roman"/>
                      <w:color w:val="auto"/>
                      <w:kern w:val="0"/>
                      <w:szCs w:val="21"/>
                    </w:rPr>
                    <w:t>食虫目INSECTIVORA</w:t>
                  </w:r>
                </w:p>
              </w:tc>
              <w:tc>
                <w:tcPr>
                  <w:tcW w:w="2380" w:type="pct"/>
                  <w:tcBorders>
                    <w:tl2br w:val="nil"/>
                    <w:tr2bl w:val="nil"/>
                  </w:tcBorders>
                  <w:noWrap/>
                  <w:vAlign w:val="center"/>
                </w:tcPr>
                <w:p w14:paraId="66CBD171">
                  <w:pPr>
                    <w:adjustRightInd w:val="0"/>
                    <w:snapToGrid w:val="0"/>
                    <w:jc w:val="center"/>
                    <w:rPr>
                      <w:rFonts w:ascii="Times New Roman" w:hAnsi="Times New Roman"/>
                      <w:color w:val="auto"/>
                      <w:kern w:val="0"/>
                      <w:szCs w:val="21"/>
                    </w:rPr>
                  </w:pPr>
                  <w:r>
                    <w:rPr>
                      <w:rFonts w:ascii="Times New Roman" w:hAnsi="Times New Roman"/>
                      <w:color w:val="auto"/>
                      <w:kern w:val="0"/>
                      <w:szCs w:val="21"/>
                    </w:rPr>
                    <w:t>鼩鼱科Soricidae</w:t>
                  </w:r>
                </w:p>
              </w:tc>
              <w:tc>
                <w:tcPr>
                  <w:tcW w:w="874" w:type="pct"/>
                  <w:tcBorders>
                    <w:tl2br w:val="nil"/>
                    <w:tr2bl w:val="nil"/>
                  </w:tcBorders>
                  <w:vAlign w:val="center"/>
                </w:tcPr>
                <w:p w14:paraId="342EB870">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0B011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continue"/>
                  <w:tcBorders>
                    <w:tl2br w:val="nil"/>
                    <w:tr2bl w:val="nil"/>
                  </w:tcBorders>
                  <w:noWrap/>
                  <w:vAlign w:val="center"/>
                </w:tcPr>
                <w:p w14:paraId="1940C12D">
                  <w:pPr>
                    <w:adjustRightInd w:val="0"/>
                    <w:snapToGrid w:val="0"/>
                    <w:jc w:val="center"/>
                    <w:rPr>
                      <w:rFonts w:ascii="Times New Roman" w:hAnsi="Times New Roman"/>
                      <w:color w:val="auto"/>
                      <w:kern w:val="0"/>
                      <w:szCs w:val="21"/>
                    </w:rPr>
                  </w:pPr>
                </w:p>
              </w:tc>
              <w:tc>
                <w:tcPr>
                  <w:tcW w:w="2380" w:type="pct"/>
                  <w:tcBorders>
                    <w:tl2br w:val="nil"/>
                    <w:tr2bl w:val="nil"/>
                  </w:tcBorders>
                  <w:noWrap/>
                  <w:vAlign w:val="center"/>
                </w:tcPr>
                <w:p w14:paraId="643F9005">
                  <w:pPr>
                    <w:adjustRightInd w:val="0"/>
                    <w:snapToGrid w:val="0"/>
                    <w:jc w:val="center"/>
                    <w:rPr>
                      <w:rFonts w:ascii="Times New Roman" w:hAnsi="Times New Roman"/>
                      <w:color w:val="auto"/>
                      <w:kern w:val="0"/>
                      <w:szCs w:val="21"/>
                    </w:rPr>
                  </w:pPr>
                  <w:r>
                    <w:rPr>
                      <w:rFonts w:ascii="Times New Roman" w:hAnsi="Times New Roman"/>
                      <w:color w:val="auto"/>
                      <w:kern w:val="0"/>
                      <w:szCs w:val="21"/>
                    </w:rPr>
                    <w:t>鼹科Talpidae</w:t>
                  </w:r>
                </w:p>
              </w:tc>
              <w:tc>
                <w:tcPr>
                  <w:tcW w:w="874" w:type="pct"/>
                  <w:tcBorders>
                    <w:tl2br w:val="nil"/>
                    <w:tr2bl w:val="nil"/>
                  </w:tcBorders>
                  <w:vAlign w:val="center"/>
                </w:tcPr>
                <w:p w14:paraId="75850441">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264AB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746" w:type="pct"/>
                  <w:vMerge w:val="restart"/>
                  <w:tcBorders>
                    <w:tl2br w:val="nil"/>
                    <w:tr2bl w:val="nil"/>
                  </w:tcBorders>
                  <w:noWrap/>
                  <w:vAlign w:val="center"/>
                </w:tcPr>
                <w:p w14:paraId="43ADE10A">
                  <w:pPr>
                    <w:adjustRightInd w:val="0"/>
                    <w:snapToGrid w:val="0"/>
                    <w:jc w:val="center"/>
                    <w:rPr>
                      <w:rFonts w:ascii="Times New Roman" w:hAnsi="Times New Roman"/>
                      <w:color w:val="auto"/>
                      <w:kern w:val="0"/>
                      <w:szCs w:val="21"/>
                    </w:rPr>
                  </w:pPr>
                  <w:r>
                    <w:rPr>
                      <w:rFonts w:ascii="Times New Roman" w:hAnsi="Times New Roman"/>
                      <w:color w:val="auto"/>
                      <w:kern w:val="0"/>
                      <w:szCs w:val="21"/>
                    </w:rPr>
                    <w:t>食肉目CARNIVORA</w:t>
                  </w:r>
                </w:p>
              </w:tc>
              <w:tc>
                <w:tcPr>
                  <w:tcW w:w="2380" w:type="pct"/>
                  <w:tcBorders>
                    <w:tl2br w:val="nil"/>
                    <w:tr2bl w:val="nil"/>
                  </w:tcBorders>
                  <w:noWrap/>
                  <w:vAlign w:val="center"/>
                </w:tcPr>
                <w:p w14:paraId="009F23BD">
                  <w:pPr>
                    <w:adjustRightInd w:val="0"/>
                    <w:snapToGrid w:val="0"/>
                    <w:jc w:val="center"/>
                    <w:rPr>
                      <w:rFonts w:ascii="Times New Roman" w:hAnsi="Times New Roman"/>
                      <w:color w:val="auto"/>
                      <w:kern w:val="0"/>
                      <w:szCs w:val="21"/>
                    </w:rPr>
                  </w:pPr>
                  <w:r>
                    <w:rPr>
                      <w:rFonts w:ascii="Times New Roman" w:hAnsi="Times New Roman"/>
                      <w:color w:val="auto"/>
                      <w:kern w:val="0"/>
                      <w:szCs w:val="21"/>
                    </w:rPr>
                    <w:t>鼬科Mustelidae</w:t>
                  </w:r>
                </w:p>
              </w:tc>
              <w:tc>
                <w:tcPr>
                  <w:tcW w:w="874" w:type="pct"/>
                  <w:tcBorders>
                    <w:tl2br w:val="nil"/>
                    <w:tr2bl w:val="nil"/>
                  </w:tcBorders>
                  <w:vAlign w:val="center"/>
                </w:tcPr>
                <w:p w14:paraId="742ABABC">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177EA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46" w:type="pct"/>
                  <w:vMerge w:val="continue"/>
                  <w:tcBorders>
                    <w:tl2br w:val="nil"/>
                    <w:tr2bl w:val="nil"/>
                  </w:tcBorders>
                  <w:noWrap/>
                  <w:vAlign w:val="center"/>
                </w:tcPr>
                <w:p w14:paraId="7F599407">
                  <w:pPr>
                    <w:adjustRightInd w:val="0"/>
                    <w:snapToGrid w:val="0"/>
                    <w:jc w:val="center"/>
                    <w:rPr>
                      <w:rFonts w:ascii="Times New Roman" w:hAnsi="Times New Roman"/>
                      <w:color w:val="auto"/>
                      <w:kern w:val="0"/>
                      <w:szCs w:val="21"/>
                    </w:rPr>
                  </w:pPr>
                </w:p>
              </w:tc>
              <w:tc>
                <w:tcPr>
                  <w:tcW w:w="2380" w:type="pct"/>
                  <w:tcBorders>
                    <w:tl2br w:val="nil"/>
                    <w:tr2bl w:val="nil"/>
                  </w:tcBorders>
                  <w:noWrap/>
                  <w:vAlign w:val="center"/>
                </w:tcPr>
                <w:p w14:paraId="2A90CC7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猫科Felidae</w:t>
                  </w:r>
                </w:p>
              </w:tc>
              <w:tc>
                <w:tcPr>
                  <w:tcW w:w="874" w:type="pct"/>
                  <w:tcBorders>
                    <w:tl2br w:val="nil"/>
                    <w:tr2bl w:val="nil"/>
                  </w:tcBorders>
                  <w:vAlign w:val="center"/>
                </w:tcPr>
                <w:p w14:paraId="1001289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w:t>
                  </w:r>
                </w:p>
              </w:tc>
            </w:tr>
            <w:tr w14:paraId="2BBCA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tcBorders>
                    <w:tl2br w:val="nil"/>
                    <w:tr2bl w:val="nil"/>
                  </w:tcBorders>
                  <w:noWrap/>
                  <w:vAlign w:val="center"/>
                </w:tcPr>
                <w:p w14:paraId="1C55B365">
                  <w:pPr>
                    <w:adjustRightInd w:val="0"/>
                    <w:snapToGrid w:val="0"/>
                    <w:jc w:val="center"/>
                    <w:rPr>
                      <w:rFonts w:ascii="Times New Roman" w:hAnsi="Times New Roman"/>
                      <w:color w:val="auto"/>
                      <w:kern w:val="0"/>
                      <w:szCs w:val="21"/>
                    </w:rPr>
                  </w:pPr>
                  <w:r>
                    <w:rPr>
                      <w:rFonts w:ascii="Times New Roman" w:hAnsi="Times New Roman"/>
                      <w:color w:val="auto"/>
                      <w:kern w:val="0"/>
                      <w:szCs w:val="21"/>
                    </w:rPr>
                    <w:t>兔形目LAGOMORPHA</w:t>
                  </w:r>
                </w:p>
              </w:tc>
              <w:tc>
                <w:tcPr>
                  <w:tcW w:w="2380" w:type="pct"/>
                  <w:tcBorders>
                    <w:tl2br w:val="nil"/>
                    <w:tr2bl w:val="nil"/>
                  </w:tcBorders>
                  <w:noWrap/>
                  <w:vAlign w:val="center"/>
                </w:tcPr>
                <w:p w14:paraId="1ECFEAE2">
                  <w:pPr>
                    <w:adjustRightInd w:val="0"/>
                    <w:snapToGrid w:val="0"/>
                    <w:jc w:val="center"/>
                    <w:rPr>
                      <w:rFonts w:ascii="Times New Roman" w:hAnsi="Times New Roman"/>
                      <w:color w:val="auto"/>
                      <w:kern w:val="0"/>
                      <w:szCs w:val="21"/>
                    </w:rPr>
                  </w:pPr>
                  <w:r>
                    <w:rPr>
                      <w:rFonts w:ascii="Times New Roman" w:hAnsi="Times New Roman"/>
                      <w:color w:val="auto"/>
                      <w:kern w:val="0"/>
                      <w:szCs w:val="21"/>
                    </w:rPr>
                    <w:t>兔科Leporidae</w:t>
                  </w:r>
                </w:p>
              </w:tc>
              <w:tc>
                <w:tcPr>
                  <w:tcW w:w="874" w:type="pct"/>
                  <w:tcBorders>
                    <w:tl2br w:val="nil"/>
                    <w:tr2bl w:val="nil"/>
                  </w:tcBorders>
                  <w:vAlign w:val="center"/>
                </w:tcPr>
                <w:p w14:paraId="297294A1">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r>
            <w:tr w14:paraId="3904A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restart"/>
                  <w:tcBorders>
                    <w:tl2br w:val="nil"/>
                    <w:tr2bl w:val="nil"/>
                  </w:tcBorders>
                  <w:noWrap/>
                  <w:vAlign w:val="center"/>
                </w:tcPr>
                <w:p w14:paraId="7F047A8B">
                  <w:pPr>
                    <w:adjustRightInd w:val="0"/>
                    <w:snapToGrid w:val="0"/>
                    <w:jc w:val="center"/>
                    <w:rPr>
                      <w:rFonts w:ascii="Times New Roman" w:hAnsi="Times New Roman"/>
                      <w:color w:val="auto"/>
                      <w:kern w:val="0"/>
                      <w:szCs w:val="21"/>
                    </w:rPr>
                  </w:pPr>
                  <w:r>
                    <w:rPr>
                      <w:rFonts w:ascii="Times New Roman" w:hAnsi="Times New Roman"/>
                      <w:color w:val="auto"/>
                      <w:kern w:val="0"/>
                      <w:szCs w:val="21"/>
                    </w:rPr>
                    <w:t>啮齿目RODENTIA</w:t>
                  </w:r>
                </w:p>
              </w:tc>
              <w:tc>
                <w:tcPr>
                  <w:tcW w:w="2380" w:type="pct"/>
                  <w:tcBorders>
                    <w:tl2br w:val="nil"/>
                    <w:tr2bl w:val="nil"/>
                  </w:tcBorders>
                  <w:noWrap/>
                  <w:vAlign w:val="center"/>
                </w:tcPr>
                <w:p w14:paraId="69DE2054">
                  <w:pPr>
                    <w:adjustRightInd w:val="0"/>
                    <w:snapToGrid w:val="0"/>
                    <w:jc w:val="center"/>
                    <w:rPr>
                      <w:rFonts w:ascii="Times New Roman" w:hAnsi="Times New Roman"/>
                      <w:color w:val="auto"/>
                      <w:kern w:val="0"/>
                      <w:szCs w:val="21"/>
                    </w:rPr>
                  </w:pPr>
                  <w:r>
                    <w:rPr>
                      <w:rFonts w:ascii="Times New Roman" w:hAnsi="Times New Roman"/>
                      <w:color w:val="auto"/>
                      <w:kern w:val="0"/>
                      <w:szCs w:val="21"/>
                    </w:rPr>
                    <w:t>松鼠科Sciuridae</w:t>
                  </w:r>
                </w:p>
              </w:tc>
              <w:tc>
                <w:tcPr>
                  <w:tcW w:w="874" w:type="pct"/>
                  <w:tcBorders>
                    <w:tl2br w:val="nil"/>
                    <w:tr2bl w:val="nil"/>
                  </w:tcBorders>
                  <w:vAlign w:val="center"/>
                </w:tcPr>
                <w:p w14:paraId="098B1DD8">
                  <w:pPr>
                    <w:adjustRightInd w:val="0"/>
                    <w:snapToGrid w:val="0"/>
                    <w:jc w:val="center"/>
                    <w:rPr>
                      <w:rFonts w:ascii="Times New Roman" w:hAnsi="Times New Roman"/>
                      <w:color w:val="auto"/>
                      <w:kern w:val="0"/>
                      <w:szCs w:val="21"/>
                    </w:rPr>
                  </w:pPr>
                  <w:r>
                    <w:rPr>
                      <w:rFonts w:ascii="Times New Roman" w:hAnsi="Times New Roman"/>
                      <w:color w:val="auto"/>
                      <w:kern w:val="0"/>
                      <w:szCs w:val="21"/>
                    </w:rPr>
                    <w:t>2</w:t>
                  </w:r>
                </w:p>
              </w:tc>
            </w:tr>
            <w:tr w14:paraId="73DDF8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continue"/>
                  <w:tcBorders>
                    <w:tl2br w:val="nil"/>
                    <w:tr2bl w:val="nil"/>
                  </w:tcBorders>
                  <w:noWrap/>
                  <w:vAlign w:val="center"/>
                </w:tcPr>
                <w:p w14:paraId="037F07A5">
                  <w:pPr>
                    <w:adjustRightInd w:val="0"/>
                    <w:snapToGrid w:val="0"/>
                    <w:jc w:val="center"/>
                    <w:rPr>
                      <w:rFonts w:ascii="Times New Roman" w:hAnsi="Times New Roman"/>
                      <w:color w:val="auto"/>
                      <w:kern w:val="0"/>
                      <w:szCs w:val="21"/>
                    </w:rPr>
                  </w:pPr>
                </w:p>
              </w:tc>
              <w:tc>
                <w:tcPr>
                  <w:tcW w:w="2380" w:type="pct"/>
                  <w:tcBorders>
                    <w:tl2br w:val="nil"/>
                    <w:tr2bl w:val="nil"/>
                  </w:tcBorders>
                  <w:noWrap/>
                  <w:vAlign w:val="center"/>
                </w:tcPr>
                <w:p w14:paraId="3B5509E0">
                  <w:pPr>
                    <w:adjustRightInd w:val="0"/>
                    <w:snapToGrid w:val="0"/>
                    <w:jc w:val="center"/>
                    <w:rPr>
                      <w:rFonts w:ascii="Times New Roman" w:hAnsi="Times New Roman"/>
                      <w:color w:val="auto"/>
                      <w:kern w:val="0"/>
                      <w:szCs w:val="21"/>
                    </w:rPr>
                  </w:pPr>
                  <w:r>
                    <w:rPr>
                      <w:rFonts w:ascii="Times New Roman" w:hAnsi="Times New Roman"/>
                      <w:color w:val="auto"/>
                      <w:kern w:val="0"/>
                      <w:szCs w:val="21"/>
                    </w:rPr>
                    <w:t>鼠科Muridae</w:t>
                  </w:r>
                </w:p>
              </w:tc>
              <w:tc>
                <w:tcPr>
                  <w:tcW w:w="874" w:type="pct"/>
                  <w:tcBorders>
                    <w:tl2br w:val="nil"/>
                    <w:tr2bl w:val="nil"/>
                  </w:tcBorders>
                  <w:vAlign w:val="center"/>
                </w:tcPr>
                <w:p w14:paraId="4868B46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3</w:t>
                  </w:r>
                </w:p>
              </w:tc>
            </w:tr>
          </w:tbl>
          <w:p w14:paraId="258FACF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5）陆栖脊椎动物资源现状小结</w:t>
            </w:r>
          </w:p>
          <w:p w14:paraId="13EA301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地貌主要为深切河谷，两岸高山散布针叶林，谷地灌丛丰茂，部分山坡为荒坡。河流水量相对较大，陆栖脊椎动物栖息环境多样。区域内陆栖脊椎动物种类相对丰富，但是种群数量较为贫乏，这主要与当地人为干扰有关，以及陡峭的深切河谷栖息环境较为恶劣有关。</w:t>
            </w:r>
          </w:p>
          <w:p w14:paraId="1A444923">
            <w:pPr>
              <w:pStyle w:val="6"/>
              <w:adjustRightInd w:val="0"/>
              <w:snapToGrid w:val="0"/>
              <w:spacing w:line="440" w:lineRule="exact"/>
              <w:ind w:firstLine="482" w:firstLineChars="200"/>
              <w:rPr>
                <w:rFonts w:ascii="Times New Roman" w:hAnsi="Times New Roman"/>
                <w:color w:val="auto"/>
                <w:szCs w:val="24"/>
              </w:rPr>
            </w:pPr>
            <w:r>
              <w:rPr>
                <w:rFonts w:hint="eastAsia" w:ascii="Times New Roman" w:hAnsi="Times New Roman"/>
                <w:color w:val="auto"/>
                <w:szCs w:val="24"/>
              </w:rPr>
              <w:t>（3）</w:t>
            </w:r>
            <w:r>
              <w:rPr>
                <w:rFonts w:ascii="Times New Roman" w:hAnsi="Times New Roman"/>
                <w:color w:val="auto"/>
                <w:szCs w:val="24"/>
              </w:rPr>
              <w:t>区系分析</w:t>
            </w:r>
          </w:p>
          <w:p w14:paraId="48B6889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①两栖类</w:t>
            </w:r>
          </w:p>
          <w:p w14:paraId="1DA2467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在评价区分布的</w:t>
            </w:r>
            <w:r>
              <w:rPr>
                <w:rFonts w:hint="eastAsia" w:ascii="Times New Roman" w:hAnsi="Times New Roman"/>
                <w:color w:val="auto"/>
                <w:sz w:val="24"/>
                <w:szCs w:val="24"/>
              </w:rPr>
              <w:t>6</w:t>
            </w:r>
            <w:r>
              <w:rPr>
                <w:rFonts w:ascii="Times New Roman" w:hAnsi="Times New Roman"/>
                <w:color w:val="auto"/>
                <w:sz w:val="24"/>
                <w:szCs w:val="24"/>
              </w:rPr>
              <w:t>种两栖动物中，东洋界种类占优势，有</w:t>
            </w:r>
            <w:r>
              <w:rPr>
                <w:rFonts w:hint="eastAsia" w:ascii="Times New Roman" w:hAnsi="Times New Roman"/>
                <w:color w:val="auto"/>
                <w:sz w:val="24"/>
                <w:szCs w:val="24"/>
              </w:rPr>
              <w:t>5</w:t>
            </w:r>
            <w:r>
              <w:rPr>
                <w:rFonts w:ascii="Times New Roman" w:hAnsi="Times New Roman"/>
                <w:color w:val="auto"/>
                <w:sz w:val="24"/>
                <w:szCs w:val="24"/>
              </w:rPr>
              <w:t>种，占全部两栖类种数的</w:t>
            </w:r>
            <w:r>
              <w:rPr>
                <w:rFonts w:hint="eastAsia" w:ascii="Times New Roman" w:hAnsi="Times New Roman"/>
                <w:color w:val="auto"/>
                <w:sz w:val="24"/>
                <w:szCs w:val="24"/>
              </w:rPr>
              <w:t>83.33</w:t>
            </w:r>
            <w:r>
              <w:rPr>
                <w:rFonts w:ascii="Times New Roman" w:hAnsi="Times New Roman"/>
                <w:color w:val="auto"/>
                <w:sz w:val="24"/>
                <w:szCs w:val="24"/>
              </w:rPr>
              <w:t>%；古北东洋两界种类有1种，占全部两栖类种数的</w:t>
            </w:r>
            <w:r>
              <w:rPr>
                <w:rFonts w:hint="eastAsia" w:ascii="Times New Roman" w:hAnsi="Times New Roman"/>
                <w:color w:val="auto"/>
                <w:sz w:val="24"/>
                <w:szCs w:val="24"/>
              </w:rPr>
              <w:t>16.7</w:t>
            </w:r>
            <w:r>
              <w:rPr>
                <w:rFonts w:ascii="Times New Roman" w:hAnsi="Times New Roman"/>
                <w:color w:val="auto"/>
                <w:sz w:val="24"/>
                <w:szCs w:val="24"/>
              </w:rPr>
              <w:t>%；迄今未发现有古北界成分和分布。在</w:t>
            </w:r>
            <w:r>
              <w:rPr>
                <w:rFonts w:hint="eastAsia" w:ascii="Times New Roman" w:hAnsi="Times New Roman"/>
                <w:color w:val="auto"/>
                <w:sz w:val="24"/>
                <w:szCs w:val="24"/>
              </w:rPr>
              <w:t>5</w:t>
            </w:r>
            <w:r>
              <w:rPr>
                <w:rFonts w:ascii="Times New Roman" w:hAnsi="Times New Roman"/>
                <w:color w:val="auto"/>
                <w:sz w:val="24"/>
                <w:szCs w:val="24"/>
              </w:rPr>
              <w:t>种东洋界两栖动物中，东洋界广布种占优势，有4种，分别占全部东洋界两栖类种数的</w:t>
            </w:r>
            <w:r>
              <w:rPr>
                <w:rFonts w:hint="eastAsia" w:ascii="Times New Roman" w:hAnsi="Times New Roman"/>
                <w:color w:val="auto"/>
                <w:sz w:val="24"/>
                <w:szCs w:val="24"/>
              </w:rPr>
              <w:t>80</w:t>
            </w:r>
            <w:r>
              <w:rPr>
                <w:rFonts w:ascii="Times New Roman" w:hAnsi="Times New Roman"/>
                <w:color w:val="auto"/>
                <w:sz w:val="24"/>
                <w:szCs w:val="24"/>
              </w:rPr>
              <w:t>%；西南区种类有</w:t>
            </w:r>
            <w:r>
              <w:rPr>
                <w:rFonts w:hint="eastAsia" w:ascii="Times New Roman" w:hAnsi="Times New Roman"/>
                <w:color w:val="auto"/>
                <w:sz w:val="24"/>
                <w:szCs w:val="24"/>
              </w:rPr>
              <w:t>1</w:t>
            </w:r>
            <w:r>
              <w:rPr>
                <w:rFonts w:ascii="Times New Roman" w:hAnsi="Times New Roman"/>
                <w:color w:val="auto"/>
                <w:sz w:val="24"/>
                <w:szCs w:val="24"/>
              </w:rPr>
              <w:t>种，占全部两栖类种数的</w:t>
            </w:r>
            <w:r>
              <w:rPr>
                <w:rFonts w:hint="eastAsia" w:ascii="Times New Roman" w:hAnsi="Times New Roman"/>
                <w:color w:val="auto"/>
                <w:sz w:val="24"/>
                <w:szCs w:val="24"/>
              </w:rPr>
              <w:t>20</w:t>
            </w:r>
            <w:r>
              <w:rPr>
                <w:rFonts w:ascii="Times New Roman" w:hAnsi="Times New Roman"/>
                <w:color w:val="auto"/>
                <w:sz w:val="24"/>
                <w:szCs w:val="24"/>
              </w:rPr>
              <w:t>%；无华中区种类和华中—华南区种类分布；也无华南区种类分布。</w:t>
            </w:r>
          </w:p>
          <w:p w14:paraId="757645F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②爬行类</w:t>
            </w:r>
          </w:p>
          <w:p w14:paraId="5567869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在评价区分布的</w:t>
            </w:r>
            <w:r>
              <w:rPr>
                <w:rFonts w:hint="eastAsia" w:ascii="Times New Roman" w:hAnsi="Times New Roman"/>
                <w:color w:val="auto"/>
                <w:sz w:val="24"/>
                <w:szCs w:val="24"/>
              </w:rPr>
              <w:t>5</w:t>
            </w:r>
            <w:r>
              <w:rPr>
                <w:rFonts w:ascii="Times New Roman" w:hAnsi="Times New Roman"/>
                <w:color w:val="auto"/>
                <w:sz w:val="24"/>
                <w:szCs w:val="24"/>
              </w:rPr>
              <w:t>种爬行动物中，东洋界种类占优势，有</w:t>
            </w:r>
            <w:r>
              <w:rPr>
                <w:rFonts w:hint="eastAsia" w:ascii="Times New Roman" w:hAnsi="Times New Roman"/>
                <w:color w:val="auto"/>
                <w:sz w:val="24"/>
                <w:szCs w:val="24"/>
              </w:rPr>
              <w:t>4</w:t>
            </w:r>
            <w:r>
              <w:rPr>
                <w:rFonts w:ascii="Times New Roman" w:hAnsi="Times New Roman"/>
                <w:color w:val="auto"/>
                <w:sz w:val="24"/>
                <w:szCs w:val="24"/>
              </w:rPr>
              <w:t>种，占全部爬行动物种数的</w:t>
            </w:r>
            <w:r>
              <w:rPr>
                <w:rFonts w:hint="eastAsia" w:ascii="Times New Roman" w:hAnsi="Times New Roman"/>
                <w:color w:val="auto"/>
                <w:sz w:val="24"/>
                <w:szCs w:val="24"/>
              </w:rPr>
              <w:t>80</w:t>
            </w:r>
            <w:r>
              <w:rPr>
                <w:rFonts w:ascii="Times New Roman" w:hAnsi="Times New Roman"/>
                <w:color w:val="auto"/>
                <w:sz w:val="24"/>
                <w:szCs w:val="24"/>
              </w:rPr>
              <w:t>%；古北东洋两界种类有1种，占全部爬行动物种数的</w:t>
            </w:r>
            <w:r>
              <w:rPr>
                <w:rFonts w:hint="eastAsia" w:ascii="Times New Roman" w:hAnsi="Times New Roman"/>
                <w:color w:val="auto"/>
                <w:sz w:val="24"/>
                <w:szCs w:val="24"/>
              </w:rPr>
              <w:t>20</w:t>
            </w:r>
            <w:r>
              <w:rPr>
                <w:rFonts w:ascii="Times New Roman" w:hAnsi="Times New Roman"/>
                <w:color w:val="auto"/>
                <w:sz w:val="24"/>
                <w:szCs w:val="24"/>
              </w:rPr>
              <w:t>%；迄今未发现有古北界成分分布。在东洋界种类中，东洋界广布种有2种，占全部东洋界爬行动物种数的</w:t>
            </w:r>
            <w:r>
              <w:rPr>
                <w:rFonts w:hint="eastAsia" w:ascii="Times New Roman" w:hAnsi="Times New Roman"/>
                <w:color w:val="auto"/>
                <w:sz w:val="24"/>
                <w:szCs w:val="24"/>
              </w:rPr>
              <w:t>50</w:t>
            </w:r>
            <w:r>
              <w:rPr>
                <w:rFonts w:ascii="Times New Roman" w:hAnsi="Times New Roman"/>
                <w:color w:val="auto"/>
                <w:sz w:val="24"/>
                <w:szCs w:val="24"/>
              </w:rPr>
              <w:t>%；华中—华南区种类有</w:t>
            </w:r>
            <w:r>
              <w:rPr>
                <w:rFonts w:hint="eastAsia" w:ascii="Times New Roman" w:hAnsi="Times New Roman"/>
                <w:color w:val="auto"/>
                <w:sz w:val="24"/>
                <w:szCs w:val="24"/>
              </w:rPr>
              <w:t>1</w:t>
            </w:r>
            <w:r>
              <w:rPr>
                <w:rFonts w:ascii="Times New Roman" w:hAnsi="Times New Roman"/>
                <w:color w:val="auto"/>
                <w:sz w:val="24"/>
                <w:szCs w:val="24"/>
              </w:rPr>
              <w:t>种，占全部东洋界爬行动物种数的</w:t>
            </w:r>
            <w:r>
              <w:rPr>
                <w:rFonts w:hint="eastAsia" w:ascii="Times New Roman" w:hAnsi="Times New Roman"/>
                <w:color w:val="auto"/>
                <w:sz w:val="24"/>
                <w:szCs w:val="24"/>
              </w:rPr>
              <w:t>50</w:t>
            </w:r>
            <w:r>
              <w:rPr>
                <w:rFonts w:ascii="Times New Roman" w:hAnsi="Times New Roman"/>
                <w:color w:val="auto"/>
                <w:sz w:val="24"/>
                <w:szCs w:val="24"/>
              </w:rPr>
              <w:t>%；西南区种类有1种，占全部东洋界爬行动物种数的</w:t>
            </w:r>
            <w:r>
              <w:rPr>
                <w:rFonts w:hint="eastAsia" w:ascii="Times New Roman" w:hAnsi="Times New Roman"/>
                <w:color w:val="auto"/>
                <w:sz w:val="24"/>
                <w:szCs w:val="24"/>
              </w:rPr>
              <w:t>50</w:t>
            </w:r>
            <w:r>
              <w:rPr>
                <w:rFonts w:ascii="Times New Roman" w:hAnsi="Times New Roman"/>
                <w:color w:val="auto"/>
                <w:sz w:val="24"/>
                <w:szCs w:val="24"/>
              </w:rPr>
              <w:t>%；无华南区种类和华中区种类分布。</w:t>
            </w:r>
          </w:p>
          <w:p w14:paraId="7FA3824E">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③鸟类</w:t>
            </w:r>
          </w:p>
          <w:p w14:paraId="3ECAEBA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资料分析表明，评价区内51种鸟类中，旅鸟2种，冬候鸟4种，夏候鸟9种，留鸟36种。</w:t>
            </w:r>
          </w:p>
          <w:p w14:paraId="09BFA005">
            <w:pPr>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3-12</w:t>
            </w:r>
            <w:r>
              <w:rPr>
                <w:rFonts w:ascii="Times New Roman" w:hAnsi="Times New Roman"/>
                <w:b/>
                <w:color w:val="auto"/>
                <w:sz w:val="24"/>
                <w:szCs w:val="32"/>
              </w:rPr>
              <w:t xml:space="preserve">  评价区鸟类居留状态</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1701"/>
              <w:gridCol w:w="1681"/>
              <w:gridCol w:w="1681"/>
              <w:gridCol w:w="1681"/>
              <w:gridCol w:w="1682"/>
            </w:tblGrid>
            <w:tr w14:paraId="5A0D82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176A8954">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居留状况</w:t>
                  </w:r>
                </w:p>
              </w:tc>
              <w:tc>
                <w:tcPr>
                  <w:tcW w:w="997" w:type="pct"/>
                  <w:tcBorders>
                    <w:tl2br w:val="nil"/>
                    <w:tr2bl w:val="nil"/>
                  </w:tcBorders>
                  <w:tcMar>
                    <w:top w:w="15" w:type="dxa"/>
                    <w:left w:w="15" w:type="dxa"/>
                    <w:bottom w:w="0" w:type="dxa"/>
                    <w:right w:w="15" w:type="dxa"/>
                  </w:tcMar>
                  <w:vAlign w:val="center"/>
                </w:tcPr>
                <w:p w14:paraId="6D23271E">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旅鸟</w:t>
                  </w:r>
                </w:p>
              </w:tc>
              <w:tc>
                <w:tcPr>
                  <w:tcW w:w="997" w:type="pct"/>
                  <w:tcBorders>
                    <w:tl2br w:val="nil"/>
                    <w:tr2bl w:val="nil"/>
                  </w:tcBorders>
                  <w:tcMar>
                    <w:top w:w="15" w:type="dxa"/>
                    <w:left w:w="15" w:type="dxa"/>
                    <w:bottom w:w="0" w:type="dxa"/>
                    <w:right w:w="15" w:type="dxa"/>
                  </w:tcMar>
                  <w:vAlign w:val="center"/>
                </w:tcPr>
                <w:p w14:paraId="78A08E4D">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冬候鸟</w:t>
                  </w:r>
                </w:p>
              </w:tc>
              <w:tc>
                <w:tcPr>
                  <w:tcW w:w="997" w:type="pct"/>
                  <w:tcBorders>
                    <w:tl2br w:val="nil"/>
                    <w:tr2bl w:val="nil"/>
                  </w:tcBorders>
                  <w:tcMar>
                    <w:top w:w="15" w:type="dxa"/>
                    <w:left w:w="15" w:type="dxa"/>
                    <w:bottom w:w="0" w:type="dxa"/>
                    <w:right w:w="15" w:type="dxa"/>
                  </w:tcMar>
                  <w:vAlign w:val="center"/>
                </w:tcPr>
                <w:p w14:paraId="42800919">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夏候鸟</w:t>
                  </w:r>
                </w:p>
              </w:tc>
              <w:tc>
                <w:tcPr>
                  <w:tcW w:w="997" w:type="pct"/>
                  <w:tcBorders>
                    <w:tl2br w:val="nil"/>
                    <w:tr2bl w:val="nil"/>
                  </w:tcBorders>
                  <w:tcMar>
                    <w:top w:w="15" w:type="dxa"/>
                    <w:left w:w="15" w:type="dxa"/>
                    <w:bottom w:w="0" w:type="dxa"/>
                    <w:right w:w="15" w:type="dxa"/>
                  </w:tcMar>
                  <w:vAlign w:val="center"/>
                </w:tcPr>
                <w:p w14:paraId="44E9D7ED">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留鸟</w:t>
                  </w:r>
                </w:p>
              </w:tc>
            </w:tr>
            <w:tr w14:paraId="79B52B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535DEFEB">
                  <w:pPr>
                    <w:adjustRightInd w:val="0"/>
                    <w:snapToGrid w:val="0"/>
                    <w:jc w:val="center"/>
                    <w:rPr>
                      <w:rFonts w:ascii="Times New Roman" w:hAnsi="Times New Roman"/>
                      <w:color w:val="auto"/>
                      <w:kern w:val="0"/>
                      <w:szCs w:val="21"/>
                    </w:rPr>
                  </w:pPr>
                  <w:r>
                    <w:rPr>
                      <w:rFonts w:ascii="Times New Roman" w:hAnsi="Times New Roman"/>
                      <w:color w:val="auto"/>
                      <w:kern w:val="0"/>
                      <w:szCs w:val="21"/>
                    </w:rPr>
                    <w:t>种数</w:t>
                  </w:r>
                </w:p>
              </w:tc>
              <w:tc>
                <w:tcPr>
                  <w:tcW w:w="997" w:type="pct"/>
                  <w:tcBorders>
                    <w:tl2br w:val="nil"/>
                    <w:tr2bl w:val="nil"/>
                  </w:tcBorders>
                  <w:tcMar>
                    <w:top w:w="15" w:type="dxa"/>
                    <w:left w:w="15" w:type="dxa"/>
                    <w:bottom w:w="0" w:type="dxa"/>
                    <w:right w:w="15" w:type="dxa"/>
                  </w:tcMar>
                  <w:vAlign w:val="center"/>
                </w:tcPr>
                <w:p w14:paraId="55C9E0FD">
                  <w:pPr>
                    <w:adjustRightInd w:val="0"/>
                    <w:snapToGrid w:val="0"/>
                    <w:jc w:val="center"/>
                    <w:rPr>
                      <w:rFonts w:ascii="Times New Roman" w:hAnsi="Times New Roman"/>
                      <w:color w:val="auto"/>
                      <w:kern w:val="0"/>
                      <w:szCs w:val="21"/>
                    </w:rPr>
                  </w:pPr>
                  <w:r>
                    <w:rPr>
                      <w:rFonts w:ascii="Times New Roman" w:hAnsi="Times New Roman"/>
                      <w:color w:val="auto"/>
                      <w:kern w:val="0"/>
                      <w:szCs w:val="21"/>
                    </w:rPr>
                    <w:t>2</w:t>
                  </w:r>
                </w:p>
              </w:tc>
              <w:tc>
                <w:tcPr>
                  <w:tcW w:w="997" w:type="pct"/>
                  <w:tcBorders>
                    <w:tl2br w:val="nil"/>
                    <w:tr2bl w:val="nil"/>
                  </w:tcBorders>
                  <w:tcMar>
                    <w:top w:w="15" w:type="dxa"/>
                    <w:left w:w="15" w:type="dxa"/>
                    <w:bottom w:w="0" w:type="dxa"/>
                    <w:right w:w="15" w:type="dxa"/>
                  </w:tcMar>
                  <w:vAlign w:val="center"/>
                </w:tcPr>
                <w:p w14:paraId="3CC922DA">
                  <w:pPr>
                    <w:adjustRightInd w:val="0"/>
                    <w:snapToGrid w:val="0"/>
                    <w:jc w:val="center"/>
                    <w:rPr>
                      <w:rFonts w:ascii="Times New Roman" w:hAnsi="Times New Roman"/>
                      <w:color w:val="auto"/>
                      <w:kern w:val="0"/>
                      <w:szCs w:val="21"/>
                    </w:rPr>
                  </w:pPr>
                  <w:r>
                    <w:rPr>
                      <w:rFonts w:ascii="Times New Roman" w:hAnsi="Times New Roman"/>
                      <w:color w:val="auto"/>
                      <w:kern w:val="0"/>
                      <w:szCs w:val="21"/>
                    </w:rPr>
                    <w:t>4</w:t>
                  </w:r>
                </w:p>
              </w:tc>
              <w:tc>
                <w:tcPr>
                  <w:tcW w:w="997" w:type="pct"/>
                  <w:tcBorders>
                    <w:tl2br w:val="nil"/>
                    <w:tr2bl w:val="nil"/>
                  </w:tcBorders>
                  <w:tcMar>
                    <w:top w:w="15" w:type="dxa"/>
                    <w:left w:w="15" w:type="dxa"/>
                    <w:bottom w:w="0" w:type="dxa"/>
                    <w:right w:w="15" w:type="dxa"/>
                  </w:tcMar>
                  <w:vAlign w:val="center"/>
                </w:tcPr>
                <w:p w14:paraId="0B4ACFFA">
                  <w:pPr>
                    <w:adjustRightInd w:val="0"/>
                    <w:snapToGrid w:val="0"/>
                    <w:jc w:val="center"/>
                    <w:rPr>
                      <w:rFonts w:ascii="Times New Roman" w:hAnsi="Times New Roman"/>
                      <w:color w:val="auto"/>
                      <w:kern w:val="0"/>
                      <w:szCs w:val="21"/>
                    </w:rPr>
                  </w:pPr>
                  <w:r>
                    <w:rPr>
                      <w:rFonts w:ascii="Times New Roman" w:hAnsi="Times New Roman"/>
                      <w:color w:val="auto"/>
                      <w:kern w:val="0"/>
                      <w:szCs w:val="21"/>
                    </w:rPr>
                    <w:t>9</w:t>
                  </w:r>
                </w:p>
              </w:tc>
              <w:tc>
                <w:tcPr>
                  <w:tcW w:w="997" w:type="pct"/>
                  <w:tcBorders>
                    <w:tl2br w:val="nil"/>
                    <w:tr2bl w:val="nil"/>
                  </w:tcBorders>
                  <w:tcMar>
                    <w:top w:w="15" w:type="dxa"/>
                    <w:left w:w="15" w:type="dxa"/>
                    <w:bottom w:w="0" w:type="dxa"/>
                    <w:right w:w="15" w:type="dxa"/>
                  </w:tcMar>
                  <w:vAlign w:val="center"/>
                </w:tcPr>
                <w:p w14:paraId="501967EF">
                  <w:pPr>
                    <w:adjustRightInd w:val="0"/>
                    <w:snapToGrid w:val="0"/>
                    <w:jc w:val="center"/>
                    <w:rPr>
                      <w:rFonts w:ascii="Times New Roman" w:hAnsi="Times New Roman"/>
                      <w:color w:val="auto"/>
                      <w:kern w:val="0"/>
                      <w:szCs w:val="21"/>
                    </w:rPr>
                  </w:pPr>
                  <w:r>
                    <w:rPr>
                      <w:rFonts w:ascii="Times New Roman" w:hAnsi="Times New Roman"/>
                      <w:color w:val="auto"/>
                      <w:kern w:val="0"/>
                      <w:szCs w:val="21"/>
                    </w:rPr>
                    <w:t>36</w:t>
                  </w:r>
                </w:p>
              </w:tc>
            </w:tr>
            <w:tr w14:paraId="3CD9D7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3662A605">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997" w:type="pct"/>
                  <w:tcBorders>
                    <w:tl2br w:val="nil"/>
                    <w:tr2bl w:val="nil"/>
                  </w:tcBorders>
                  <w:tcMar>
                    <w:top w:w="15" w:type="dxa"/>
                    <w:left w:w="15" w:type="dxa"/>
                    <w:bottom w:w="0" w:type="dxa"/>
                    <w:right w:w="15" w:type="dxa"/>
                  </w:tcMar>
                  <w:vAlign w:val="center"/>
                </w:tcPr>
                <w:p w14:paraId="0187EAF5">
                  <w:pPr>
                    <w:adjustRightInd w:val="0"/>
                    <w:snapToGrid w:val="0"/>
                    <w:jc w:val="center"/>
                    <w:rPr>
                      <w:rFonts w:ascii="Times New Roman" w:hAnsi="Times New Roman"/>
                      <w:color w:val="auto"/>
                      <w:kern w:val="0"/>
                      <w:szCs w:val="21"/>
                    </w:rPr>
                  </w:pPr>
                  <w:r>
                    <w:rPr>
                      <w:rFonts w:ascii="Times New Roman" w:hAnsi="Times New Roman"/>
                      <w:color w:val="auto"/>
                      <w:kern w:val="0"/>
                      <w:szCs w:val="21"/>
                    </w:rPr>
                    <w:t>3.92</w:t>
                  </w:r>
                </w:p>
              </w:tc>
              <w:tc>
                <w:tcPr>
                  <w:tcW w:w="997" w:type="pct"/>
                  <w:tcBorders>
                    <w:tl2br w:val="nil"/>
                    <w:tr2bl w:val="nil"/>
                  </w:tcBorders>
                  <w:tcMar>
                    <w:top w:w="15" w:type="dxa"/>
                    <w:left w:w="15" w:type="dxa"/>
                    <w:bottom w:w="0" w:type="dxa"/>
                    <w:right w:w="15" w:type="dxa"/>
                  </w:tcMar>
                  <w:vAlign w:val="center"/>
                </w:tcPr>
                <w:p w14:paraId="564D6403">
                  <w:pPr>
                    <w:adjustRightInd w:val="0"/>
                    <w:snapToGrid w:val="0"/>
                    <w:jc w:val="center"/>
                    <w:rPr>
                      <w:rFonts w:ascii="Times New Roman" w:hAnsi="Times New Roman"/>
                      <w:color w:val="auto"/>
                      <w:kern w:val="0"/>
                      <w:szCs w:val="21"/>
                    </w:rPr>
                  </w:pPr>
                  <w:r>
                    <w:rPr>
                      <w:rFonts w:ascii="Times New Roman" w:hAnsi="Times New Roman"/>
                      <w:color w:val="auto"/>
                      <w:kern w:val="0"/>
                      <w:szCs w:val="21"/>
                    </w:rPr>
                    <w:t>7.84</w:t>
                  </w:r>
                </w:p>
              </w:tc>
              <w:tc>
                <w:tcPr>
                  <w:tcW w:w="997" w:type="pct"/>
                  <w:tcBorders>
                    <w:tl2br w:val="nil"/>
                    <w:tr2bl w:val="nil"/>
                  </w:tcBorders>
                  <w:tcMar>
                    <w:top w:w="15" w:type="dxa"/>
                    <w:left w:w="15" w:type="dxa"/>
                    <w:bottom w:w="0" w:type="dxa"/>
                    <w:right w:w="15" w:type="dxa"/>
                  </w:tcMar>
                  <w:vAlign w:val="center"/>
                </w:tcPr>
                <w:p w14:paraId="7202AAF8">
                  <w:pPr>
                    <w:adjustRightInd w:val="0"/>
                    <w:snapToGrid w:val="0"/>
                    <w:jc w:val="center"/>
                    <w:rPr>
                      <w:rFonts w:ascii="Times New Roman" w:hAnsi="Times New Roman"/>
                      <w:color w:val="auto"/>
                      <w:kern w:val="0"/>
                      <w:szCs w:val="21"/>
                    </w:rPr>
                  </w:pPr>
                  <w:r>
                    <w:rPr>
                      <w:rFonts w:ascii="Times New Roman" w:hAnsi="Times New Roman"/>
                      <w:color w:val="auto"/>
                      <w:kern w:val="0"/>
                      <w:szCs w:val="21"/>
                    </w:rPr>
                    <w:t>17.65</w:t>
                  </w:r>
                </w:p>
              </w:tc>
              <w:tc>
                <w:tcPr>
                  <w:tcW w:w="997" w:type="pct"/>
                  <w:tcBorders>
                    <w:tl2br w:val="nil"/>
                    <w:tr2bl w:val="nil"/>
                  </w:tcBorders>
                  <w:tcMar>
                    <w:top w:w="15" w:type="dxa"/>
                    <w:left w:w="15" w:type="dxa"/>
                    <w:bottom w:w="0" w:type="dxa"/>
                    <w:right w:w="15" w:type="dxa"/>
                  </w:tcMar>
                  <w:vAlign w:val="center"/>
                </w:tcPr>
                <w:p w14:paraId="6B65D644">
                  <w:pPr>
                    <w:adjustRightInd w:val="0"/>
                    <w:snapToGrid w:val="0"/>
                    <w:jc w:val="center"/>
                    <w:rPr>
                      <w:rFonts w:ascii="Times New Roman" w:hAnsi="Times New Roman"/>
                      <w:color w:val="auto"/>
                      <w:kern w:val="0"/>
                      <w:szCs w:val="21"/>
                    </w:rPr>
                  </w:pPr>
                  <w:r>
                    <w:rPr>
                      <w:rFonts w:ascii="Times New Roman" w:hAnsi="Times New Roman"/>
                      <w:color w:val="auto"/>
                      <w:kern w:val="0"/>
                      <w:szCs w:val="21"/>
                    </w:rPr>
                    <w:t>70.59</w:t>
                  </w:r>
                </w:p>
              </w:tc>
            </w:tr>
          </w:tbl>
          <w:p w14:paraId="0C2874A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lang w:val="zh-CN"/>
              </w:rPr>
              <w:t>评价区鸟类共有繁殖鸟类45种，繁殖鸟类区系以东洋界物种为主，符合区域鸟类分布规律。</w:t>
            </w:r>
          </w:p>
          <w:p w14:paraId="070F673C">
            <w:pPr>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3-13</w:t>
            </w:r>
            <w:r>
              <w:rPr>
                <w:rFonts w:ascii="Times New Roman" w:hAnsi="Times New Roman"/>
                <w:b/>
                <w:color w:val="auto"/>
                <w:sz w:val="24"/>
                <w:szCs w:val="24"/>
              </w:rPr>
              <w:t xml:space="preserve">  评价区繁殖鸟类区系成分</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2647"/>
              <w:gridCol w:w="3011"/>
              <w:gridCol w:w="2769"/>
            </w:tblGrid>
            <w:tr w14:paraId="7EB82F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74F8305A">
                  <w:pPr>
                    <w:adjustRightInd w:val="0"/>
                    <w:snapToGrid w:val="0"/>
                    <w:jc w:val="center"/>
                    <w:rPr>
                      <w:rFonts w:ascii="Times New Roman" w:hAnsi="Times New Roman"/>
                      <w:color w:val="auto"/>
                      <w:kern w:val="0"/>
                      <w:szCs w:val="21"/>
                    </w:rPr>
                  </w:pPr>
                  <w:r>
                    <w:rPr>
                      <w:rFonts w:ascii="Times New Roman" w:hAnsi="Times New Roman"/>
                      <w:color w:val="auto"/>
                      <w:kern w:val="0"/>
                      <w:szCs w:val="21"/>
                    </w:rPr>
                    <w:t>繁殖鸟</w:t>
                  </w:r>
                </w:p>
              </w:tc>
              <w:tc>
                <w:tcPr>
                  <w:tcW w:w="1786" w:type="pct"/>
                  <w:tcBorders>
                    <w:tl2br w:val="nil"/>
                    <w:tr2bl w:val="nil"/>
                  </w:tcBorders>
                  <w:vAlign w:val="center"/>
                </w:tcPr>
                <w:p w14:paraId="7063D871">
                  <w:pPr>
                    <w:adjustRightInd w:val="0"/>
                    <w:snapToGrid w:val="0"/>
                    <w:jc w:val="center"/>
                    <w:rPr>
                      <w:rFonts w:ascii="Times New Roman" w:hAnsi="Times New Roman"/>
                      <w:color w:val="auto"/>
                      <w:kern w:val="0"/>
                      <w:szCs w:val="21"/>
                    </w:rPr>
                  </w:pPr>
                  <w:r>
                    <w:rPr>
                      <w:rFonts w:ascii="Times New Roman" w:hAnsi="Times New Roman"/>
                      <w:color w:val="auto"/>
                      <w:kern w:val="0"/>
                      <w:szCs w:val="21"/>
                    </w:rPr>
                    <w:t>种数</w:t>
                  </w:r>
                </w:p>
              </w:tc>
              <w:tc>
                <w:tcPr>
                  <w:tcW w:w="1642" w:type="pct"/>
                  <w:tcBorders>
                    <w:tl2br w:val="nil"/>
                    <w:tr2bl w:val="nil"/>
                  </w:tcBorders>
                  <w:vAlign w:val="center"/>
                </w:tcPr>
                <w:p w14:paraId="417348AF">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r>
            <w:tr w14:paraId="646A31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7AF4B863">
                  <w:pPr>
                    <w:adjustRightInd w:val="0"/>
                    <w:snapToGrid w:val="0"/>
                    <w:jc w:val="center"/>
                    <w:rPr>
                      <w:rFonts w:ascii="Times New Roman" w:hAnsi="Times New Roman"/>
                      <w:color w:val="auto"/>
                      <w:kern w:val="0"/>
                      <w:szCs w:val="21"/>
                    </w:rPr>
                  </w:pPr>
                  <w:r>
                    <w:rPr>
                      <w:rFonts w:ascii="Times New Roman" w:hAnsi="Times New Roman"/>
                      <w:color w:val="auto"/>
                      <w:kern w:val="0"/>
                      <w:szCs w:val="21"/>
                    </w:rPr>
                    <w:t>古北种</w:t>
                  </w:r>
                </w:p>
              </w:tc>
              <w:tc>
                <w:tcPr>
                  <w:tcW w:w="1786" w:type="pct"/>
                  <w:tcBorders>
                    <w:tl2br w:val="nil"/>
                    <w:tr2bl w:val="nil"/>
                  </w:tcBorders>
                  <w:vAlign w:val="center"/>
                </w:tcPr>
                <w:p w14:paraId="19529F2F">
                  <w:pPr>
                    <w:adjustRightInd w:val="0"/>
                    <w:snapToGrid w:val="0"/>
                    <w:jc w:val="center"/>
                    <w:rPr>
                      <w:rFonts w:ascii="Times New Roman" w:hAnsi="Times New Roman"/>
                      <w:color w:val="auto"/>
                      <w:kern w:val="0"/>
                      <w:szCs w:val="21"/>
                    </w:rPr>
                  </w:pPr>
                  <w:r>
                    <w:rPr>
                      <w:rFonts w:ascii="Times New Roman" w:hAnsi="Times New Roman"/>
                      <w:color w:val="auto"/>
                      <w:kern w:val="0"/>
                      <w:szCs w:val="21"/>
                    </w:rPr>
                    <w:t>3</w:t>
                  </w:r>
                </w:p>
              </w:tc>
              <w:tc>
                <w:tcPr>
                  <w:tcW w:w="1642" w:type="pct"/>
                  <w:tcBorders>
                    <w:tl2br w:val="nil"/>
                    <w:tr2bl w:val="nil"/>
                  </w:tcBorders>
                  <w:vAlign w:val="center"/>
                </w:tcPr>
                <w:p w14:paraId="11B1933C">
                  <w:pPr>
                    <w:adjustRightInd w:val="0"/>
                    <w:snapToGrid w:val="0"/>
                    <w:jc w:val="center"/>
                    <w:rPr>
                      <w:rFonts w:ascii="Times New Roman" w:hAnsi="Times New Roman"/>
                      <w:color w:val="auto"/>
                      <w:kern w:val="0"/>
                      <w:szCs w:val="21"/>
                    </w:rPr>
                  </w:pPr>
                  <w:r>
                    <w:rPr>
                      <w:rFonts w:ascii="Times New Roman" w:hAnsi="Times New Roman"/>
                      <w:color w:val="auto"/>
                      <w:kern w:val="0"/>
                      <w:szCs w:val="21"/>
                    </w:rPr>
                    <w:t>6.67</w:t>
                  </w:r>
                </w:p>
              </w:tc>
            </w:tr>
            <w:tr w14:paraId="32F01E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58F4FBC7">
                  <w:pPr>
                    <w:adjustRightInd w:val="0"/>
                    <w:snapToGrid w:val="0"/>
                    <w:jc w:val="center"/>
                    <w:rPr>
                      <w:rFonts w:ascii="Times New Roman" w:hAnsi="Times New Roman"/>
                      <w:color w:val="auto"/>
                      <w:kern w:val="0"/>
                      <w:szCs w:val="21"/>
                    </w:rPr>
                  </w:pPr>
                  <w:r>
                    <w:rPr>
                      <w:rFonts w:ascii="Times New Roman" w:hAnsi="Times New Roman"/>
                      <w:color w:val="auto"/>
                      <w:kern w:val="0"/>
                      <w:szCs w:val="21"/>
                    </w:rPr>
                    <w:t>东洋种</w:t>
                  </w:r>
                </w:p>
              </w:tc>
              <w:tc>
                <w:tcPr>
                  <w:tcW w:w="1786" w:type="pct"/>
                  <w:tcBorders>
                    <w:tl2br w:val="nil"/>
                    <w:tr2bl w:val="nil"/>
                  </w:tcBorders>
                  <w:vAlign w:val="center"/>
                </w:tcPr>
                <w:p w14:paraId="496BDB35">
                  <w:pPr>
                    <w:adjustRightInd w:val="0"/>
                    <w:snapToGrid w:val="0"/>
                    <w:jc w:val="center"/>
                    <w:rPr>
                      <w:rFonts w:ascii="Times New Roman" w:hAnsi="Times New Roman"/>
                      <w:color w:val="auto"/>
                      <w:kern w:val="0"/>
                      <w:szCs w:val="21"/>
                    </w:rPr>
                  </w:pPr>
                  <w:r>
                    <w:rPr>
                      <w:rFonts w:ascii="Times New Roman" w:hAnsi="Times New Roman"/>
                      <w:color w:val="auto"/>
                      <w:kern w:val="0"/>
                      <w:szCs w:val="21"/>
                    </w:rPr>
                    <w:t>26</w:t>
                  </w:r>
                </w:p>
              </w:tc>
              <w:tc>
                <w:tcPr>
                  <w:tcW w:w="1642" w:type="pct"/>
                  <w:tcBorders>
                    <w:tl2br w:val="nil"/>
                    <w:tr2bl w:val="nil"/>
                  </w:tcBorders>
                  <w:vAlign w:val="center"/>
                </w:tcPr>
                <w:p w14:paraId="49C558E5">
                  <w:pPr>
                    <w:adjustRightInd w:val="0"/>
                    <w:snapToGrid w:val="0"/>
                    <w:jc w:val="center"/>
                    <w:rPr>
                      <w:rFonts w:ascii="Times New Roman" w:hAnsi="Times New Roman"/>
                      <w:color w:val="auto"/>
                      <w:kern w:val="0"/>
                      <w:szCs w:val="21"/>
                    </w:rPr>
                  </w:pPr>
                  <w:r>
                    <w:rPr>
                      <w:rFonts w:ascii="Times New Roman" w:hAnsi="Times New Roman"/>
                      <w:color w:val="auto"/>
                      <w:kern w:val="0"/>
                      <w:szCs w:val="21"/>
                    </w:rPr>
                    <w:t>50.98</w:t>
                  </w:r>
                </w:p>
              </w:tc>
            </w:tr>
            <w:tr w14:paraId="6525CE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40CD6378">
                  <w:pPr>
                    <w:adjustRightInd w:val="0"/>
                    <w:snapToGrid w:val="0"/>
                    <w:jc w:val="center"/>
                    <w:rPr>
                      <w:rFonts w:ascii="Times New Roman" w:hAnsi="Times New Roman"/>
                      <w:color w:val="auto"/>
                      <w:kern w:val="0"/>
                      <w:szCs w:val="21"/>
                    </w:rPr>
                  </w:pPr>
                  <w:r>
                    <w:rPr>
                      <w:rFonts w:ascii="Times New Roman" w:hAnsi="Times New Roman"/>
                      <w:color w:val="auto"/>
                      <w:kern w:val="0"/>
                      <w:szCs w:val="21"/>
                    </w:rPr>
                    <w:t>广布种</w:t>
                  </w:r>
                </w:p>
              </w:tc>
              <w:tc>
                <w:tcPr>
                  <w:tcW w:w="1786" w:type="pct"/>
                  <w:tcBorders>
                    <w:tl2br w:val="nil"/>
                    <w:tr2bl w:val="nil"/>
                  </w:tcBorders>
                  <w:vAlign w:val="center"/>
                </w:tcPr>
                <w:p w14:paraId="226DBAD4">
                  <w:pPr>
                    <w:adjustRightInd w:val="0"/>
                    <w:snapToGrid w:val="0"/>
                    <w:jc w:val="center"/>
                    <w:rPr>
                      <w:rFonts w:ascii="Times New Roman" w:hAnsi="Times New Roman"/>
                      <w:color w:val="auto"/>
                      <w:kern w:val="0"/>
                      <w:szCs w:val="21"/>
                    </w:rPr>
                  </w:pPr>
                  <w:r>
                    <w:rPr>
                      <w:rFonts w:ascii="Times New Roman" w:hAnsi="Times New Roman"/>
                      <w:color w:val="auto"/>
                      <w:kern w:val="0"/>
                      <w:szCs w:val="21"/>
                    </w:rPr>
                    <w:t>16</w:t>
                  </w:r>
                </w:p>
              </w:tc>
              <w:tc>
                <w:tcPr>
                  <w:tcW w:w="1642" w:type="pct"/>
                  <w:tcBorders>
                    <w:tl2br w:val="nil"/>
                    <w:tr2bl w:val="nil"/>
                  </w:tcBorders>
                  <w:vAlign w:val="center"/>
                </w:tcPr>
                <w:p w14:paraId="66A50E63">
                  <w:pPr>
                    <w:adjustRightInd w:val="0"/>
                    <w:snapToGrid w:val="0"/>
                    <w:jc w:val="center"/>
                    <w:rPr>
                      <w:rFonts w:ascii="Times New Roman" w:hAnsi="Times New Roman"/>
                      <w:color w:val="auto"/>
                      <w:kern w:val="0"/>
                      <w:szCs w:val="21"/>
                    </w:rPr>
                  </w:pPr>
                  <w:r>
                    <w:rPr>
                      <w:rFonts w:ascii="Times New Roman" w:hAnsi="Times New Roman"/>
                      <w:color w:val="auto"/>
                      <w:kern w:val="0"/>
                      <w:szCs w:val="21"/>
                    </w:rPr>
                    <w:t>42.35</w:t>
                  </w:r>
                </w:p>
              </w:tc>
            </w:tr>
            <w:tr w14:paraId="6C44CA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7678521D">
                  <w:pPr>
                    <w:adjustRightInd w:val="0"/>
                    <w:snapToGrid w:val="0"/>
                    <w:jc w:val="center"/>
                    <w:rPr>
                      <w:rFonts w:ascii="Times New Roman" w:hAnsi="Times New Roman"/>
                      <w:color w:val="auto"/>
                      <w:kern w:val="0"/>
                      <w:szCs w:val="21"/>
                    </w:rPr>
                  </w:pPr>
                  <w:r>
                    <w:rPr>
                      <w:rFonts w:ascii="Times New Roman" w:hAnsi="Times New Roman"/>
                      <w:color w:val="auto"/>
                      <w:kern w:val="0"/>
                      <w:szCs w:val="21"/>
                    </w:rPr>
                    <w:t>合  计</w:t>
                  </w:r>
                </w:p>
              </w:tc>
              <w:tc>
                <w:tcPr>
                  <w:tcW w:w="1786" w:type="pct"/>
                  <w:tcBorders>
                    <w:tl2br w:val="nil"/>
                    <w:tr2bl w:val="nil"/>
                  </w:tcBorders>
                  <w:vAlign w:val="center"/>
                </w:tcPr>
                <w:p w14:paraId="00F32A9C">
                  <w:pPr>
                    <w:adjustRightInd w:val="0"/>
                    <w:snapToGrid w:val="0"/>
                    <w:jc w:val="center"/>
                    <w:rPr>
                      <w:rFonts w:ascii="Times New Roman" w:hAnsi="Times New Roman"/>
                      <w:color w:val="auto"/>
                      <w:kern w:val="0"/>
                      <w:szCs w:val="21"/>
                    </w:rPr>
                  </w:pPr>
                  <w:r>
                    <w:rPr>
                      <w:rFonts w:ascii="Times New Roman" w:hAnsi="Times New Roman"/>
                      <w:color w:val="auto"/>
                      <w:kern w:val="0"/>
                      <w:szCs w:val="21"/>
                    </w:rPr>
                    <w:t>45</w:t>
                  </w:r>
                </w:p>
              </w:tc>
              <w:tc>
                <w:tcPr>
                  <w:tcW w:w="1642" w:type="pct"/>
                  <w:tcBorders>
                    <w:tl2br w:val="nil"/>
                    <w:tr2bl w:val="nil"/>
                  </w:tcBorders>
                  <w:vAlign w:val="center"/>
                </w:tcPr>
                <w:p w14:paraId="0BB650C2">
                  <w:pPr>
                    <w:adjustRightInd w:val="0"/>
                    <w:snapToGrid w:val="0"/>
                    <w:jc w:val="center"/>
                    <w:rPr>
                      <w:rFonts w:ascii="Times New Roman" w:hAnsi="Times New Roman"/>
                      <w:color w:val="auto"/>
                      <w:kern w:val="0"/>
                      <w:szCs w:val="21"/>
                    </w:rPr>
                  </w:pPr>
                  <w:r>
                    <w:rPr>
                      <w:rFonts w:ascii="Times New Roman" w:hAnsi="Times New Roman"/>
                      <w:color w:val="auto"/>
                      <w:kern w:val="0"/>
                      <w:szCs w:val="21"/>
                    </w:rPr>
                    <w:t>100</w:t>
                  </w:r>
                </w:p>
              </w:tc>
            </w:tr>
          </w:tbl>
          <w:p w14:paraId="26248216">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从上表可知，在评价区内繁殖的鸟类中，古北种仅占有很小的比例，主要为东洋种，占50.98%，其次为广布种，占42.35%。</w:t>
            </w:r>
          </w:p>
          <w:p w14:paraId="619F4801">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④哺乳类</w:t>
            </w:r>
          </w:p>
          <w:p w14:paraId="369A292D">
            <w:pPr>
              <w:adjustRightInd w:val="0"/>
              <w:snapToGrid w:val="0"/>
              <w:spacing w:line="440" w:lineRule="exact"/>
              <w:ind w:firstLine="480" w:firstLineChars="200"/>
              <w:rPr>
                <w:rFonts w:ascii="Times New Roman" w:hAnsi="Times New Roman"/>
                <w:color w:val="auto"/>
                <w:sz w:val="24"/>
                <w:szCs w:val="24"/>
                <w:lang w:val="zh-CN"/>
              </w:rPr>
            </w:pPr>
            <w:bookmarkStart w:id="76" w:name="_Toc52191726"/>
            <w:r>
              <w:rPr>
                <w:rFonts w:ascii="Times New Roman" w:hAnsi="Times New Roman"/>
                <w:color w:val="auto"/>
                <w:sz w:val="24"/>
                <w:szCs w:val="24"/>
                <w:lang w:val="zh-CN"/>
              </w:rPr>
              <w:t>在评价区分布的</w:t>
            </w:r>
            <w:r>
              <w:rPr>
                <w:rFonts w:ascii="Times New Roman" w:hAnsi="Times New Roman"/>
                <w:color w:val="auto"/>
                <w:sz w:val="24"/>
                <w:szCs w:val="24"/>
              </w:rPr>
              <w:t>10</w:t>
            </w:r>
            <w:r>
              <w:rPr>
                <w:rFonts w:ascii="Times New Roman" w:hAnsi="Times New Roman"/>
                <w:color w:val="auto"/>
                <w:sz w:val="24"/>
                <w:szCs w:val="24"/>
                <w:lang w:val="zh-CN"/>
              </w:rPr>
              <w:t>种哺乳动物中，东洋界种类占优势，有8种，占全部哺乳动物种数的</w:t>
            </w:r>
            <w:r>
              <w:rPr>
                <w:rFonts w:ascii="Times New Roman" w:hAnsi="Times New Roman"/>
                <w:color w:val="auto"/>
                <w:sz w:val="24"/>
                <w:szCs w:val="24"/>
              </w:rPr>
              <w:t>80</w:t>
            </w:r>
            <w:r>
              <w:rPr>
                <w:rFonts w:ascii="Times New Roman" w:hAnsi="Times New Roman"/>
                <w:color w:val="auto"/>
                <w:sz w:val="24"/>
                <w:szCs w:val="24"/>
                <w:lang w:val="zh-CN"/>
              </w:rPr>
              <w:t>%；古北东洋两界共有种类有</w:t>
            </w:r>
            <w:r>
              <w:rPr>
                <w:rFonts w:hint="eastAsia" w:ascii="Times New Roman" w:hAnsi="Times New Roman"/>
                <w:color w:val="auto"/>
                <w:sz w:val="24"/>
                <w:szCs w:val="24"/>
              </w:rPr>
              <w:t>2</w:t>
            </w:r>
            <w:r>
              <w:rPr>
                <w:rFonts w:ascii="Times New Roman" w:hAnsi="Times New Roman"/>
                <w:color w:val="auto"/>
                <w:sz w:val="24"/>
                <w:szCs w:val="24"/>
                <w:lang w:val="zh-CN"/>
              </w:rPr>
              <w:t>种，占全部哺乳动物种数的</w:t>
            </w:r>
            <w:r>
              <w:rPr>
                <w:rFonts w:ascii="Times New Roman" w:hAnsi="Times New Roman"/>
                <w:color w:val="auto"/>
                <w:sz w:val="24"/>
                <w:szCs w:val="24"/>
              </w:rPr>
              <w:t>20</w:t>
            </w:r>
            <w:r>
              <w:rPr>
                <w:rFonts w:ascii="Times New Roman" w:hAnsi="Times New Roman"/>
                <w:color w:val="auto"/>
                <w:sz w:val="24"/>
                <w:szCs w:val="24"/>
                <w:lang w:val="zh-CN"/>
              </w:rPr>
              <w:t>%；迄今为止未发现有古北界种类分布。在东洋界种类中，东洋界广布种占优势，有6种，约占全部东洋界种数的</w:t>
            </w:r>
            <w:r>
              <w:rPr>
                <w:rFonts w:ascii="Times New Roman" w:hAnsi="Times New Roman"/>
                <w:color w:val="auto"/>
                <w:sz w:val="24"/>
                <w:szCs w:val="24"/>
              </w:rPr>
              <w:t>75</w:t>
            </w:r>
            <w:r>
              <w:rPr>
                <w:rFonts w:ascii="Times New Roman" w:hAnsi="Times New Roman"/>
                <w:color w:val="auto"/>
                <w:sz w:val="24"/>
                <w:szCs w:val="24"/>
                <w:lang w:val="zh-CN"/>
              </w:rPr>
              <w:t>%；西南区种类有2种，占全部东洋界种数的</w:t>
            </w:r>
            <w:r>
              <w:rPr>
                <w:rFonts w:ascii="Times New Roman" w:hAnsi="Times New Roman"/>
                <w:color w:val="auto"/>
                <w:sz w:val="24"/>
                <w:szCs w:val="24"/>
              </w:rPr>
              <w:t>25</w:t>
            </w:r>
            <w:r>
              <w:rPr>
                <w:rFonts w:ascii="Times New Roman" w:hAnsi="Times New Roman"/>
                <w:color w:val="auto"/>
                <w:sz w:val="24"/>
                <w:szCs w:val="24"/>
                <w:lang w:val="zh-CN"/>
              </w:rPr>
              <w:t>%；无华南区种类和华中区种类分布；也无华中华南区种类分布。</w:t>
            </w:r>
          </w:p>
          <w:p w14:paraId="532A82E1">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⑤区系小结</w:t>
            </w:r>
          </w:p>
          <w:p w14:paraId="20EBE24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lang w:val="zh-CN"/>
              </w:rPr>
              <w:t>评价区所处区域在中国动物地理区划中属于东洋界西南区西南山地亚区。归纳评价区分布的陆栖脊椎动物区系特点，各纲动物在细节上有所差异，但从分界特征上看大致是一致的，各纲动物均以东洋界种类为主要成分，没有或少有古北界成分。上述情况与当地在中国动物地理区划中的位置大致相符。</w:t>
            </w:r>
            <w:bookmarkEnd w:id="76"/>
          </w:p>
          <w:p w14:paraId="1454B741">
            <w:pPr>
              <w:pStyle w:val="6"/>
              <w:adjustRightInd w:val="0"/>
              <w:snapToGrid w:val="0"/>
              <w:spacing w:line="440" w:lineRule="exact"/>
              <w:ind w:firstLine="482" w:firstLineChars="200"/>
              <w:rPr>
                <w:rFonts w:ascii="Times New Roman" w:hAnsi="Times New Roman"/>
                <w:color w:val="auto"/>
                <w:szCs w:val="24"/>
                <w:highlight w:val="none"/>
              </w:rPr>
            </w:pPr>
            <w:r>
              <w:rPr>
                <w:rFonts w:hint="eastAsia" w:ascii="Times New Roman" w:hAnsi="Times New Roman"/>
                <w:color w:val="auto"/>
                <w:szCs w:val="24"/>
              </w:rPr>
              <w:t>（4）</w:t>
            </w:r>
            <w:bookmarkStart w:id="77" w:name="_Hlk191209632"/>
            <w:r>
              <w:rPr>
                <w:rFonts w:ascii="Times New Roman" w:hAnsi="Times New Roman"/>
                <w:color w:val="auto"/>
                <w:szCs w:val="24"/>
              </w:rPr>
              <w:t>评价</w:t>
            </w:r>
            <w:r>
              <w:rPr>
                <w:rFonts w:ascii="Times New Roman" w:hAnsi="Times New Roman"/>
                <w:color w:val="auto"/>
                <w:szCs w:val="24"/>
                <w:highlight w:val="none"/>
              </w:rPr>
              <w:t>区内重要野生动物</w:t>
            </w:r>
          </w:p>
          <w:bookmarkEnd w:id="77"/>
          <w:p w14:paraId="1106FCF3">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评价区内分布有国家级保护野生动物5种，均为国家II级重点保护野生动物</w:t>
            </w:r>
            <w:r>
              <w:rPr>
                <w:rFonts w:hint="eastAsia" w:ascii="Times New Roman" w:hAnsi="Times New Roman"/>
                <w:color w:val="auto"/>
                <w:sz w:val="24"/>
                <w:szCs w:val="24"/>
                <w:lang w:val="zh-CN"/>
              </w:rPr>
              <w:t>，</w:t>
            </w:r>
            <w:r>
              <w:rPr>
                <w:rFonts w:hint="eastAsia" w:ascii="Times New Roman" w:hAnsi="Times New Roman"/>
                <w:color w:val="auto"/>
                <w:sz w:val="24"/>
                <w:szCs w:val="24"/>
                <w:lang w:val="en-US" w:eastAsia="zh-CN"/>
              </w:rPr>
              <w:t>其中1种</w:t>
            </w:r>
            <w:r>
              <w:rPr>
                <w:rFonts w:ascii="Times New Roman" w:hAnsi="Times New Roman"/>
                <w:color w:val="auto"/>
                <w:sz w:val="24"/>
                <w:szCs w:val="24"/>
                <w:lang w:val="zh-CN"/>
              </w:rPr>
              <w:t>《中国生物多样性红色名录》</w:t>
            </w:r>
            <w:r>
              <w:rPr>
                <w:rFonts w:hint="eastAsia" w:ascii="Times New Roman" w:hAnsi="Times New Roman"/>
                <w:color w:val="auto"/>
                <w:sz w:val="24"/>
                <w:szCs w:val="24"/>
                <w:lang w:val="zh-CN"/>
              </w:rPr>
              <w:t>VU物种，为豹猫</w:t>
            </w:r>
            <w:r>
              <w:rPr>
                <w:rFonts w:ascii="Times New Roman" w:hAnsi="Times New Roman"/>
                <w:color w:val="auto"/>
                <w:sz w:val="24"/>
                <w:szCs w:val="24"/>
                <w:lang w:val="zh-CN"/>
              </w:rPr>
              <w:t>。</w:t>
            </w:r>
          </w:p>
          <w:p w14:paraId="5422C2EE">
            <w:pPr>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3-14</w:t>
            </w:r>
            <w:r>
              <w:rPr>
                <w:rFonts w:ascii="Times New Roman" w:hAnsi="Times New Roman"/>
                <w:b/>
                <w:color w:val="auto"/>
                <w:sz w:val="24"/>
                <w:szCs w:val="32"/>
              </w:rPr>
              <w:t xml:space="preserve">  环境影响评价区国家及云南省重点保护野生动物</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90"/>
              <w:gridCol w:w="3571"/>
              <w:gridCol w:w="2265"/>
            </w:tblGrid>
            <w:tr w14:paraId="26A838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tcBorders>
                    <w:tl2br w:val="nil"/>
                    <w:tr2bl w:val="nil"/>
                  </w:tcBorders>
                  <w:noWrap/>
                  <w:vAlign w:val="center"/>
                </w:tcPr>
                <w:p w14:paraId="549CF755">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类群</w:t>
                  </w:r>
                </w:p>
              </w:tc>
              <w:tc>
                <w:tcPr>
                  <w:tcW w:w="2119" w:type="pct"/>
                  <w:tcBorders>
                    <w:tl2br w:val="nil"/>
                    <w:tr2bl w:val="nil"/>
                  </w:tcBorders>
                  <w:noWrap/>
                  <w:vAlign w:val="center"/>
                </w:tcPr>
                <w:p w14:paraId="24C94DAC">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中文名/学名</w:t>
                  </w:r>
                </w:p>
              </w:tc>
              <w:tc>
                <w:tcPr>
                  <w:tcW w:w="1344" w:type="pct"/>
                  <w:tcBorders>
                    <w:tl2br w:val="nil"/>
                    <w:tr2bl w:val="nil"/>
                  </w:tcBorders>
                  <w:noWrap/>
                  <w:vAlign w:val="center"/>
                </w:tcPr>
                <w:p w14:paraId="59B5987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保护现状</w:t>
                  </w:r>
                </w:p>
              </w:tc>
            </w:tr>
            <w:tr w14:paraId="7418F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restart"/>
                  <w:tcBorders>
                    <w:tl2br w:val="nil"/>
                    <w:tr2bl w:val="nil"/>
                  </w:tcBorders>
                  <w:shd w:val="clear" w:color="auto" w:fill="auto"/>
                  <w:noWrap/>
                  <w:vAlign w:val="center"/>
                </w:tcPr>
                <w:p w14:paraId="1E82A93F">
                  <w:pPr>
                    <w:adjustRightInd w:val="0"/>
                    <w:snapToGrid w:val="0"/>
                    <w:jc w:val="center"/>
                    <w:rPr>
                      <w:rFonts w:ascii="Times New Roman" w:hAnsi="Times New Roman"/>
                      <w:color w:val="auto"/>
                      <w:kern w:val="0"/>
                      <w:szCs w:val="21"/>
                    </w:rPr>
                  </w:pPr>
                  <w:r>
                    <w:rPr>
                      <w:rFonts w:ascii="Times New Roman" w:hAnsi="Times New Roman"/>
                      <w:color w:val="auto"/>
                      <w:kern w:val="0"/>
                      <w:szCs w:val="21"/>
                    </w:rPr>
                    <w:t>鸟纲AVES</w:t>
                  </w:r>
                </w:p>
              </w:tc>
              <w:tc>
                <w:tcPr>
                  <w:tcW w:w="2119" w:type="pct"/>
                  <w:tcBorders>
                    <w:tl2br w:val="nil"/>
                    <w:tr2bl w:val="nil"/>
                  </w:tcBorders>
                  <w:noWrap/>
                  <w:vAlign w:val="center"/>
                </w:tcPr>
                <w:p w14:paraId="15A39FFE">
                  <w:pPr>
                    <w:adjustRightInd w:val="0"/>
                    <w:snapToGrid w:val="0"/>
                    <w:jc w:val="center"/>
                    <w:rPr>
                      <w:rFonts w:ascii="Times New Roman" w:hAnsi="Times New Roman"/>
                      <w:i/>
                      <w:iCs/>
                      <w:color w:val="auto"/>
                      <w:kern w:val="0"/>
                      <w:szCs w:val="21"/>
                    </w:rPr>
                  </w:pPr>
                  <w:r>
                    <w:rPr>
                      <w:rFonts w:ascii="Times New Roman" w:hAnsi="Times New Roman"/>
                      <w:color w:val="auto"/>
                      <w:kern w:val="0"/>
                      <w:szCs w:val="21"/>
                    </w:rPr>
                    <w:t>松雀鹰</w:t>
                  </w:r>
                  <w:r>
                    <w:rPr>
                      <w:rFonts w:ascii="Times New Roman" w:hAnsi="Times New Roman"/>
                      <w:i/>
                      <w:iCs/>
                      <w:color w:val="auto"/>
                      <w:kern w:val="0"/>
                      <w:szCs w:val="21"/>
                    </w:rPr>
                    <w:t>Accipiter virgatus</w:t>
                  </w:r>
                </w:p>
              </w:tc>
              <w:tc>
                <w:tcPr>
                  <w:tcW w:w="1344" w:type="pct"/>
                  <w:tcBorders>
                    <w:tl2br w:val="nil"/>
                    <w:tr2bl w:val="nil"/>
                  </w:tcBorders>
                  <w:noWrap/>
                  <w:vAlign w:val="center"/>
                </w:tcPr>
                <w:p w14:paraId="413D9F67">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国家II级</w:t>
                  </w:r>
                </w:p>
              </w:tc>
            </w:tr>
            <w:tr w14:paraId="30C26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7D5D2FA6">
                  <w:pPr>
                    <w:adjustRightInd w:val="0"/>
                    <w:snapToGrid w:val="0"/>
                    <w:jc w:val="center"/>
                    <w:rPr>
                      <w:rFonts w:ascii="Times New Roman" w:hAnsi="Times New Roman"/>
                      <w:color w:val="auto"/>
                      <w:kern w:val="0"/>
                      <w:szCs w:val="21"/>
                    </w:rPr>
                  </w:pPr>
                </w:p>
              </w:tc>
              <w:tc>
                <w:tcPr>
                  <w:tcW w:w="2119" w:type="pct"/>
                  <w:tcBorders>
                    <w:tl2br w:val="nil"/>
                    <w:tr2bl w:val="nil"/>
                  </w:tcBorders>
                  <w:noWrap/>
                  <w:vAlign w:val="center"/>
                </w:tcPr>
                <w:p w14:paraId="7AF9F035">
                  <w:pPr>
                    <w:adjustRightInd w:val="0"/>
                    <w:snapToGrid w:val="0"/>
                    <w:jc w:val="center"/>
                    <w:rPr>
                      <w:rFonts w:ascii="Times New Roman" w:hAnsi="Times New Roman"/>
                      <w:i/>
                      <w:iCs/>
                      <w:color w:val="auto"/>
                      <w:kern w:val="0"/>
                      <w:szCs w:val="21"/>
                    </w:rPr>
                  </w:pPr>
                  <w:r>
                    <w:rPr>
                      <w:rFonts w:ascii="Times New Roman" w:hAnsi="Times New Roman"/>
                      <w:color w:val="auto"/>
                      <w:kern w:val="0"/>
                      <w:szCs w:val="21"/>
                    </w:rPr>
                    <w:t>普通鵟</w:t>
                  </w:r>
                  <w:r>
                    <w:rPr>
                      <w:rFonts w:ascii="Times New Roman" w:hAnsi="Times New Roman"/>
                      <w:i/>
                      <w:iCs/>
                      <w:color w:val="auto"/>
                      <w:kern w:val="0"/>
                      <w:szCs w:val="21"/>
                    </w:rPr>
                    <w:t>Buteo buteo</w:t>
                  </w:r>
                </w:p>
              </w:tc>
              <w:tc>
                <w:tcPr>
                  <w:tcW w:w="1344" w:type="pct"/>
                  <w:tcBorders>
                    <w:tl2br w:val="nil"/>
                    <w:tr2bl w:val="nil"/>
                  </w:tcBorders>
                  <w:noWrap/>
                  <w:vAlign w:val="center"/>
                </w:tcPr>
                <w:p w14:paraId="618119A9">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国家II级</w:t>
                  </w:r>
                </w:p>
              </w:tc>
            </w:tr>
            <w:tr w14:paraId="06158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2C9E0DFB">
                  <w:pPr>
                    <w:adjustRightInd w:val="0"/>
                    <w:snapToGrid w:val="0"/>
                    <w:jc w:val="center"/>
                    <w:rPr>
                      <w:rFonts w:ascii="Times New Roman" w:hAnsi="Times New Roman"/>
                      <w:color w:val="auto"/>
                      <w:kern w:val="0"/>
                      <w:szCs w:val="21"/>
                    </w:rPr>
                  </w:pPr>
                </w:p>
              </w:tc>
              <w:tc>
                <w:tcPr>
                  <w:tcW w:w="2119" w:type="pct"/>
                  <w:tcBorders>
                    <w:tl2br w:val="nil"/>
                    <w:tr2bl w:val="nil"/>
                  </w:tcBorders>
                  <w:noWrap/>
                  <w:vAlign w:val="center"/>
                </w:tcPr>
                <w:p w14:paraId="468B1FB0">
                  <w:pPr>
                    <w:adjustRightInd w:val="0"/>
                    <w:snapToGrid w:val="0"/>
                    <w:jc w:val="center"/>
                    <w:rPr>
                      <w:rFonts w:ascii="Times New Roman" w:hAnsi="Times New Roman"/>
                      <w:i/>
                      <w:iCs/>
                      <w:color w:val="auto"/>
                      <w:kern w:val="0"/>
                      <w:szCs w:val="21"/>
                    </w:rPr>
                  </w:pPr>
                  <w:r>
                    <w:rPr>
                      <w:rFonts w:ascii="Times New Roman" w:hAnsi="Times New Roman"/>
                      <w:color w:val="auto"/>
                      <w:kern w:val="0"/>
                      <w:szCs w:val="21"/>
                    </w:rPr>
                    <w:t>红隼</w:t>
                  </w:r>
                  <w:r>
                    <w:rPr>
                      <w:rFonts w:ascii="Times New Roman" w:hAnsi="Times New Roman"/>
                      <w:i/>
                      <w:color w:val="auto"/>
                      <w:kern w:val="0"/>
                      <w:szCs w:val="21"/>
                    </w:rPr>
                    <w:t>Falco tinnunculus</w:t>
                  </w:r>
                </w:p>
              </w:tc>
              <w:tc>
                <w:tcPr>
                  <w:tcW w:w="1344" w:type="pct"/>
                  <w:tcBorders>
                    <w:tl2br w:val="nil"/>
                    <w:tr2bl w:val="nil"/>
                  </w:tcBorders>
                  <w:noWrap/>
                  <w:vAlign w:val="center"/>
                </w:tcPr>
                <w:p w14:paraId="624B840B">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国家II级</w:t>
                  </w:r>
                </w:p>
              </w:tc>
            </w:tr>
            <w:tr w14:paraId="6AF2E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114BEAEB">
                  <w:pPr>
                    <w:adjustRightInd w:val="0"/>
                    <w:snapToGrid w:val="0"/>
                    <w:jc w:val="center"/>
                    <w:rPr>
                      <w:rFonts w:ascii="Times New Roman" w:hAnsi="Times New Roman"/>
                      <w:color w:val="auto"/>
                      <w:kern w:val="0"/>
                      <w:szCs w:val="21"/>
                    </w:rPr>
                  </w:pPr>
                </w:p>
              </w:tc>
              <w:tc>
                <w:tcPr>
                  <w:tcW w:w="2119" w:type="pct"/>
                  <w:tcBorders>
                    <w:tl2br w:val="nil"/>
                    <w:tr2bl w:val="nil"/>
                  </w:tcBorders>
                  <w:noWrap/>
                  <w:vAlign w:val="center"/>
                </w:tcPr>
                <w:p w14:paraId="2880018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画眉</w:t>
                  </w:r>
                  <w:r>
                    <w:rPr>
                      <w:rFonts w:ascii="Times New Roman" w:hAnsi="Times New Roman"/>
                      <w:i/>
                      <w:iCs/>
                      <w:color w:val="auto"/>
                      <w:kern w:val="0"/>
                      <w:szCs w:val="21"/>
                    </w:rPr>
                    <w:t>Garrulax canorus</w:t>
                  </w:r>
                </w:p>
              </w:tc>
              <w:tc>
                <w:tcPr>
                  <w:tcW w:w="1344" w:type="pct"/>
                  <w:tcBorders>
                    <w:tl2br w:val="nil"/>
                    <w:tr2bl w:val="nil"/>
                  </w:tcBorders>
                  <w:noWrap/>
                  <w:vAlign w:val="center"/>
                </w:tcPr>
                <w:p w14:paraId="51C76ECF">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国家II级</w:t>
                  </w:r>
                </w:p>
              </w:tc>
            </w:tr>
            <w:tr w14:paraId="1991B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tcBorders>
                    <w:tl2br w:val="nil"/>
                    <w:tr2bl w:val="nil"/>
                  </w:tcBorders>
                  <w:shd w:val="clear" w:color="auto" w:fill="auto"/>
                  <w:noWrap/>
                  <w:vAlign w:val="center"/>
                </w:tcPr>
                <w:p w14:paraId="6E4123C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哺乳纲</w:t>
                  </w:r>
                </w:p>
              </w:tc>
              <w:tc>
                <w:tcPr>
                  <w:tcW w:w="2119" w:type="pct"/>
                  <w:tcBorders>
                    <w:tl2br w:val="nil"/>
                    <w:tr2bl w:val="nil"/>
                  </w:tcBorders>
                  <w:noWrap/>
                  <w:vAlign w:val="center"/>
                </w:tcPr>
                <w:p w14:paraId="5406D19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豹猫</w:t>
                  </w:r>
                  <w:r>
                    <w:rPr>
                      <w:rFonts w:ascii="Times New Roman" w:hAnsi="Times New Roman"/>
                      <w:i/>
                      <w:color w:val="auto"/>
                      <w:kern w:val="0"/>
                      <w:szCs w:val="21"/>
                    </w:rPr>
                    <w:t>Prionailurus bengalensis</w:t>
                  </w:r>
                </w:p>
              </w:tc>
              <w:tc>
                <w:tcPr>
                  <w:tcW w:w="1344" w:type="pct"/>
                  <w:tcBorders>
                    <w:tl2br w:val="nil"/>
                    <w:tr2bl w:val="nil"/>
                  </w:tcBorders>
                  <w:noWrap/>
                  <w:vAlign w:val="center"/>
                </w:tcPr>
                <w:p w14:paraId="24A2EE0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国家II级</w:t>
                  </w:r>
                </w:p>
              </w:tc>
            </w:tr>
          </w:tbl>
          <w:p w14:paraId="025F8F85">
            <w:pPr>
              <w:adjustRightInd w:val="0"/>
              <w:snapToGrid w:val="0"/>
              <w:spacing w:line="440" w:lineRule="exact"/>
              <w:ind w:firstLine="498" w:firstLineChars="200"/>
              <w:rPr>
                <w:rFonts w:ascii="Times New Roman" w:hAnsi="Times New Roman"/>
                <w:b/>
                <w:bCs/>
                <w:color w:val="auto"/>
                <w:spacing w:val="4"/>
                <w:sz w:val="24"/>
                <w:szCs w:val="24"/>
              </w:rPr>
            </w:pPr>
            <w:r>
              <w:rPr>
                <w:rFonts w:ascii="Times New Roman" w:hAnsi="Times New Roman"/>
                <w:b/>
                <w:bCs/>
                <w:color w:val="auto"/>
                <w:spacing w:val="4"/>
                <w:sz w:val="24"/>
                <w:szCs w:val="24"/>
              </w:rPr>
              <w:t>①两栖类</w:t>
            </w:r>
          </w:p>
          <w:p w14:paraId="27118728">
            <w:pPr>
              <w:adjustRightInd w:val="0"/>
              <w:snapToGrid w:val="0"/>
              <w:spacing w:line="440" w:lineRule="exact"/>
              <w:ind w:firstLine="496" w:firstLineChars="200"/>
              <w:rPr>
                <w:rFonts w:ascii="Times New Roman" w:hAnsi="Times New Roman"/>
                <w:color w:val="auto"/>
                <w:spacing w:val="4"/>
                <w:sz w:val="24"/>
                <w:szCs w:val="24"/>
              </w:rPr>
            </w:pPr>
            <w:r>
              <w:rPr>
                <w:rFonts w:ascii="Times New Roman" w:hAnsi="Times New Roman"/>
                <w:color w:val="auto"/>
                <w:spacing w:val="4"/>
                <w:sz w:val="24"/>
                <w:szCs w:val="24"/>
              </w:rPr>
              <w:t>在评价区分布的</w:t>
            </w:r>
            <w:r>
              <w:rPr>
                <w:rFonts w:hint="eastAsia" w:ascii="Times New Roman" w:hAnsi="Times New Roman"/>
                <w:color w:val="auto"/>
                <w:spacing w:val="4"/>
                <w:sz w:val="24"/>
                <w:szCs w:val="24"/>
              </w:rPr>
              <w:t>6</w:t>
            </w:r>
            <w:r>
              <w:rPr>
                <w:rFonts w:ascii="Times New Roman" w:hAnsi="Times New Roman"/>
                <w:color w:val="auto"/>
                <w:spacing w:val="4"/>
                <w:sz w:val="24"/>
                <w:szCs w:val="24"/>
              </w:rPr>
              <w:t>种两栖动物中，无国家级和云南省重点保护野生种类分布。调查未发现该地区特有种类分布。</w:t>
            </w:r>
          </w:p>
          <w:p w14:paraId="667AD8F5">
            <w:pPr>
              <w:adjustRightInd w:val="0"/>
              <w:snapToGrid w:val="0"/>
              <w:spacing w:line="440" w:lineRule="exact"/>
              <w:ind w:firstLine="498" w:firstLineChars="200"/>
              <w:rPr>
                <w:rFonts w:ascii="Times New Roman" w:hAnsi="Times New Roman"/>
                <w:b/>
                <w:bCs/>
                <w:color w:val="auto"/>
                <w:spacing w:val="4"/>
                <w:sz w:val="24"/>
                <w:szCs w:val="24"/>
              </w:rPr>
            </w:pPr>
            <w:r>
              <w:rPr>
                <w:rFonts w:ascii="Times New Roman" w:hAnsi="Times New Roman"/>
                <w:b/>
                <w:bCs/>
                <w:color w:val="auto"/>
                <w:spacing w:val="4"/>
                <w:sz w:val="24"/>
                <w:szCs w:val="24"/>
              </w:rPr>
              <w:t>②爬行类</w:t>
            </w:r>
          </w:p>
          <w:p w14:paraId="11E20E2A">
            <w:pPr>
              <w:adjustRightInd w:val="0"/>
              <w:snapToGrid w:val="0"/>
              <w:spacing w:line="440" w:lineRule="exact"/>
              <w:ind w:firstLine="496" w:firstLineChars="200"/>
              <w:rPr>
                <w:rFonts w:ascii="Times New Roman" w:hAnsi="Times New Roman"/>
                <w:color w:val="auto"/>
                <w:spacing w:val="4"/>
                <w:sz w:val="24"/>
                <w:szCs w:val="24"/>
              </w:rPr>
            </w:pPr>
            <w:r>
              <w:rPr>
                <w:rFonts w:ascii="Times New Roman" w:hAnsi="Times New Roman"/>
                <w:color w:val="auto"/>
                <w:spacing w:val="4"/>
                <w:sz w:val="24"/>
                <w:szCs w:val="24"/>
              </w:rPr>
              <w:t>在评价区分布的</w:t>
            </w:r>
            <w:r>
              <w:rPr>
                <w:rFonts w:hint="eastAsia" w:ascii="Times New Roman" w:hAnsi="Times New Roman"/>
                <w:color w:val="auto"/>
                <w:spacing w:val="4"/>
                <w:sz w:val="24"/>
                <w:szCs w:val="24"/>
              </w:rPr>
              <w:t>5</w:t>
            </w:r>
            <w:r>
              <w:rPr>
                <w:rFonts w:ascii="Times New Roman" w:hAnsi="Times New Roman"/>
                <w:color w:val="auto"/>
                <w:spacing w:val="4"/>
                <w:sz w:val="24"/>
                <w:szCs w:val="24"/>
              </w:rPr>
              <w:t>种爬行动物中，无国家级和云南省级重点保护野生动物分布，未发现该地区特有种类。</w:t>
            </w:r>
          </w:p>
          <w:p w14:paraId="28462EF6">
            <w:pPr>
              <w:adjustRightInd w:val="0"/>
              <w:snapToGrid w:val="0"/>
              <w:spacing w:line="440" w:lineRule="exact"/>
              <w:ind w:firstLine="498" w:firstLineChars="200"/>
              <w:rPr>
                <w:rFonts w:ascii="Times New Roman" w:hAnsi="Times New Roman"/>
                <w:b/>
                <w:bCs/>
                <w:color w:val="auto"/>
                <w:spacing w:val="4"/>
                <w:sz w:val="24"/>
                <w:szCs w:val="24"/>
              </w:rPr>
            </w:pPr>
            <w:r>
              <w:rPr>
                <w:rFonts w:ascii="Times New Roman" w:hAnsi="Times New Roman"/>
                <w:b/>
                <w:bCs/>
                <w:color w:val="auto"/>
                <w:spacing w:val="4"/>
                <w:sz w:val="24"/>
                <w:szCs w:val="24"/>
              </w:rPr>
              <w:t>③鸟类</w:t>
            </w:r>
          </w:p>
          <w:p w14:paraId="278454B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在所记录的51种鸟类中，有国家重点保护鸟类4种，分别为：松雀鹰</w:t>
            </w:r>
            <w:r>
              <w:rPr>
                <w:rFonts w:ascii="Times New Roman" w:hAnsi="Times New Roman"/>
                <w:i/>
                <w:color w:val="auto"/>
                <w:sz w:val="24"/>
                <w:szCs w:val="24"/>
              </w:rPr>
              <w:t>Accipiter virgatus</w:t>
            </w:r>
            <w:r>
              <w:rPr>
                <w:rFonts w:ascii="Times New Roman" w:hAnsi="Times New Roman"/>
                <w:color w:val="auto"/>
                <w:sz w:val="24"/>
                <w:szCs w:val="24"/>
              </w:rPr>
              <w:t>、普通鵟</w:t>
            </w:r>
            <w:r>
              <w:rPr>
                <w:rFonts w:ascii="Times New Roman" w:hAnsi="Times New Roman"/>
                <w:i/>
                <w:color w:val="auto"/>
                <w:sz w:val="24"/>
                <w:szCs w:val="24"/>
              </w:rPr>
              <w:t>Buteo buteo</w:t>
            </w:r>
            <w:r>
              <w:rPr>
                <w:rFonts w:hint="eastAsia" w:ascii="Times New Roman" w:hAnsi="Times New Roman"/>
                <w:color w:val="auto"/>
                <w:sz w:val="24"/>
                <w:szCs w:val="24"/>
              </w:rPr>
              <w:t>画眉</w:t>
            </w:r>
            <w:r>
              <w:rPr>
                <w:rFonts w:ascii="Times New Roman" w:hAnsi="Times New Roman"/>
                <w:i/>
                <w:iCs/>
                <w:color w:val="auto"/>
                <w:sz w:val="24"/>
                <w:szCs w:val="24"/>
              </w:rPr>
              <w:t>Garrulax canorus</w:t>
            </w:r>
            <w:r>
              <w:rPr>
                <w:rFonts w:hint="eastAsia" w:ascii="Times New Roman" w:hAnsi="Times New Roman"/>
                <w:color w:val="auto"/>
                <w:sz w:val="24"/>
                <w:szCs w:val="24"/>
              </w:rPr>
              <w:t>、</w:t>
            </w:r>
            <w:r>
              <w:rPr>
                <w:rFonts w:ascii="Times New Roman" w:hAnsi="Times New Roman"/>
                <w:color w:val="auto"/>
                <w:sz w:val="24"/>
                <w:szCs w:val="24"/>
              </w:rPr>
              <w:t>红隼</w:t>
            </w:r>
            <w:r>
              <w:rPr>
                <w:rFonts w:ascii="Times New Roman" w:hAnsi="Times New Roman"/>
                <w:i/>
                <w:color w:val="auto"/>
                <w:sz w:val="24"/>
                <w:szCs w:val="24"/>
              </w:rPr>
              <w:t>Falco tinnunculus</w:t>
            </w:r>
            <w:r>
              <w:rPr>
                <w:rFonts w:ascii="Times New Roman" w:hAnsi="Times New Roman"/>
                <w:color w:val="auto"/>
                <w:sz w:val="24"/>
                <w:szCs w:val="24"/>
              </w:rPr>
              <w:t>，全为国家Ⅱ级保护动物，仅占全部鸟类种数的7.84%；2种鹰类，1种隼类，</w:t>
            </w:r>
            <w:r>
              <w:rPr>
                <w:rFonts w:hint="eastAsia" w:ascii="Times New Roman" w:hAnsi="Times New Roman"/>
                <w:color w:val="auto"/>
                <w:sz w:val="24"/>
                <w:szCs w:val="24"/>
              </w:rPr>
              <w:t>1种画眉鸟类，</w:t>
            </w:r>
            <w:r>
              <w:rPr>
                <w:rFonts w:ascii="Times New Roman" w:hAnsi="Times New Roman"/>
                <w:color w:val="auto"/>
                <w:sz w:val="24"/>
                <w:szCs w:val="24"/>
              </w:rPr>
              <w:t>为常见的种类，</w:t>
            </w:r>
            <w:r>
              <w:rPr>
                <w:rFonts w:hint="eastAsia" w:ascii="Times New Roman" w:hAnsi="Times New Roman"/>
                <w:color w:val="auto"/>
                <w:sz w:val="24"/>
                <w:szCs w:val="24"/>
              </w:rPr>
              <w:t>其中</w:t>
            </w:r>
            <w:r>
              <w:rPr>
                <w:rFonts w:ascii="Times New Roman" w:hAnsi="Times New Roman"/>
                <w:color w:val="auto"/>
                <w:sz w:val="24"/>
                <w:szCs w:val="24"/>
              </w:rPr>
              <w:t>3种猛禽活动范围较大，因工程影响区范围狭小且</w:t>
            </w:r>
            <w:r>
              <w:rPr>
                <w:rFonts w:hint="eastAsia" w:ascii="Times New Roman" w:hAnsi="Times New Roman"/>
                <w:color w:val="auto"/>
                <w:sz w:val="24"/>
                <w:szCs w:val="24"/>
                <w:lang w:eastAsia="zh-CN"/>
              </w:rPr>
              <w:t>呈</w:t>
            </w:r>
            <w:r>
              <w:rPr>
                <w:rFonts w:ascii="Times New Roman" w:hAnsi="Times New Roman"/>
                <w:color w:val="auto"/>
                <w:sz w:val="24"/>
                <w:szCs w:val="24"/>
              </w:rPr>
              <w:t>条带状，故实际分布数量稀少，调查未发现该地区特有种类分布。</w:t>
            </w:r>
          </w:p>
          <w:p w14:paraId="1AB26638">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color w:val="auto"/>
                <w:sz w:val="24"/>
                <w:szCs w:val="24"/>
              </w:rPr>
              <w:t>松雀鹰</w:t>
            </w:r>
            <w:r>
              <w:rPr>
                <w:rFonts w:ascii="Times New Roman" w:hAnsi="Times New Roman"/>
                <w:color w:val="auto"/>
                <w:sz w:val="24"/>
                <w:szCs w:val="24"/>
              </w:rPr>
              <w:t xml:space="preserve"> </w:t>
            </w:r>
            <w:r>
              <w:rPr>
                <w:rFonts w:ascii="Times New Roman" w:hAnsi="Times New Roman"/>
                <w:i/>
                <w:color w:val="auto"/>
                <w:sz w:val="24"/>
                <w:szCs w:val="24"/>
              </w:rPr>
              <w:t>Accipiter virgatus</w:t>
            </w:r>
          </w:p>
          <w:p w14:paraId="49082A3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俗 名  鹞鹰</w:t>
            </w:r>
          </w:p>
          <w:p w14:paraId="5949535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 xml:space="preserve">英 名  </w:t>
            </w:r>
            <w:r>
              <w:rPr>
                <w:rFonts w:ascii="Times New Roman" w:hAnsi="Times New Roman"/>
                <w:i/>
                <w:color w:val="auto"/>
                <w:sz w:val="24"/>
                <w:szCs w:val="24"/>
              </w:rPr>
              <w:t>Besra Sparrow Hawk</w:t>
            </w:r>
          </w:p>
          <w:p w14:paraId="6D0EB04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形态特征：与雀鹰相似，但喉部具显著的中央喉纹；第6枚初级飞羽外翈无缺刻。两性基本相似，但雌性成鸟体形稍大，上体多褐色，下体棕褐色的斑纹更浓著。</w:t>
            </w:r>
          </w:p>
          <w:p w14:paraId="678E84A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生态习性：栖息于山地林区，多见单个盘旋于空中或停歇在突出的枝头或枯树枝上。飞翔于高空时，两翅鼓动数次后即直线滑翔一段距离，有时作圈状翱翔。以捕食小型动物如小鸟、昆虫等为食。捕食时先用锐爪捕捉，然后用嘴撕碎，将不能消化的食物残块由口中吐出。</w:t>
            </w:r>
          </w:p>
          <w:p w14:paraId="61844FF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在乔木上营巢，巢小而坚固，由树枝</w:t>
            </w:r>
            <w:r>
              <w:rPr>
                <w:rFonts w:hint="eastAsia" w:ascii="Times New Roman" w:hAnsi="Times New Roman"/>
                <w:color w:val="auto"/>
                <w:sz w:val="24"/>
                <w:szCs w:val="24"/>
              </w:rPr>
              <w:t>等</w:t>
            </w:r>
            <w:r>
              <w:rPr>
                <w:rFonts w:ascii="Times New Roman" w:hAnsi="Times New Roman"/>
                <w:color w:val="auto"/>
                <w:sz w:val="24"/>
                <w:szCs w:val="24"/>
              </w:rPr>
              <w:t>筑成，每产4-5枚近白色卵。</w:t>
            </w:r>
          </w:p>
          <w:p w14:paraId="2BFD7BC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常见种。国家Ⅱ级重点保护鸟类。评价区常见，评价区内约分布2-3只，评价区内为其捕食区域，不涉及重要生境。</w:t>
            </w:r>
          </w:p>
          <w:p w14:paraId="36820CC2">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color w:val="auto"/>
                <w:sz w:val="24"/>
                <w:szCs w:val="24"/>
              </w:rPr>
              <w:t>普通鵟</w:t>
            </w:r>
            <w:r>
              <w:rPr>
                <w:rFonts w:ascii="Times New Roman" w:hAnsi="Times New Roman"/>
                <w:i/>
                <w:color w:val="auto"/>
                <w:sz w:val="24"/>
                <w:szCs w:val="24"/>
              </w:rPr>
              <w:t>Buteo buteo</w:t>
            </w:r>
          </w:p>
          <w:p w14:paraId="3630404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俗名 饿老鹰</w:t>
            </w:r>
          </w:p>
          <w:p w14:paraId="741F8AE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 xml:space="preserve">英名 </w:t>
            </w:r>
            <w:r>
              <w:rPr>
                <w:rFonts w:ascii="Times New Roman" w:hAnsi="Times New Roman"/>
                <w:i/>
                <w:color w:val="auto"/>
                <w:sz w:val="24"/>
                <w:szCs w:val="24"/>
              </w:rPr>
              <w:t>Common Buzzard</w:t>
            </w:r>
          </w:p>
          <w:p w14:paraId="7921DF2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形态特征 羽色变化较大，有多种色型。附蹠下部裸露，不被羽至趾基。</w:t>
            </w:r>
          </w:p>
          <w:p w14:paraId="237B67A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栖息在山区、田坝、城镇乔木或建筑物高处，多见于在高空飞翔；捕食野兔、鼠类、鸟、蛇、蛙等多种动物。国家II级重点保护动物，分布广，常见种类；公路沿线上空偶见。广分布物种，在云南几乎全境有分布。评价区内约分布有4只。评价区内为其捕食区域，不涉及重要生境。</w:t>
            </w:r>
          </w:p>
          <w:p w14:paraId="5043AB29">
            <w:pPr>
              <w:adjustRightInd w:val="0"/>
              <w:snapToGrid w:val="0"/>
              <w:spacing w:line="440" w:lineRule="exact"/>
              <w:ind w:firstLine="482" w:firstLineChars="200"/>
              <w:rPr>
                <w:rFonts w:ascii="Times New Roman" w:hAnsi="Times New Roman"/>
                <w:i/>
                <w:color w:val="auto"/>
                <w:sz w:val="24"/>
                <w:szCs w:val="24"/>
              </w:rPr>
            </w:pPr>
            <w:r>
              <w:rPr>
                <w:rFonts w:ascii="Times New Roman" w:hAnsi="Times New Roman"/>
                <w:b/>
                <w:color w:val="auto"/>
                <w:sz w:val="24"/>
                <w:szCs w:val="24"/>
              </w:rPr>
              <w:t>红隼</w:t>
            </w:r>
            <w:r>
              <w:rPr>
                <w:rFonts w:ascii="Times New Roman" w:hAnsi="Times New Roman"/>
                <w:color w:val="auto"/>
                <w:sz w:val="24"/>
                <w:szCs w:val="24"/>
              </w:rPr>
              <w:t xml:space="preserve"> </w:t>
            </w:r>
            <w:r>
              <w:rPr>
                <w:rFonts w:ascii="Times New Roman" w:hAnsi="Times New Roman"/>
                <w:i/>
                <w:color w:val="auto"/>
                <w:sz w:val="24"/>
                <w:szCs w:val="24"/>
              </w:rPr>
              <w:t>Falco tinnunculus</w:t>
            </w:r>
          </w:p>
          <w:p w14:paraId="4F0A20A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俗 名  茶隼</w:t>
            </w:r>
          </w:p>
          <w:p w14:paraId="5293A1E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 xml:space="preserve">英 名  </w:t>
            </w:r>
            <w:r>
              <w:rPr>
                <w:rFonts w:ascii="Times New Roman" w:hAnsi="Times New Roman"/>
                <w:i/>
                <w:color w:val="auto"/>
                <w:sz w:val="24"/>
                <w:szCs w:val="24"/>
              </w:rPr>
              <w:t>Eurasian Kestrel</w:t>
            </w:r>
          </w:p>
          <w:p w14:paraId="04B7D33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形态特征：体长350mm左右，雄鸟头顶至后颈灰，并具黑色条纹</w:t>
            </w:r>
            <w:r>
              <w:rPr>
                <w:rFonts w:hint="eastAsia" w:ascii="Times New Roman" w:hAnsi="Times New Roman"/>
                <w:color w:val="auto"/>
                <w:sz w:val="24"/>
                <w:szCs w:val="24"/>
                <w:lang w:eastAsia="zh-CN"/>
              </w:rPr>
              <w:t>；</w:t>
            </w:r>
            <w:r>
              <w:rPr>
                <w:rFonts w:ascii="Times New Roman" w:hAnsi="Times New Roman"/>
                <w:color w:val="auto"/>
                <w:sz w:val="24"/>
                <w:szCs w:val="24"/>
              </w:rPr>
              <w:t>背羽砖红色，布有黑色粗斑</w:t>
            </w:r>
            <w:r>
              <w:rPr>
                <w:rFonts w:hint="eastAsia" w:ascii="Times New Roman" w:hAnsi="Times New Roman"/>
                <w:color w:val="auto"/>
                <w:sz w:val="24"/>
                <w:szCs w:val="24"/>
              </w:rPr>
              <w:t>；</w:t>
            </w:r>
            <w:r>
              <w:rPr>
                <w:rFonts w:ascii="Times New Roman" w:hAnsi="Times New Roman"/>
                <w:color w:val="auto"/>
                <w:sz w:val="24"/>
                <w:szCs w:val="24"/>
              </w:rPr>
              <w:t>尾羽青灰色，具宽阔的黑色次端斑及棕白色端缘，外侧尾羽较中央尾羽短甚，呈凸尾型。雌鸟上体砖红色，头顶满布黑色纵纹，背具黑色横斑，爪黑色。雌雄鸟胸和腹均淡棕黄色，具黑色纵纹和点斑。</w:t>
            </w:r>
          </w:p>
          <w:p w14:paraId="718E089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生态习性：栖息于林缘、灌丛、田野等开阔地及居民区。常单独</w:t>
            </w:r>
            <w:r>
              <w:rPr>
                <w:rFonts w:hint="eastAsia" w:ascii="Times New Roman" w:hAnsi="Times New Roman"/>
                <w:color w:val="auto"/>
                <w:sz w:val="24"/>
                <w:szCs w:val="24"/>
              </w:rPr>
              <w:t>或</w:t>
            </w:r>
            <w:r>
              <w:rPr>
                <w:rFonts w:ascii="Times New Roman" w:hAnsi="Times New Roman"/>
                <w:color w:val="auto"/>
                <w:sz w:val="24"/>
                <w:szCs w:val="24"/>
              </w:rPr>
              <w:t>成对活动。飞行速度快，有时见在空中振翅定点停留，主要捕食地面上的食物，如昆虫、两栖类、小型爬行类、小型鸟类和小型兽类等，有时也取食少量植物性食物。常见种。国家Ⅱ级重点保护鸟类。项目区偶见，评价区内约分布有1-2只。评价区内为其捕食区域，不涉及重要生境。</w:t>
            </w:r>
          </w:p>
          <w:p w14:paraId="3E9DE8BA">
            <w:pPr>
              <w:adjustRightInd w:val="0"/>
              <w:snapToGrid w:val="0"/>
              <w:spacing w:line="440" w:lineRule="exact"/>
              <w:ind w:firstLine="480" w:firstLineChars="200"/>
              <w:rPr>
                <w:rFonts w:ascii="Times New Roman" w:hAnsi="Times New Roman"/>
                <w:i/>
                <w:iCs/>
                <w:color w:val="auto"/>
                <w:sz w:val="24"/>
                <w:szCs w:val="24"/>
              </w:rPr>
            </w:pPr>
            <w:r>
              <w:rPr>
                <w:rFonts w:hint="eastAsia" w:ascii="Times New Roman" w:hAnsi="Times New Roman"/>
                <w:color w:val="auto"/>
                <w:sz w:val="24"/>
                <w:szCs w:val="24"/>
              </w:rPr>
              <w:t>画眉</w:t>
            </w:r>
            <w:r>
              <w:rPr>
                <w:rFonts w:ascii="Times New Roman" w:hAnsi="Times New Roman"/>
                <w:i/>
                <w:iCs/>
                <w:color w:val="auto"/>
                <w:sz w:val="24"/>
                <w:szCs w:val="24"/>
              </w:rPr>
              <w:t>Garrulax canorus</w:t>
            </w:r>
          </w:p>
          <w:p w14:paraId="59BA6D4F">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形态特征：</w:t>
            </w:r>
            <w:r>
              <w:rPr>
                <w:rFonts w:ascii="Times New Roman" w:hAnsi="Times New Roman"/>
                <w:color w:val="auto"/>
                <w:sz w:val="24"/>
                <w:szCs w:val="24"/>
              </w:rPr>
              <w:t>成年个体体长21~25cm，体重49~75g</w:t>
            </w:r>
            <w:r>
              <w:rPr>
                <w:rFonts w:hint="eastAsia" w:ascii="Times New Roman" w:hAnsi="Times New Roman"/>
                <w:color w:val="auto"/>
                <w:sz w:val="24"/>
                <w:szCs w:val="24"/>
              </w:rPr>
              <w:t>，</w:t>
            </w:r>
            <w:r>
              <w:rPr>
                <w:rFonts w:ascii="Times New Roman" w:hAnsi="Times New Roman"/>
                <w:color w:val="auto"/>
                <w:sz w:val="24"/>
                <w:szCs w:val="24"/>
              </w:rPr>
              <w:t>最典型识别特征是眼周白色羽圈向后延伸形成清晰修长的眉纹</w:t>
            </w:r>
            <w:r>
              <w:rPr>
                <w:rFonts w:hint="eastAsia" w:ascii="Times New Roman" w:hAnsi="Times New Roman"/>
                <w:color w:val="auto"/>
                <w:sz w:val="24"/>
                <w:szCs w:val="24"/>
              </w:rPr>
              <w:t>。</w:t>
            </w:r>
          </w:p>
          <w:p w14:paraId="753D0D06">
            <w:pPr>
              <w:adjustRightInd w:val="0"/>
              <w:snapToGrid w:val="0"/>
              <w:spacing w:line="440" w:lineRule="exact"/>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生态习性：画眉常见于低海拔地区的丘陵、山脚平原和林缘地带。是杂食性鸟类，主要以昆虫为食，秋冬季节则以植物种子和果实为主要食物来源。画眉实行单配制，常单独或成对活动，行动方式以跳跃为主，不善飞行，生性机警，善于隐藏，一旦受惊，便迅速躲入密林。</w:t>
            </w:r>
          </w:p>
          <w:p w14:paraId="70EBBD66">
            <w:pPr>
              <w:adjustRightInd w:val="0"/>
              <w:snapToGrid w:val="0"/>
              <w:spacing w:line="440" w:lineRule="exact"/>
              <w:ind w:firstLine="498" w:firstLineChars="200"/>
              <w:rPr>
                <w:rFonts w:ascii="Times New Roman" w:hAnsi="Times New Roman"/>
                <w:b/>
                <w:bCs/>
                <w:color w:val="auto"/>
                <w:spacing w:val="4"/>
                <w:sz w:val="24"/>
                <w:szCs w:val="24"/>
              </w:rPr>
            </w:pPr>
            <w:r>
              <w:rPr>
                <w:rFonts w:ascii="Times New Roman" w:hAnsi="Times New Roman"/>
                <w:b/>
                <w:bCs/>
                <w:color w:val="auto"/>
                <w:spacing w:val="4"/>
                <w:sz w:val="24"/>
                <w:szCs w:val="24"/>
              </w:rPr>
              <w:t>④哺乳类</w:t>
            </w:r>
          </w:p>
          <w:p w14:paraId="1ECDF5B5">
            <w:pPr>
              <w:autoSpaceDE w:val="0"/>
              <w:autoSpaceDN w:val="0"/>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在评价区分布的10种哺乳动物中，</w:t>
            </w:r>
            <w:r>
              <w:rPr>
                <w:rFonts w:hint="eastAsia" w:ascii="Times New Roman" w:hAnsi="Times New Roman"/>
                <w:color w:val="auto"/>
                <w:sz w:val="24"/>
                <w:szCs w:val="24"/>
              </w:rPr>
              <w:t>分布有</w:t>
            </w:r>
            <w:r>
              <w:rPr>
                <w:rFonts w:ascii="Times New Roman" w:hAnsi="Times New Roman"/>
                <w:color w:val="auto"/>
                <w:sz w:val="24"/>
                <w:szCs w:val="24"/>
              </w:rPr>
              <w:t>国家级</w:t>
            </w:r>
            <w:r>
              <w:rPr>
                <w:rFonts w:hint="eastAsia" w:ascii="Times New Roman" w:hAnsi="Times New Roman"/>
                <w:color w:val="auto"/>
                <w:sz w:val="24"/>
                <w:szCs w:val="24"/>
              </w:rPr>
              <w:t>重点保护野生动物</w:t>
            </w:r>
            <w:r>
              <w:rPr>
                <w:rFonts w:hint="eastAsia" w:ascii="Times New Roman" w:hAnsi="Times New Roman"/>
                <w:color w:val="auto"/>
                <w:sz w:val="24"/>
                <w:szCs w:val="24"/>
                <w:lang w:val="en-US" w:eastAsia="zh-CN"/>
              </w:rPr>
              <w:t>1</w:t>
            </w:r>
            <w:r>
              <w:rPr>
                <w:rFonts w:hint="eastAsia" w:ascii="Times New Roman" w:hAnsi="Times New Roman"/>
                <w:color w:val="auto"/>
                <w:sz w:val="24"/>
                <w:szCs w:val="24"/>
              </w:rPr>
              <w:t>种，为豹猫，无</w:t>
            </w:r>
            <w:r>
              <w:rPr>
                <w:rFonts w:ascii="Times New Roman" w:hAnsi="Times New Roman"/>
                <w:color w:val="auto"/>
                <w:sz w:val="24"/>
                <w:szCs w:val="24"/>
              </w:rPr>
              <w:t>云南省级重点保护野生动物分布；调查也未发现局限分布于该地区的特有种类。</w:t>
            </w:r>
          </w:p>
          <w:p w14:paraId="63C5B84C">
            <w:pPr>
              <w:autoSpaceDE w:val="0"/>
              <w:autoSpaceDN w:val="0"/>
              <w:adjustRightInd w:val="0"/>
              <w:snapToGrid w:val="0"/>
              <w:spacing w:line="440" w:lineRule="exact"/>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豹猫</w:t>
            </w:r>
            <w:r>
              <w:rPr>
                <w:rFonts w:ascii="Times New Roman" w:hAnsi="Times New Roman"/>
                <w:i/>
                <w:iCs/>
                <w:color w:val="auto"/>
                <w:sz w:val="24"/>
                <w:szCs w:val="24"/>
              </w:rPr>
              <w:t>Prionailurus bengalensis</w:t>
            </w:r>
            <w:r>
              <w:rPr>
                <w:rFonts w:hint="eastAsia" w:ascii="Times New Roman" w:hAnsi="Times New Roman"/>
                <w:color w:val="auto"/>
                <w:sz w:val="24"/>
                <w:szCs w:val="24"/>
              </w:rPr>
              <w:t>，</w:t>
            </w:r>
            <w:r>
              <w:rPr>
                <w:rFonts w:ascii="Times New Roman" w:hAnsi="Times New Roman"/>
                <w:color w:val="auto"/>
                <w:sz w:val="24"/>
                <w:szCs w:val="24"/>
              </w:rPr>
              <w:t>猫科豹猫属动物，别名狸猫、石虎、山狸子、麻狸，是一种小型</w:t>
            </w:r>
            <w:r>
              <w:rPr>
                <w:color w:val="auto"/>
              </w:rPr>
              <w:fldChar w:fldCharType="begin"/>
            </w:r>
            <w:r>
              <w:rPr>
                <w:color w:val="auto"/>
              </w:rPr>
              <w:instrText xml:space="preserve"> HYPERLINK "https://baike.baidu.com/item/%E7%8C%AB%E7%A7%91%E5%8A%A8%E7%89%A9/71877?fromModule=lemma_inlink" \t "_blank" </w:instrText>
            </w:r>
            <w:r>
              <w:rPr>
                <w:color w:val="auto"/>
              </w:rPr>
              <w:fldChar w:fldCharType="separate"/>
            </w:r>
            <w:r>
              <w:rPr>
                <w:rStyle w:val="32"/>
                <w:rFonts w:ascii="Times New Roman" w:hAnsi="Times New Roman"/>
                <w:color w:val="auto"/>
                <w:sz w:val="24"/>
                <w:szCs w:val="24"/>
                <w:u w:val="none"/>
              </w:rPr>
              <w:t>猫科动物</w:t>
            </w:r>
            <w:r>
              <w:rPr>
                <w:rStyle w:val="32"/>
                <w:rFonts w:ascii="Times New Roman" w:hAnsi="Times New Roman"/>
                <w:color w:val="auto"/>
                <w:sz w:val="24"/>
                <w:szCs w:val="24"/>
                <w:u w:val="none"/>
              </w:rPr>
              <w:fldChar w:fldCharType="end"/>
            </w:r>
            <w:r>
              <w:rPr>
                <w:rFonts w:ascii="Times New Roman" w:hAnsi="Times New Roman"/>
                <w:color w:val="auto"/>
                <w:sz w:val="24"/>
                <w:szCs w:val="24"/>
              </w:rPr>
              <w:t>，原生于东亚、东南亚和南亚地区，共12个亚种</w:t>
            </w:r>
            <w:r>
              <w:rPr>
                <w:rFonts w:hint="eastAsia" w:ascii="Times New Roman" w:hAnsi="Times New Roman"/>
                <w:color w:val="auto"/>
                <w:sz w:val="24"/>
                <w:szCs w:val="24"/>
              </w:rPr>
              <w:t>。</w:t>
            </w:r>
            <w:r>
              <w:rPr>
                <w:rFonts w:ascii="Times New Roman" w:hAnsi="Times New Roman"/>
                <w:color w:val="auto"/>
                <w:sz w:val="24"/>
                <w:szCs w:val="24"/>
              </w:rPr>
              <w:t>栖息地以森林为主，涵盖热带雨林、山地阔叶林、季风林、针阔混交林、灌木林等自然环境，能耐受农田等干扰较大的人工环境</w:t>
            </w:r>
            <w:r>
              <w:rPr>
                <w:rFonts w:hint="eastAsia" w:ascii="Times New Roman" w:hAnsi="Times New Roman"/>
                <w:color w:val="auto"/>
                <w:sz w:val="24"/>
                <w:szCs w:val="24"/>
              </w:rPr>
              <w:t>。</w:t>
            </w:r>
          </w:p>
          <w:p w14:paraId="1F56AB74">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3.2.2.3鸟类迁徙路线及重要栖息地</w:t>
            </w:r>
          </w:p>
          <w:p w14:paraId="5AFC4F4A">
            <w:pPr>
              <w:pStyle w:val="6"/>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（1）鸟类迁徙通道</w:t>
            </w:r>
          </w:p>
          <w:p w14:paraId="1C7AB50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根据《云南省候鸟迁徙通道重点区域范围（第一批）》，本项目区域不涉及云南省候鸟迁徙通道重点区域。</w:t>
            </w:r>
          </w:p>
          <w:p w14:paraId="2A7FC40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鸟类研究学者的调查，在云南省境内共发现夜间鸟类迁徙聚集点21个（将部分相邻的点位合并），分布于23县（部分点位处于两县交界区域）。这些区域大部分分布在山间（山脊）垭口的坡地或台地，海拔从1600m至3100m都有分布，植被以低矮的灌丛和草坡为主，缺少高大乔木。</w:t>
            </w:r>
          </w:p>
          <w:p w14:paraId="028F3AE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鸟类研究学者发现在云南省境内至少有东西两条秋季候鸟迁徙路线，其中西线为从北边的云岭向南经过哀牢山、无量山，之后顺元江出境，即云岭—苍山—哀牢山一线；东线为滇东北乌蒙山至滇东南，即滇东乌蒙山一线。其中，滇西横断山脉地区的山体走向为西北—东南走向，经过滇西地区的候鸟就在山脉东北的一侧聚集，迁徙路线呈西北—东南走向。而滇东北的乌蒙山脉则呈东北—西南走向，而经过滇东北地区的候鸟则是在山脉西北一侧聚集，迁徙路线呈东北—西南走向。因此，候鸟在云南境内的迁徙线路不管在东线还是西线都出现在山脉向北的一侧。但候鸟为恢复其北至南磁力线迁徙方向，每当遇到山间沟谷、低矮山脊或者山脊垭口时，大量候鸟就会从这些区域翻越山脊继续向南迁飞，当这些区域出现刮南风或西南风、有浓雾、无月亮的夜间，候鸟就会降低飞行高度，并且会朝向光源（特别为黄色光）方向飞行，一旦遇到灯光或火光，就会趋光而来，形成了夜间扑火的特异现象。所以，“打雀山”、“凤凰山”或者“鸟吊山”就是候鸟在云南境内迁徙的主要聚集区，即主要迁徙通道。</w:t>
            </w:r>
          </w:p>
          <w:p w14:paraId="4BD2550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区处于云南省秋季迁徙候鸟的迁徙东线区域。项目区不涉及鸟类迁徙通道，直线距离在20km以上。本次评价对周边村民进行了走访调查，根据走访调查，项目区及周边区域没有，也没有听说过秋季夜间上山采用灯光或火光捕鸟的现象。秋季夜间没有发生夜间鸟类飞入有光亮的房屋的事件。所以，根据文献资料查阅和访问调查，目前项目区没有秋季迁徙候鸟迁飞聚集点。</w:t>
            </w:r>
          </w:p>
          <w:p w14:paraId="5F15BDF9">
            <w:pPr>
              <w:pStyle w:val="6"/>
              <w:adjustRightInd w:val="0"/>
              <w:snapToGrid w:val="0"/>
              <w:spacing w:line="440" w:lineRule="exact"/>
              <w:ind w:firstLine="482" w:firstLineChars="200"/>
              <w:rPr>
                <w:rFonts w:ascii="Times New Roman" w:hAnsi="Times New Roman"/>
                <w:color w:val="auto"/>
                <w:szCs w:val="24"/>
              </w:rPr>
            </w:pPr>
            <w:r>
              <w:rPr>
                <w:rFonts w:hint="eastAsia" w:ascii="Times New Roman" w:hAnsi="Times New Roman"/>
                <w:color w:val="auto"/>
                <w:szCs w:val="24"/>
              </w:rPr>
              <w:t>（2）</w:t>
            </w:r>
            <w:r>
              <w:rPr>
                <w:rFonts w:ascii="Times New Roman" w:hAnsi="Times New Roman"/>
                <w:color w:val="auto"/>
                <w:szCs w:val="24"/>
              </w:rPr>
              <w:t>重要栖息地</w:t>
            </w:r>
          </w:p>
          <w:p w14:paraId="6025D9A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ascii="Times New Roman" w:hAnsi="Times New Roman"/>
                <w:color w:val="auto"/>
                <w:sz w:val="24"/>
                <w:szCs w:val="24"/>
              </w:rPr>
              <w:t>国家林业和草原局</w:t>
            </w:r>
            <w:r>
              <w:rPr>
                <w:rFonts w:ascii="Times New Roman" w:hAnsi="Times New Roman"/>
                <w:color w:val="auto"/>
                <w:sz w:val="24"/>
                <w:szCs w:val="24"/>
              </w:rPr>
              <w:t>《陆生野生动物重要栖息地名录》（第一批）（</w:t>
            </w:r>
            <w:r>
              <w:rPr>
                <w:rFonts w:hint="eastAsia" w:ascii="Times New Roman" w:hAnsi="Times New Roman"/>
                <w:color w:val="auto"/>
                <w:sz w:val="24"/>
                <w:szCs w:val="24"/>
              </w:rPr>
              <w:t>国家林业和草原局</w:t>
            </w:r>
            <w:r>
              <w:rPr>
                <w:rFonts w:ascii="Times New Roman" w:hAnsi="Times New Roman"/>
                <w:color w:val="auto"/>
                <w:sz w:val="24"/>
                <w:szCs w:val="24"/>
              </w:rPr>
              <w:t>公告（2023年第23号），</w:t>
            </w:r>
            <w:r>
              <w:rPr>
                <w:rFonts w:ascii="Times New Roman" w:hAnsi="Times New Roman"/>
                <w:color w:val="auto"/>
                <w:sz w:val="24"/>
                <w:szCs w:val="24"/>
                <w:lang w:val="zh-CN"/>
              </w:rPr>
              <w:t>项目不涉及野生动物重要栖息地、不涉及《中华人民共和国野生动物保护法》第十三条中所提及的野生动物重要栖息地。</w:t>
            </w:r>
            <w:r>
              <w:rPr>
                <w:rFonts w:ascii="Times New Roman" w:hAnsi="Times New Roman"/>
                <w:color w:val="auto"/>
                <w:sz w:val="24"/>
                <w:szCs w:val="24"/>
              </w:rPr>
              <w:t>重要野生动物调查结果统计表。</w:t>
            </w:r>
          </w:p>
          <w:p w14:paraId="271C314A">
            <w:pPr>
              <w:adjustRightInd w:val="0"/>
              <w:snapToGrid w:val="0"/>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3-16</w:t>
            </w:r>
            <w:r>
              <w:rPr>
                <w:rFonts w:ascii="Times New Roman" w:hAnsi="Times New Roman"/>
                <w:b/>
                <w:color w:val="auto"/>
                <w:sz w:val="24"/>
                <w:szCs w:val="32"/>
              </w:rPr>
              <w:t xml:space="preserve">  重要野生动物调查结果统计表</w:t>
            </w:r>
          </w:p>
          <w:tbl>
            <w:tblPr>
              <w:tblStyle w:val="27"/>
              <w:tblW w:w="503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082"/>
              <w:gridCol w:w="790"/>
              <w:gridCol w:w="1410"/>
              <w:gridCol w:w="687"/>
              <w:gridCol w:w="1504"/>
              <w:gridCol w:w="835"/>
              <w:gridCol w:w="835"/>
              <w:gridCol w:w="913"/>
            </w:tblGrid>
            <w:tr w14:paraId="307DC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tcBorders>
                    <w:tl2br w:val="nil"/>
                    <w:tr2bl w:val="nil"/>
                  </w:tcBorders>
                  <w:shd w:val="clear" w:color="auto" w:fill="auto"/>
                  <w:vAlign w:val="center"/>
                </w:tcPr>
                <w:p w14:paraId="7F9BB840">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序号</w:t>
                  </w:r>
                </w:p>
              </w:tc>
              <w:tc>
                <w:tcPr>
                  <w:tcW w:w="637" w:type="pct"/>
                  <w:tcBorders>
                    <w:tl2br w:val="nil"/>
                    <w:tr2bl w:val="nil"/>
                  </w:tcBorders>
                  <w:shd w:val="clear" w:color="auto" w:fill="auto"/>
                  <w:vAlign w:val="center"/>
                </w:tcPr>
                <w:p w14:paraId="13F85D53">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物种名称</w:t>
                  </w:r>
                </w:p>
              </w:tc>
              <w:tc>
                <w:tcPr>
                  <w:tcW w:w="465" w:type="pct"/>
                  <w:tcBorders>
                    <w:tl2br w:val="nil"/>
                    <w:tr2bl w:val="nil"/>
                  </w:tcBorders>
                  <w:shd w:val="clear" w:color="auto" w:fill="auto"/>
                  <w:vAlign w:val="center"/>
                </w:tcPr>
                <w:p w14:paraId="3A20E62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保护级别</w:t>
                  </w:r>
                </w:p>
              </w:tc>
              <w:tc>
                <w:tcPr>
                  <w:tcW w:w="830" w:type="pct"/>
                  <w:tcBorders>
                    <w:tl2br w:val="nil"/>
                    <w:tr2bl w:val="nil"/>
                  </w:tcBorders>
                  <w:shd w:val="clear" w:color="auto" w:fill="auto"/>
                  <w:vAlign w:val="center"/>
                </w:tcPr>
                <w:p w14:paraId="1B2B7949">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濒危等级</w:t>
                  </w:r>
                </w:p>
              </w:tc>
              <w:tc>
                <w:tcPr>
                  <w:tcW w:w="404" w:type="pct"/>
                  <w:tcBorders>
                    <w:tl2br w:val="nil"/>
                    <w:tr2bl w:val="nil"/>
                  </w:tcBorders>
                  <w:shd w:val="clear" w:color="auto" w:fill="auto"/>
                  <w:vAlign w:val="center"/>
                </w:tcPr>
                <w:p w14:paraId="6DD8A1A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特有种</w:t>
                  </w:r>
                </w:p>
              </w:tc>
              <w:tc>
                <w:tcPr>
                  <w:tcW w:w="885" w:type="pct"/>
                  <w:tcBorders>
                    <w:tl2br w:val="nil"/>
                    <w:tr2bl w:val="nil"/>
                  </w:tcBorders>
                  <w:shd w:val="clear" w:color="auto" w:fill="auto"/>
                  <w:vAlign w:val="center"/>
                </w:tcPr>
                <w:p w14:paraId="2ABFB14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分布区域</w:t>
                  </w:r>
                </w:p>
              </w:tc>
              <w:tc>
                <w:tcPr>
                  <w:tcW w:w="492" w:type="pct"/>
                  <w:tcBorders>
                    <w:tl2br w:val="nil"/>
                    <w:tr2bl w:val="nil"/>
                  </w:tcBorders>
                  <w:shd w:val="clear" w:color="auto" w:fill="auto"/>
                  <w:vAlign w:val="center"/>
                </w:tcPr>
                <w:p w14:paraId="1701EB8F">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资料来源</w:t>
                  </w:r>
                </w:p>
              </w:tc>
              <w:tc>
                <w:tcPr>
                  <w:tcW w:w="492" w:type="pct"/>
                  <w:tcBorders>
                    <w:tl2br w:val="nil"/>
                    <w:tr2bl w:val="nil"/>
                  </w:tcBorders>
                  <w:shd w:val="clear" w:color="auto" w:fill="auto"/>
                  <w:vAlign w:val="center"/>
                </w:tcPr>
                <w:p w14:paraId="3FB687D8">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工程占用情况</w:t>
                  </w:r>
                </w:p>
              </w:tc>
              <w:tc>
                <w:tcPr>
                  <w:tcW w:w="538" w:type="pct"/>
                  <w:tcBorders>
                    <w:tl2br w:val="nil"/>
                    <w:tr2bl w:val="nil"/>
                  </w:tcBorders>
                  <w:shd w:val="clear" w:color="auto" w:fill="auto"/>
                  <w:vAlign w:val="center"/>
                </w:tcPr>
                <w:p w14:paraId="58863A77">
                  <w:pPr>
                    <w:adjustRightInd w:val="0"/>
                    <w:snapToGrid w:val="0"/>
                    <w:jc w:val="center"/>
                    <w:rPr>
                      <w:rFonts w:ascii="Times New Roman" w:hAnsi="Times New Roman"/>
                      <w:b/>
                      <w:bCs/>
                      <w:color w:val="auto"/>
                      <w:kern w:val="0"/>
                      <w:szCs w:val="21"/>
                    </w:rPr>
                  </w:pPr>
                  <w:r>
                    <w:rPr>
                      <w:rFonts w:ascii="Times New Roman" w:hAnsi="Times New Roman"/>
                      <w:b/>
                      <w:bCs/>
                      <w:color w:val="auto"/>
                      <w:kern w:val="0"/>
                      <w:szCs w:val="21"/>
                    </w:rPr>
                    <w:t>现场调查照片</w:t>
                  </w:r>
                </w:p>
              </w:tc>
            </w:tr>
            <w:tr w14:paraId="56797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tcBorders>
                    <w:tl2br w:val="nil"/>
                    <w:tr2bl w:val="nil"/>
                  </w:tcBorders>
                  <w:shd w:val="clear" w:color="auto" w:fill="auto"/>
                  <w:vAlign w:val="center"/>
                </w:tcPr>
                <w:p w14:paraId="656CE9CD">
                  <w:pPr>
                    <w:adjustRightInd w:val="0"/>
                    <w:snapToGrid w:val="0"/>
                    <w:jc w:val="center"/>
                    <w:rPr>
                      <w:rFonts w:ascii="Times New Roman" w:hAnsi="Times New Roman"/>
                      <w:color w:val="auto"/>
                      <w:kern w:val="0"/>
                      <w:szCs w:val="21"/>
                    </w:rPr>
                  </w:pPr>
                  <w:r>
                    <w:rPr>
                      <w:rFonts w:ascii="Times New Roman" w:hAnsi="Times New Roman"/>
                      <w:color w:val="auto"/>
                      <w:kern w:val="0"/>
                      <w:szCs w:val="21"/>
                    </w:rPr>
                    <w:t>1</w:t>
                  </w:r>
                </w:p>
              </w:tc>
              <w:tc>
                <w:tcPr>
                  <w:tcW w:w="637" w:type="pct"/>
                  <w:tcBorders>
                    <w:tl2br w:val="nil"/>
                    <w:tr2bl w:val="nil"/>
                  </w:tcBorders>
                  <w:shd w:val="clear" w:color="auto" w:fill="auto"/>
                  <w:vAlign w:val="center"/>
                </w:tcPr>
                <w:p w14:paraId="1E524C38">
                  <w:pPr>
                    <w:adjustRightInd w:val="0"/>
                    <w:snapToGrid w:val="0"/>
                    <w:jc w:val="center"/>
                    <w:rPr>
                      <w:rFonts w:ascii="Times New Roman" w:hAnsi="Times New Roman"/>
                      <w:color w:val="auto"/>
                      <w:kern w:val="0"/>
                      <w:szCs w:val="21"/>
                    </w:rPr>
                  </w:pPr>
                  <w:r>
                    <w:rPr>
                      <w:rFonts w:ascii="Times New Roman" w:hAnsi="Times New Roman"/>
                      <w:color w:val="auto"/>
                      <w:kern w:val="0"/>
                      <w:szCs w:val="21"/>
                    </w:rPr>
                    <w:t>松雀鹰</w:t>
                  </w:r>
                  <w:r>
                    <w:rPr>
                      <w:rFonts w:ascii="Times New Roman" w:hAnsi="Times New Roman"/>
                      <w:i/>
                      <w:iCs/>
                      <w:color w:val="auto"/>
                      <w:kern w:val="0"/>
                      <w:szCs w:val="21"/>
                    </w:rPr>
                    <w:t>Accipiter virgatus</w:t>
                  </w:r>
                </w:p>
              </w:tc>
              <w:tc>
                <w:tcPr>
                  <w:tcW w:w="465" w:type="pct"/>
                  <w:tcBorders>
                    <w:tl2br w:val="nil"/>
                    <w:tr2bl w:val="nil"/>
                  </w:tcBorders>
                  <w:shd w:val="clear" w:color="auto" w:fill="auto"/>
                  <w:vAlign w:val="center"/>
                </w:tcPr>
                <w:p w14:paraId="5642C5A7">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国家二级</w:t>
                  </w:r>
                </w:p>
              </w:tc>
              <w:tc>
                <w:tcPr>
                  <w:tcW w:w="830" w:type="pct"/>
                  <w:tcBorders>
                    <w:tl2br w:val="nil"/>
                    <w:tr2bl w:val="nil"/>
                  </w:tcBorders>
                  <w:shd w:val="clear" w:color="auto" w:fill="auto"/>
                  <w:vAlign w:val="center"/>
                </w:tcPr>
                <w:p w14:paraId="5AA5722E">
                  <w:pPr>
                    <w:adjustRightInd w:val="0"/>
                    <w:snapToGrid w:val="0"/>
                    <w:jc w:val="center"/>
                    <w:rPr>
                      <w:rFonts w:ascii="Times New Roman" w:hAnsi="Times New Roman"/>
                      <w:color w:val="auto"/>
                      <w:kern w:val="0"/>
                      <w:szCs w:val="21"/>
                    </w:rPr>
                  </w:pPr>
                  <w:r>
                    <w:rPr>
                      <w:rFonts w:ascii="Times New Roman" w:hAnsi="Times New Roman"/>
                      <w:color w:val="auto"/>
                      <w:kern w:val="0"/>
                      <w:szCs w:val="21"/>
                    </w:rPr>
                    <w:t>《中国生物多样性红色名录》LC（无危）</w:t>
                  </w:r>
                </w:p>
              </w:tc>
              <w:tc>
                <w:tcPr>
                  <w:tcW w:w="404" w:type="pct"/>
                  <w:tcBorders>
                    <w:tl2br w:val="nil"/>
                    <w:tr2bl w:val="nil"/>
                  </w:tcBorders>
                  <w:shd w:val="clear" w:color="auto" w:fill="auto"/>
                  <w:vAlign w:val="center"/>
                </w:tcPr>
                <w:p w14:paraId="181A38BD">
                  <w:pPr>
                    <w:adjustRightInd w:val="0"/>
                    <w:snapToGrid w:val="0"/>
                    <w:jc w:val="center"/>
                    <w:rPr>
                      <w:rFonts w:ascii="Times New Roman" w:hAnsi="Times New Roman"/>
                      <w:color w:val="auto"/>
                      <w:kern w:val="0"/>
                      <w:szCs w:val="21"/>
                    </w:rPr>
                  </w:pPr>
                  <w:r>
                    <w:rPr>
                      <w:rFonts w:ascii="Times New Roman" w:hAnsi="Times New Roman"/>
                      <w:color w:val="auto"/>
                      <w:kern w:val="0"/>
                      <w:szCs w:val="21"/>
                    </w:rPr>
                    <w:t>否</w:t>
                  </w:r>
                </w:p>
              </w:tc>
              <w:tc>
                <w:tcPr>
                  <w:tcW w:w="885" w:type="pct"/>
                  <w:tcBorders>
                    <w:tl2br w:val="nil"/>
                    <w:tr2bl w:val="nil"/>
                  </w:tcBorders>
                  <w:shd w:val="clear" w:color="auto" w:fill="auto"/>
                  <w:vAlign w:val="center"/>
                </w:tcPr>
                <w:p w14:paraId="40FF5EF6">
                  <w:pPr>
                    <w:adjustRightInd w:val="0"/>
                    <w:snapToGrid w:val="0"/>
                    <w:jc w:val="center"/>
                    <w:rPr>
                      <w:rFonts w:ascii="Times New Roman" w:hAnsi="Times New Roman"/>
                      <w:color w:val="auto"/>
                      <w:kern w:val="0"/>
                      <w:szCs w:val="21"/>
                    </w:rPr>
                  </w:pPr>
                  <w:r>
                    <w:rPr>
                      <w:rFonts w:ascii="Times New Roman" w:hAnsi="Times New Roman"/>
                      <w:color w:val="auto"/>
                      <w:kern w:val="0"/>
                      <w:szCs w:val="21"/>
                    </w:rPr>
                    <w:t>评价区约分布有1-2只，踪迹集中在中部山林地带。</w:t>
                  </w:r>
                </w:p>
              </w:tc>
              <w:tc>
                <w:tcPr>
                  <w:tcW w:w="492" w:type="pct"/>
                  <w:tcBorders>
                    <w:tl2br w:val="nil"/>
                    <w:tr2bl w:val="nil"/>
                  </w:tcBorders>
                  <w:shd w:val="clear" w:color="auto" w:fill="auto"/>
                  <w:vAlign w:val="center"/>
                </w:tcPr>
                <w:p w14:paraId="1FEAD4F7">
                  <w:pPr>
                    <w:adjustRightInd w:val="0"/>
                    <w:snapToGrid w:val="0"/>
                    <w:jc w:val="center"/>
                    <w:rPr>
                      <w:rFonts w:ascii="Times New Roman" w:hAnsi="Times New Roman"/>
                      <w:color w:val="auto"/>
                      <w:kern w:val="0"/>
                      <w:szCs w:val="21"/>
                    </w:rPr>
                  </w:pPr>
                  <w:r>
                    <w:rPr>
                      <w:rFonts w:ascii="Times New Roman" w:hAnsi="Times New Roman"/>
                      <w:color w:val="auto"/>
                      <w:kern w:val="0"/>
                      <w:szCs w:val="21"/>
                    </w:rPr>
                    <w:t>走访调查</w:t>
                  </w:r>
                </w:p>
              </w:tc>
              <w:tc>
                <w:tcPr>
                  <w:tcW w:w="492" w:type="pct"/>
                  <w:tcBorders>
                    <w:tl2br w:val="nil"/>
                    <w:tr2bl w:val="nil"/>
                  </w:tcBorders>
                  <w:shd w:val="clear" w:color="auto" w:fill="auto"/>
                  <w:vAlign w:val="center"/>
                </w:tcPr>
                <w:p w14:paraId="0EF8DA28">
                  <w:pPr>
                    <w:adjustRightInd w:val="0"/>
                    <w:snapToGrid w:val="0"/>
                    <w:jc w:val="center"/>
                    <w:rPr>
                      <w:rFonts w:ascii="Times New Roman" w:hAnsi="Times New Roman"/>
                      <w:color w:val="auto"/>
                      <w:kern w:val="0"/>
                      <w:szCs w:val="21"/>
                    </w:rPr>
                  </w:pPr>
                  <w:r>
                    <w:rPr>
                      <w:rFonts w:ascii="Times New Roman" w:hAnsi="Times New Roman"/>
                      <w:color w:val="auto"/>
                      <w:kern w:val="0"/>
                      <w:szCs w:val="21"/>
                    </w:rPr>
                    <w:t>不占用</w:t>
                  </w:r>
                </w:p>
              </w:tc>
              <w:tc>
                <w:tcPr>
                  <w:tcW w:w="538" w:type="pct"/>
                  <w:tcBorders>
                    <w:tl2br w:val="nil"/>
                    <w:tr2bl w:val="nil"/>
                  </w:tcBorders>
                  <w:shd w:val="clear" w:color="auto" w:fill="auto"/>
                  <w:vAlign w:val="center"/>
                </w:tcPr>
                <w:p w14:paraId="7BD5DC83">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r>
            <w:tr w14:paraId="3D9FA2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tcBorders>
                    <w:tl2br w:val="nil"/>
                    <w:tr2bl w:val="nil"/>
                  </w:tcBorders>
                  <w:shd w:val="clear" w:color="auto" w:fill="auto"/>
                  <w:vAlign w:val="center"/>
                </w:tcPr>
                <w:p w14:paraId="0E16AF88">
                  <w:pPr>
                    <w:adjustRightInd w:val="0"/>
                    <w:snapToGrid w:val="0"/>
                    <w:jc w:val="center"/>
                    <w:rPr>
                      <w:rFonts w:ascii="Times New Roman" w:hAnsi="Times New Roman"/>
                      <w:color w:val="auto"/>
                      <w:kern w:val="0"/>
                      <w:szCs w:val="21"/>
                    </w:rPr>
                  </w:pPr>
                  <w:r>
                    <w:rPr>
                      <w:rFonts w:ascii="Times New Roman" w:hAnsi="Times New Roman"/>
                      <w:color w:val="auto"/>
                      <w:kern w:val="0"/>
                      <w:szCs w:val="21"/>
                    </w:rPr>
                    <w:t>2</w:t>
                  </w:r>
                </w:p>
              </w:tc>
              <w:tc>
                <w:tcPr>
                  <w:tcW w:w="637" w:type="pct"/>
                  <w:tcBorders>
                    <w:tl2br w:val="nil"/>
                    <w:tr2bl w:val="nil"/>
                  </w:tcBorders>
                  <w:shd w:val="clear" w:color="auto" w:fill="auto"/>
                  <w:vAlign w:val="center"/>
                </w:tcPr>
                <w:p w14:paraId="1758AB1B">
                  <w:pPr>
                    <w:adjustRightInd w:val="0"/>
                    <w:snapToGrid w:val="0"/>
                    <w:jc w:val="center"/>
                    <w:rPr>
                      <w:rFonts w:ascii="Times New Roman" w:hAnsi="Times New Roman"/>
                      <w:color w:val="auto"/>
                      <w:kern w:val="0"/>
                      <w:szCs w:val="21"/>
                    </w:rPr>
                  </w:pPr>
                  <w:r>
                    <w:rPr>
                      <w:rFonts w:ascii="Times New Roman" w:hAnsi="Times New Roman"/>
                      <w:color w:val="auto"/>
                      <w:kern w:val="0"/>
                      <w:szCs w:val="21"/>
                    </w:rPr>
                    <w:t>普通鵟</w:t>
                  </w:r>
                  <w:r>
                    <w:rPr>
                      <w:rFonts w:ascii="Times New Roman" w:hAnsi="Times New Roman"/>
                      <w:i/>
                      <w:iCs/>
                      <w:color w:val="auto"/>
                      <w:kern w:val="0"/>
                      <w:szCs w:val="21"/>
                    </w:rPr>
                    <w:t>Buteo buteo</w:t>
                  </w:r>
                </w:p>
              </w:tc>
              <w:tc>
                <w:tcPr>
                  <w:tcW w:w="465" w:type="pct"/>
                  <w:tcBorders>
                    <w:tl2br w:val="nil"/>
                    <w:tr2bl w:val="nil"/>
                  </w:tcBorders>
                  <w:shd w:val="clear" w:color="auto" w:fill="auto"/>
                  <w:vAlign w:val="center"/>
                </w:tcPr>
                <w:p w14:paraId="3FA8F536">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国家二级</w:t>
                  </w:r>
                </w:p>
              </w:tc>
              <w:tc>
                <w:tcPr>
                  <w:tcW w:w="830" w:type="pct"/>
                  <w:tcBorders>
                    <w:tl2br w:val="nil"/>
                    <w:tr2bl w:val="nil"/>
                  </w:tcBorders>
                  <w:shd w:val="clear" w:color="auto" w:fill="auto"/>
                  <w:vAlign w:val="center"/>
                </w:tcPr>
                <w:p w14:paraId="4FD4009E">
                  <w:pPr>
                    <w:adjustRightInd w:val="0"/>
                    <w:snapToGrid w:val="0"/>
                    <w:jc w:val="center"/>
                    <w:rPr>
                      <w:rFonts w:ascii="Times New Roman" w:hAnsi="Times New Roman"/>
                      <w:color w:val="auto"/>
                      <w:kern w:val="0"/>
                      <w:szCs w:val="21"/>
                    </w:rPr>
                  </w:pPr>
                  <w:r>
                    <w:rPr>
                      <w:rFonts w:ascii="Times New Roman" w:hAnsi="Times New Roman"/>
                      <w:color w:val="auto"/>
                      <w:kern w:val="0"/>
                      <w:szCs w:val="21"/>
                    </w:rPr>
                    <w:t>《中国生物多样性红色名录》LC（无危）</w:t>
                  </w:r>
                </w:p>
              </w:tc>
              <w:tc>
                <w:tcPr>
                  <w:tcW w:w="404" w:type="pct"/>
                  <w:tcBorders>
                    <w:tl2br w:val="nil"/>
                    <w:tr2bl w:val="nil"/>
                  </w:tcBorders>
                  <w:shd w:val="clear" w:color="auto" w:fill="auto"/>
                  <w:vAlign w:val="center"/>
                </w:tcPr>
                <w:p w14:paraId="13288BBC">
                  <w:pPr>
                    <w:adjustRightInd w:val="0"/>
                    <w:snapToGrid w:val="0"/>
                    <w:jc w:val="center"/>
                    <w:rPr>
                      <w:rFonts w:ascii="Times New Roman" w:hAnsi="Times New Roman"/>
                      <w:color w:val="auto"/>
                      <w:kern w:val="0"/>
                      <w:szCs w:val="21"/>
                    </w:rPr>
                  </w:pPr>
                  <w:r>
                    <w:rPr>
                      <w:rFonts w:ascii="Times New Roman" w:hAnsi="Times New Roman"/>
                      <w:color w:val="auto"/>
                      <w:kern w:val="0"/>
                      <w:szCs w:val="21"/>
                    </w:rPr>
                    <w:t>否</w:t>
                  </w:r>
                </w:p>
              </w:tc>
              <w:tc>
                <w:tcPr>
                  <w:tcW w:w="885" w:type="pct"/>
                  <w:tcBorders>
                    <w:tl2br w:val="nil"/>
                    <w:tr2bl w:val="nil"/>
                  </w:tcBorders>
                  <w:shd w:val="clear" w:color="auto" w:fill="auto"/>
                  <w:vAlign w:val="center"/>
                </w:tcPr>
                <w:p w14:paraId="15857913">
                  <w:pPr>
                    <w:adjustRightInd w:val="0"/>
                    <w:snapToGrid w:val="0"/>
                    <w:jc w:val="center"/>
                    <w:rPr>
                      <w:rFonts w:ascii="Times New Roman" w:hAnsi="Times New Roman"/>
                      <w:color w:val="auto"/>
                      <w:kern w:val="0"/>
                      <w:szCs w:val="21"/>
                    </w:rPr>
                  </w:pPr>
                  <w:r>
                    <w:rPr>
                      <w:rFonts w:ascii="Times New Roman" w:hAnsi="Times New Roman"/>
                      <w:color w:val="auto"/>
                      <w:kern w:val="0"/>
                      <w:szCs w:val="21"/>
                    </w:rPr>
                    <w:t>评价区内主要分布在靠近农田的区域，约分布有1-2只</w:t>
                  </w:r>
                </w:p>
              </w:tc>
              <w:tc>
                <w:tcPr>
                  <w:tcW w:w="492" w:type="pct"/>
                  <w:tcBorders>
                    <w:tl2br w:val="nil"/>
                    <w:tr2bl w:val="nil"/>
                  </w:tcBorders>
                  <w:shd w:val="clear" w:color="auto" w:fill="auto"/>
                  <w:vAlign w:val="center"/>
                </w:tcPr>
                <w:p w14:paraId="3C829635">
                  <w:pPr>
                    <w:adjustRightInd w:val="0"/>
                    <w:snapToGrid w:val="0"/>
                    <w:jc w:val="center"/>
                    <w:rPr>
                      <w:rFonts w:ascii="Times New Roman" w:hAnsi="Times New Roman"/>
                      <w:color w:val="auto"/>
                      <w:kern w:val="0"/>
                      <w:szCs w:val="21"/>
                    </w:rPr>
                  </w:pPr>
                  <w:r>
                    <w:rPr>
                      <w:rFonts w:ascii="Times New Roman" w:hAnsi="Times New Roman"/>
                      <w:color w:val="auto"/>
                      <w:kern w:val="0"/>
                      <w:szCs w:val="21"/>
                    </w:rPr>
                    <w:t>走访调查</w:t>
                  </w:r>
                </w:p>
              </w:tc>
              <w:tc>
                <w:tcPr>
                  <w:tcW w:w="492" w:type="pct"/>
                  <w:tcBorders>
                    <w:tl2br w:val="nil"/>
                    <w:tr2bl w:val="nil"/>
                  </w:tcBorders>
                  <w:shd w:val="clear" w:color="auto" w:fill="auto"/>
                  <w:vAlign w:val="center"/>
                </w:tcPr>
                <w:p w14:paraId="78C953F4">
                  <w:pPr>
                    <w:adjustRightInd w:val="0"/>
                    <w:snapToGrid w:val="0"/>
                    <w:jc w:val="center"/>
                    <w:rPr>
                      <w:rFonts w:ascii="Times New Roman" w:hAnsi="Times New Roman"/>
                      <w:color w:val="auto"/>
                      <w:kern w:val="0"/>
                      <w:szCs w:val="21"/>
                    </w:rPr>
                  </w:pPr>
                  <w:r>
                    <w:rPr>
                      <w:rFonts w:ascii="Times New Roman" w:hAnsi="Times New Roman"/>
                      <w:color w:val="auto"/>
                      <w:kern w:val="0"/>
                      <w:szCs w:val="21"/>
                    </w:rPr>
                    <w:t>不占用</w:t>
                  </w:r>
                </w:p>
              </w:tc>
              <w:tc>
                <w:tcPr>
                  <w:tcW w:w="538" w:type="pct"/>
                  <w:tcBorders>
                    <w:tl2br w:val="nil"/>
                    <w:tr2bl w:val="nil"/>
                  </w:tcBorders>
                  <w:shd w:val="clear" w:color="auto" w:fill="auto"/>
                  <w:vAlign w:val="center"/>
                </w:tcPr>
                <w:p w14:paraId="5EA6BCA3">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r>
            <w:tr w14:paraId="64829A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tcBorders>
                    <w:tl2br w:val="nil"/>
                    <w:tr2bl w:val="nil"/>
                  </w:tcBorders>
                  <w:shd w:val="clear" w:color="auto" w:fill="auto"/>
                  <w:vAlign w:val="center"/>
                </w:tcPr>
                <w:p w14:paraId="303AB658">
                  <w:pPr>
                    <w:adjustRightInd w:val="0"/>
                    <w:snapToGrid w:val="0"/>
                    <w:jc w:val="center"/>
                    <w:rPr>
                      <w:rFonts w:ascii="Times New Roman" w:hAnsi="Times New Roman"/>
                      <w:color w:val="auto"/>
                      <w:kern w:val="0"/>
                      <w:szCs w:val="21"/>
                    </w:rPr>
                  </w:pPr>
                  <w:r>
                    <w:rPr>
                      <w:rFonts w:ascii="Times New Roman" w:hAnsi="Times New Roman"/>
                      <w:color w:val="auto"/>
                      <w:kern w:val="0"/>
                      <w:szCs w:val="21"/>
                    </w:rPr>
                    <w:t>3</w:t>
                  </w:r>
                </w:p>
              </w:tc>
              <w:tc>
                <w:tcPr>
                  <w:tcW w:w="637" w:type="pct"/>
                  <w:tcBorders>
                    <w:tl2br w:val="nil"/>
                    <w:tr2bl w:val="nil"/>
                  </w:tcBorders>
                  <w:shd w:val="clear" w:color="auto" w:fill="auto"/>
                  <w:vAlign w:val="center"/>
                </w:tcPr>
                <w:p w14:paraId="577209AF">
                  <w:pPr>
                    <w:adjustRightInd w:val="0"/>
                    <w:snapToGrid w:val="0"/>
                    <w:jc w:val="center"/>
                    <w:rPr>
                      <w:rFonts w:ascii="Times New Roman" w:hAnsi="Times New Roman"/>
                      <w:color w:val="auto"/>
                      <w:kern w:val="0"/>
                      <w:szCs w:val="21"/>
                    </w:rPr>
                  </w:pPr>
                  <w:r>
                    <w:rPr>
                      <w:rFonts w:ascii="Times New Roman" w:hAnsi="Times New Roman"/>
                      <w:color w:val="auto"/>
                      <w:kern w:val="0"/>
                      <w:szCs w:val="21"/>
                    </w:rPr>
                    <w:t>红隼</w:t>
                  </w:r>
                  <w:r>
                    <w:rPr>
                      <w:rFonts w:ascii="Times New Roman" w:hAnsi="Times New Roman"/>
                      <w:i/>
                      <w:color w:val="auto"/>
                      <w:kern w:val="0"/>
                      <w:szCs w:val="21"/>
                    </w:rPr>
                    <w:t>Falco tinnunculus</w:t>
                  </w:r>
                </w:p>
              </w:tc>
              <w:tc>
                <w:tcPr>
                  <w:tcW w:w="465" w:type="pct"/>
                  <w:tcBorders>
                    <w:tl2br w:val="nil"/>
                    <w:tr2bl w:val="nil"/>
                  </w:tcBorders>
                  <w:shd w:val="clear" w:color="auto" w:fill="auto"/>
                  <w:vAlign w:val="center"/>
                </w:tcPr>
                <w:p w14:paraId="4CEA75DC">
                  <w:pPr>
                    <w:adjustRightInd w:val="0"/>
                    <w:snapToGrid w:val="0"/>
                    <w:jc w:val="center"/>
                    <w:rPr>
                      <w:rFonts w:ascii="Times New Roman" w:hAnsi="Times New Roman"/>
                      <w:color w:val="auto"/>
                      <w:kern w:val="0"/>
                      <w:szCs w:val="21"/>
                    </w:rPr>
                  </w:pPr>
                  <w:r>
                    <w:rPr>
                      <w:rFonts w:ascii="Times New Roman" w:hAnsi="Times New Roman"/>
                      <w:color w:val="auto"/>
                      <w:kern w:val="0"/>
                      <w:szCs w:val="21"/>
                    </w:rPr>
                    <w:t>国家二级</w:t>
                  </w:r>
                </w:p>
              </w:tc>
              <w:tc>
                <w:tcPr>
                  <w:tcW w:w="830" w:type="pct"/>
                  <w:tcBorders>
                    <w:tl2br w:val="nil"/>
                    <w:tr2bl w:val="nil"/>
                  </w:tcBorders>
                  <w:shd w:val="clear" w:color="auto" w:fill="auto"/>
                  <w:vAlign w:val="center"/>
                </w:tcPr>
                <w:p w14:paraId="59B8595A">
                  <w:pPr>
                    <w:adjustRightInd w:val="0"/>
                    <w:snapToGrid w:val="0"/>
                    <w:jc w:val="center"/>
                    <w:rPr>
                      <w:rFonts w:ascii="Times New Roman" w:hAnsi="Times New Roman"/>
                      <w:color w:val="auto"/>
                      <w:kern w:val="0"/>
                      <w:szCs w:val="21"/>
                    </w:rPr>
                  </w:pPr>
                  <w:r>
                    <w:rPr>
                      <w:rFonts w:ascii="Times New Roman" w:hAnsi="Times New Roman"/>
                      <w:color w:val="auto"/>
                      <w:kern w:val="0"/>
                      <w:szCs w:val="21"/>
                    </w:rPr>
                    <w:t>《中国生物多样性红色名录》LC（无危）</w:t>
                  </w:r>
                </w:p>
              </w:tc>
              <w:tc>
                <w:tcPr>
                  <w:tcW w:w="404" w:type="pct"/>
                  <w:tcBorders>
                    <w:tl2br w:val="nil"/>
                    <w:tr2bl w:val="nil"/>
                  </w:tcBorders>
                  <w:shd w:val="clear" w:color="auto" w:fill="auto"/>
                  <w:vAlign w:val="center"/>
                </w:tcPr>
                <w:p w14:paraId="1048C922">
                  <w:pPr>
                    <w:adjustRightInd w:val="0"/>
                    <w:snapToGrid w:val="0"/>
                    <w:jc w:val="center"/>
                    <w:rPr>
                      <w:rFonts w:ascii="Times New Roman" w:hAnsi="Times New Roman"/>
                      <w:color w:val="auto"/>
                      <w:kern w:val="0"/>
                      <w:szCs w:val="21"/>
                    </w:rPr>
                  </w:pPr>
                  <w:r>
                    <w:rPr>
                      <w:rFonts w:ascii="Times New Roman" w:hAnsi="Times New Roman"/>
                      <w:color w:val="auto"/>
                      <w:kern w:val="0"/>
                      <w:szCs w:val="21"/>
                    </w:rPr>
                    <w:t>否</w:t>
                  </w:r>
                </w:p>
              </w:tc>
              <w:tc>
                <w:tcPr>
                  <w:tcW w:w="885" w:type="pct"/>
                  <w:tcBorders>
                    <w:tl2br w:val="nil"/>
                    <w:tr2bl w:val="nil"/>
                  </w:tcBorders>
                  <w:shd w:val="clear" w:color="auto" w:fill="auto"/>
                  <w:vAlign w:val="center"/>
                </w:tcPr>
                <w:p w14:paraId="5358E55B">
                  <w:pPr>
                    <w:adjustRightInd w:val="0"/>
                    <w:snapToGrid w:val="0"/>
                    <w:jc w:val="center"/>
                    <w:rPr>
                      <w:rFonts w:ascii="Times New Roman" w:hAnsi="Times New Roman"/>
                      <w:color w:val="auto"/>
                      <w:kern w:val="0"/>
                      <w:szCs w:val="21"/>
                    </w:rPr>
                  </w:pPr>
                  <w:r>
                    <w:rPr>
                      <w:rFonts w:ascii="Times New Roman" w:hAnsi="Times New Roman"/>
                      <w:color w:val="auto"/>
                      <w:kern w:val="0"/>
                      <w:szCs w:val="21"/>
                    </w:rPr>
                    <w:t>评价区约分布1-2只，主要分布在靠近农田和村庄的灌草丛地带。</w:t>
                  </w:r>
                </w:p>
              </w:tc>
              <w:tc>
                <w:tcPr>
                  <w:tcW w:w="492" w:type="pct"/>
                  <w:tcBorders>
                    <w:tl2br w:val="nil"/>
                    <w:tr2bl w:val="nil"/>
                  </w:tcBorders>
                  <w:shd w:val="clear" w:color="auto" w:fill="auto"/>
                  <w:vAlign w:val="center"/>
                </w:tcPr>
                <w:p w14:paraId="1463C341">
                  <w:pPr>
                    <w:adjustRightInd w:val="0"/>
                    <w:snapToGrid w:val="0"/>
                    <w:jc w:val="center"/>
                    <w:rPr>
                      <w:rFonts w:ascii="Times New Roman" w:hAnsi="Times New Roman"/>
                      <w:color w:val="auto"/>
                      <w:kern w:val="0"/>
                      <w:szCs w:val="21"/>
                    </w:rPr>
                  </w:pPr>
                  <w:r>
                    <w:rPr>
                      <w:rFonts w:ascii="Times New Roman" w:hAnsi="Times New Roman"/>
                      <w:color w:val="auto"/>
                      <w:kern w:val="0"/>
                      <w:szCs w:val="21"/>
                    </w:rPr>
                    <w:t>走访调查</w:t>
                  </w:r>
                </w:p>
              </w:tc>
              <w:tc>
                <w:tcPr>
                  <w:tcW w:w="492" w:type="pct"/>
                  <w:tcBorders>
                    <w:tl2br w:val="nil"/>
                    <w:tr2bl w:val="nil"/>
                  </w:tcBorders>
                  <w:shd w:val="clear" w:color="auto" w:fill="auto"/>
                  <w:vAlign w:val="center"/>
                </w:tcPr>
                <w:p w14:paraId="52465D5E">
                  <w:pPr>
                    <w:adjustRightInd w:val="0"/>
                    <w:snapToGrid w:val="0"/>
                    <w:jc w:val="center"/>
                    <w:rPr>
                      <w:rFonts w:ascii="Times New Roman" w:hAnsi="Times New Roman"/>
                      <w:color w:val="auto"/>
                      <w:kern w:val="0"/>
                      <w:szCs w:val="21"/>
                    </w:rPr>
                  </w:pPr>
                  <w:r>
                    <w:rPr>
                      <w:rFonts w:ascii="Times New Roman" w:hAnsi="Times New Roman"/>
                      <w:color w:val="auto"/>
                      <w:kern w:val="0"/>
                      <w:szCs w:val="21"/>
                    </w:rPr>
                    <w:t>不占用</w:t>
                  </w:r>
                </w:p>
              </w:tc>
              <w:tc>
                <w:tcPr>
                  <w:tcW w:w="538" w:type="pct"/>
                  <w:tcBorders>
                    <w:tl2br w:val="nil"/>
                    <w:tr2bl w:val="nil"/>
                  </w:tcBorders>
                  <w:shd w:val="clear" w:color="auto" w:fill="auto"/>
                  <w:vAlign w:val="center"/>
                </w:tcPr>
                <w:p w14:paraId="7078C74C">
                  <w:pPr>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r>
            <w:tr w14:paraId="703FC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54" w:type="pct"/>
                  <w:tcBorders>
                    <w:tl2br w:val="nil"/>
                    <w:tr2bl w:val="nil"/>
                  </w:tcBorders>
                  <w:shd w:val="clear" w:color="auto" w:fill="auto"/>
                  <w:vAlign w:val="center"/>
                </w:tcPr>
                <w:p w14:paraId="044C4036">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4</w:t>
                  </w:r>
                </w:p>
              </w:tc>
              <w:tc>
                <w:tcPr>
                  <w:tcW w:w="637" w:type="pct"/>
                  <w:tcBorders>
                    <w:tl2br w:val="nil"/>
                    <w:tr2bl w:val="nil"/>
                  </w:tcBorders>
                  <w:shd w:val="clear" w:color="auto" w:fill="auto"/>
                  <w:vAlign w:val="center"/>
                </w:tcPr>
                <w:p w14:paraId="7C47FB5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画眉</w:t>
                  </w:r>
                  <w:r>
                    <w:rPr>
                      <w:rFonts w:ascii="Times New Roman" w:hAnsi="Times New Roman"/>
                      <w:i/>
                      <w:iCs/>
                      <w:color w:val="auto"/>
                      <w:kern w:val="0"/>
                      <w:szCs w:val="21"/>
                    </w:rPr>
                    <w:t>Garrulax canorus</w:t>
                  </w:r>
                </w:p>
              </w:tc>
              <w:tc>
                <w:tcPr>
                  <w:tcW w:w="465" w:type="pct"/>
                  <w:tcBorders>
                    <w:tl2br w:val="nil"/>
                    <w:tr2bl w:val="nil"/>
                  </w:tcBorders>
                  <w:shd w:val="clear" w:color="auto" w:fill="auto"/>
                  <w:vAlign w:val="center"/>
                </w:tcPr>
                <w:p w14:paraId="7082C48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国家二级</w:t>
                  </w:r>
                </w:p>
              </w:tc>
              <w:tc>
                <w:tcPr>
                  <w:tcW w:w="830" w:type="pct"/>
                  <w:tcBorders>
                    <w:tl2br w:val="nil"/>
                    <w:tr2bl w:val="nil"/>
                  </w:tcBorders>
                  <w:shd w:val="clear" w:color="auto" w:fill="auto"/>
                  <w:vAlign w:val="center"/>
                </w:tcPr>
                <w:p w14:paraId="63BB1DAD">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NT</w:t>
                  </w:r>
                </w:p>
              </w:tc>
              <w:tc>
                <w:tcPr>
                  <w:tcW w:w="404" w:type="pct"/>
                  <w:tcBorders>
                    <w:tl2br w:val="nil"/>
                    <w:tr2bl w:val="nil"/>
                  </w:tcBorders>
                  <w:shd w:val="clear" w:color="auto" w:fill="auto"/>
                  <w:vAlign w:val="center"/>
                </w:tcPr>
                <w:p w14:paraId="1C6E6891">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否</w:t>
                  </w:r>
                </w:p>
              </w:tc>
              <w:tc>
                <w:tcPr>
                  <w:tcW w:w="885" w:type="pct"/>
                  <w:tcBorders>
                    <w:tl2br w:val="nil"/>
                    <w:tr2bl w:val="nil"/>
                  </w:tcBorders>
                  <w:shd w:val="clear" w:color="auto" w:fill="auto"/>
                  <w:vAlign w:val="center"/>
                </w:tcPr>
                <w:p w14:paraId="52AE39A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评价区内分布于靠近村庄的灌草丛</w:t>
                  </w:r>
                </w:p>
              </w:tc>
              <w:tc>
                <w:tcPr>
                  <w:tcW w:w="492" w:type="pct"/>
                  <w:tcBorders>
                    <w:tl2br w:val="nil"/>
                    <w:tr2bl w:val="nil"/>
                  </w:tcBorders>
                  <w:shd w:val="clear" w:color="auto" w:fill="auto"/>
                  <w:vAlign w:val="center"/>
                </w:tcPr>
                <w:p w14:paraId="00E761C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走访调查</w:t>
                  </w:r>
                </w:p>
              </w:tc>
              <w:tc>
                <w:tcPr>
                  <w:tcW w:w="492" w:type="pct"/>
                  <w:tcBorders>
                    <w:tl2br w:val="nil"/>
                    <w:tr2bl w:val="nil"/>
                  </w:tcBorders>
                  <w:shd w:val="clear" w:color="auto" w:fill="auto"/>
                  <w:vAlign w:val="center"/>
                </w:tcPr>
                <w:p w14:paraId="479E4D5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不占用</w:t>
                  </w:r>
                </w:p>
              </w:tc>
              <w:tc>
                <w:tcPr>
                  <w:tcW w:w="538" w:type="pct"/>
                  <w:tcBorders>
                    <w:tl2br w:val="nil"/>
                    <w:tr2bl w:val="nil"/>
                  </w:tcBorders>
                  <w:shd w:val="clear" w:color="auto" w:fill="auto"/>
                  <w:vAlign w:val="center"/>
                </w:tcPr>
                <w:p w14:paraId="1F0A7BE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p>
              </w:tc>
            </w:tr>
            <w:tr w14:paraId="421FB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tcBorders>
                    <w:tl2br w:val="nil"/>
                    <w:tr2bl w:val="nil"/>
                  </w:tcBorders>
                  <w:shd w:val="clear" w:color="auto" w:fill="auto"/>
                  <w:vAlign w:val="center"/>
                </w:tcPr>
                <w:p w14:paraId="370F9B0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4</w:t>
                  </w:r>
                </w:p>
              </w:tc>
              <w:tc>
                <w:tcPr>
                  <w:tcW w:w="637" w:type="pct"/>
                  <w:tcBorders>
                    <w:tl2br w:val="nil"/>
                    <w:tr2bl w:val="nil"/>
                  </w:tcBorders>
                  <w:shd w:val="clear" w:color="auto" w:fill="auto"/>
                  <w:vAlign w:val="center"/>
                </w:tcPr>
                <w:p w14:paraId="6CBAB002">
                  <w:pPr>
                    <w:adjustRightInd w:val="0"/>
                    <w:snapToGrid w:val="0"/>
                    <w:jc w:val="center"/>
                    <w:rPr>
                      <w:rFonts w:hint="eastAsia" w:ascii="Times New Roman" w:hAnsi="Times New Roman"/>
                      <w:color w:val="auto"/>
                      <w:kern w:val="0"/>
                      <w:szCs w:val="21"/>
                    </w:rPr>
                  </w:pPr>
                  <w:r>
                    <w:rPr>
                      <w:rFonts w:ascii="Times New Roman" w:hAnsi="Times New Roman"/>
                      <w:color w:val="auto"/>
                      <w:kern w:val="0"/>
                      <w:szCs w:val="21"/>
                    </w:rPr>
                    <w:t>豹猫</w:t>
                  </w:r>
                  <w:r>
                    <w:rPr>
                      <w:rFonts w:ascii="Times New Roman" w:hAnsi="Times New Roman"/>
                      <w:i/>
                      <w:iCs/>
                      <w:color w:val="auto"/>
                      <w:kern w:val="0"/>
                      <w:szCs w:val="21"/>
                    </w:rPr>
                    <w:t>Prionailurus bengalensis</w:t>
                  </w:r>
                </w:p>
              </w:tc>
              <w:tc>
                <w:tcPr>
                  <w:tcW w:w="465" w:type="pct"/>
                  <w:tcBorders>
                    <w:tl2br w:val="nil"/>
                    <w:tr2bl w:val="nil"/>
                  </w:tcBorders>
                  <w:shd w:val="clear" w:color="auto" w:fill="auto"/>
                  <w:vAlign w:val="center"/>
                </w:tcPr>
                <w:p w14:paraId="50FF287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国家二级</w:t>
                  </w:r>
                </w:p>
              </w:tc>
              <w:tc>
                <w:tcPr>
                  <w:tcW w:w="830" w:type="pct"/>
                  <w:tcBorders>
                    <w:tl2br w:val="nil"/>
                    <w:tr2bl w:val="nil"/>
                  </w:tcBorders>
                  <w:shd w:val="clear" w:color="auto" w:fill="auto"/>
                  <w:vAlign w:val="center"/>
                </w:tcPr>
                <w:p w14:paraId="67C08B96">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VU</w:t>
                  </w:r>
                </w:p>
              </w:tc>
              <w:tc>
                <w:tcPr>
                  <w:tcW w:w="404" w:type="pct"/>
                  <w:tcBorders>
                    <w:tl2br w:val="nil"/>
                    <w:tr2bl w:val="nil"/>
                  </w:tcBorders>
                  <w:shd w:val="clear" w:color="auto" w:fill="auto"/>
                  <w:vAlign w:val="center"/>
                </w:tcPr>
                <w:p w14:paraId="60B7ED5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否</w:t>
                  </w:r>
                </w:p>
              </w:tc>
              <w:tc>
                <w:tcPr>
                  <w:tcW w:w="885" w:type="pct"/>
                  <w:tcBorders>
                    <w:tl2br w:val="nil"/>
                    <w:tr2bl w:val="nil"/>
                  </w:tcBorders>
                  <w:shd w:val="clear" w:color="auto" w:fill="auto"/>
                  <w:vAlign w:val="center"/>
                </w:tcPr>
                <w:p w14:paraId="0B18A8AE">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靠近村庄的灌草丛和森林</w:t>
                  </w:r>
                </w:p>
              </w:tc>
              <w:tc>
                <w:tcPr>
                  <w:tcW w:w="492" w:type="pct"/>
                  <w:tcBorders>
                    <w:tl2br w:val="nil"/>
                    <w:tr2bl w:val="nil"/>
                  </w:tcBorders>
                  <w:shd w:val="clear" w:color="auto" w:fill="auto"/>
                  <w:vAlign w:val="center"/>
                </w:tcPr>
                <w:p w14:paraId="4C0BC3A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走访调查</w:t>
                  </w:r>
                </w:p>
              </w:tc>
              <w:tc>
                <w:tcPr>
                  <w:tcW w:w="492" w:type="pct"/>
                  <w:tcBorders>
                    <w:tl2br w:val="nil"/>
                    <w:tr2bl w:val="nil"/>
                  </w:tcBorders>
                  <w:shd w:val="clear" w:color="auto" w:fill="auto"/>
                  <w:vAlign w:val="center"/>
                </w:tcPr>
                <w:p w14:paraId="7A5E7A9E">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不占用</w:t>
                  </w:r>
                </w:p>
              </w:tc>
              <w:tc>
                <w:tcPr>
                  <w:tcW w:w="538" w:type="pct"/>
                  <w:tcBorders>
                    <w:tl2br w:val="nil"/>
                    <w:tr2bl w:val="nil"/>
                  </w:tcBorders>
                  <w:shd w:val="clear" w:color="auto" w:fill="auto"/>
                  <w:vAlign w:val="center"/>
                </w:tcPr>
                <w:p w14:paraId="1592F72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p>
              </w:tc>
            </w:tr>
          </w:tbl>
          <w:p w14:paraId="017C95B7">
            <w:pPr>
              <w:adjustRightInd w:val="0"/>
              <w:snapToGrid w:val="0"/>
              <w:spacing w:line="440" w:lineRule="exact"/>
              <w:ind w:firstLine="482" w:firstLineChars="200"/>
              <w:rPr>
                <w:rFonts w:ascii="Times New Roman" w:hAnsi="Times New Roman"/>
                <w:b/>
                <w:bCs/>
                <w:color w:val="auto"/>
                <w:sz w:val="24"/>
                <w:szCs w:val="24"/>
              </w:rPr>
            </w:pPr>
            <w:bookmarkStart w:id="78" w:name="_Toc27024"/>
            <w:r>
              <w:rPr>
                <w:rFonts w:hint="eastAsia" w:ascii="Times New Roman" w:hAnsi="Times New Roman"/>
                <w:b/>
                <w:bCs/>
                <w:color w:val="auto"/>
                <w:sz w:val="24"/>
                <w:szCs w:val="24"/>
              </w:rPr>
              <w:t>3.2.2.4</w:t>
            </w:r>
            <w:r>
              <w:rPr>
                <w:rFonts w:ascii="Times New Roman" w:hAnsi="Times New Roman"/>
                <w:b/>
                <w:bCs/>
                <w:color w:val="auto"/>
                <w:sz w:val="24"/>
                <w:szCs w:val="24"/>
              </w:rPr>
              <w:t xml:space="preserve"> 脊椎动物资源现状评价</w:t>
            </w:r>
            <w:bookmarkEnd w:id="78"/>
          </w:p>
          <w:p w14:paraId="2388372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评价区为滇东北中山山源亚区，河谷深切。流域气候为高原季风山区气候，降雨量较为丰沛、气候湿润，秋冬季易受川滇间地形静止锋的影响。河谷两岸高山散布针叶林，谷地灌丛丰茂，部分山坡为石灰岩</w:t>
            </w:r>
            <w:r>
              <w:rPr>
                <w:rFonts w:hint="eastAsia" w:ascii="Times New Roman" w:hAnsi="Times New Roman"/>
                <w:color w:val="auto"/>
                <w:sz w:val="24"/>
                <w:szCs w:val="24"/>
              </w:rPr>
              <w:t>灌丛</w:t>
            </w:r>
            <w:r>
              <w:rPr>
                <w:rFonts w:ascii="Times New Roman" w:hAnsi="Times New Roman"/>
                <w:color w:val="auto"/>
                <w:sz w:val="24"/>
                <w:szCs w:val="24"/>
              </w:rPr>
              <w:t>和裸地。河流水量相对较大，陆栖脊椎动物栖息环境多样。区域内陆栖脊椎动物种类相对丰富，但是种群数量较为贫乏，这主要与当地人为干扰（人为猎捕较为严重），以及陡峭的深切河谷栖息环境较为恶劣有关。</w:t>
            </w:r>
          </w:p>
          <w:p w14:paraId="3BB8399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评价区内所记录的陆栖脊椎动物中，共有国家级重点保护野生动物物种3种。无局限分布于该区域的特有种类。</w:t>
            </w:r>
          </w:p>
          <w:p w14:paraId="25874A1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评价区内栖息有陆栖脊椎动物</w:t>
            </w:r>
            <w:r>
              <w:rPr>
                <w:rFonts w:hint="eastAsia" w:ascii="Times New Roman" w:hAnsi="Times New Roman"/>
                <w:color w:val="auto"/>
                <w:sz w:val="24"/>
                <w:szCs w:val="24"/>
                <w:lang w:val="en-US" w:eastAsia="zh-CN"/>
              </w:rPr>
              <w:t>72</w:t>
            </w:r>
            <w:r>
              <w:rPr>
                <w:rFonts w:ascii="Times New Roman" w:hAnsi="Times New Roman"/>
                <w:color w:val="auto"/>
                <w:sz w:val="24"/>
                <w:szCs w:val="24"/>
              </w:rPr>
              <w:t>种</w:t>
            </w:r>
            <w:r>
              <w:rPr>
                <w:rFonts w:hint="eastAsia" w:ascii="Times New Roman" w:hAnsi="Times New Roman"/>
                <w:color w:val="auto"/>
                <w:sz w:val="24"/>
                <w:szCs w:val="24"/>
                <w:lang w:eastAsia="zh-CN"/>
              </w:rPr>
              <w:t>，</w:t>
            </w:r>
            <w:r>
              <w:rPr>
                <w:rFonts w:ascii="Times New Roman" w:hAnsi="Times New Roman"/>
                <w:color w:val="auto"/>
                <w:sz w:val="24"/>
                <w:szCs w:val="24"/>
              </w:rPr>
              <w:t>其中两栖类</w:t>
            </w:r>
            <w:r>
              <w:rPr>
                <w:rFonts w:hint="eastAsia" w:ascii="Times New Roman" w:hAnsi="Times New Roman"/>
                <w:color w:val="auto"/>
                <w:sz w:val="24"/>
                <w:szCs w:val="24"/>
              </w:rPr>
              <w:t>6</w:t>
            </w:r>
            <w:r>
              <w:rPr>
                <w:rFonts w:ascii="Times New Roman" w:hAnsi="Times New Roman"/>
                <w:color w:val="auto"/>
                <w:sz w:val="24"/>
                <w:szCs w:val="24"/>
              </w:rPr>
              <w:t>种；爬行类</w:t>
            </w:r>
            <w:r>
              <w:rPr>
                <w:rFonts w:hint="eastAsia" w:ascii="Times New Roman" w:hAnsi="Times New Roman"/>
                <w:color w:val="auto"/>
                <w:sz w:val="24"/>
                <w:szCs w:val="24"/>
              </w:rPr>
              <w:t>5</w:t>
            </w:r>
            <w:r>
              <w:rPr>
                <w:rFonts w:ascii="Times New Roman" w:hAnsi="Times New Roman"/>
                <w:color w:val="auto"/>
                <w:sz w:val="24"/>
                <w:szCs w:val="24"/>
              </w:rPr>
              <w:t>种；鸟类51种；哺乳类</w:t>
            </w:r>
            <w:r>
              <w:rPr>
                <w:rFonts w:hint="eastAsia" w:ascii="Times New Roman" w:hAnsi="Times New Roman"/>
                <w:color w:val="auto"/>
                <w:sz w:val="24"/>
                <w:szCs w:val="24"/>
                <w:lang w:val="en-US" w:eastAsia="zh-CN"/>
              </w:rPr>
              <w:t>10</w:t>
            </w:r>
            <w:r>
              <w:rPr>
                <w:rFonts w:ascii="Times New Roman" w:hAnsi="Times New Roman"/>
                <w:color w:val="auto"/>
                <w:sz w:val="24"/>
                <w:szCs w:val="24"/>
              </w:rPr>
              <w:t>种。鸟类种类最多，主要是因为鸟类活动能力</w:t>
            </w:r>
            <w:r>
              <w:rPr>
                <w:rFonts w:hint="eastAsia" w:ascii="Times New Roman" w:hAnsi="Times New Roman"/>
                <w:color w:val="auto"/>
                <w:sz w:val="24"/>
                <w:szCs w:val="24"/>
              </w:rPr>
              <w:t>强</w:t>
            </w:r>
            <w:r>
              <w:rPr>
                <w:rFonts w:ascii="Times New Roman" w:hAnsi="Times New Roman"/>
                <w:color w:val="auto"/>
                <w:sz w:val="24"/>
                <w:szCs w:val="24"/>
              </w:rPr>
              <w:t>，活动范围大。</w:t>
            </w:r>
          </w:p>
          <w:p w14:paraId="523119EF">
            <w:pPr>
              <w:adjustRightInd w:val="0"/>
              <w:snapToGrid w:val="0"/>
              <w:spacing w:line="440" w:lineRule="exact"/>
              <w:ind w:firstLine="480" w:firstLineChars="200"/>
              <w:rPr>
                <w:rFonts w:hint="eastAsia" w:ascii="Times New Roman" w:hAnsi="Times New Roman" w:eastAsia="宋体"/>
                <w:color w:val="auto"/>
                <w:sz w:val="24"/>
                <w:szCs w:val="24"/>
                <w:lang w:val="en-US" w:eastAsia="zh-CN"/>
              </w:rPr>
            </w:pPr>
            <w:r>
              <w:rPr>
                <w:rFonts w:ascii="Times New Roman" w:hAnsi="Times New Roman"/>
                <w:color w:val="auto"/>
                <w:sz w:val="24"/>
                <w:szCs w:val="24"/>
              </w:rPr>
              <w:t>评价区内所记录的陆栖脊椎动物中，共有国家重点保护野生动物</w:t>
            </w:r>
            <w:r>
              <w:rPr>
                <w:rFonts w:hint="eastAsia" w:ascii="Times New Roman" w:hAnsi="Times New Roman"/>
                <w:color w:val="auto"/>
                <w:sz w:val="24"/>
                <w:szCs w:val="24"/>
                <w:lang w:val="en-US" w:eastAsia="zh-CN"/>
              </w:rPr>
              <w:t>5</w:t>
            </w:r>
            <w:r>
              <w:rPr>
                <w:rFonts w:ascii="Times New Roman" w:hAnsi="Times New Roman"/>
                <w:color w:val="auto"/>
                <w:sz w:val="24"/>
                <w:szCs w:val="24"/>
              </w:rPr>
              <w:t>种</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其中</w:t>
            </w:r>
            <w:r>
              <w:rPr>
                <w:rFonts w:ascii="Times New Roman" w:hAnsi="Times New Roman"/>
                <w:color w:val="auto"/>
                <w:sz w:val="24"/>
                <w:szCs w:val="24"/>
              </w:rPr>
              <w:t>国家二级重点保护野生鸟类</w:t>
            </w:r>
            <w:r>
              <w:rPr>
                <w:rFonts w:hint="eastAsia" w:ascii="Times New Roman" w:hAnsi="Times New Roman"/>
                <w:color w:val="auto"/>
                <w:sz w:val="24"/>
                <w:szCs w:val="24"/>
                <w:lang w:val="en-US" w:eastAsia="zh-CN"/>
              </w:rPr>
              <w:t>4种</w:t>
            </w:r>
            <w:r>
              <w:rPr>
                <w:rFonts w:ascii="Times New Roman" w:hAnsi="Times New Roman"/>
                <w:color w:val="auto"/>
                <w:sz w:val="24"/>
                <w:szCs w:val="24"/>
              </w:rPr>
              <w:t>：松雀鹰</w:t>
            </w:r>
            <w:r>
              <w:rPr>
                <w:rFonts w:ascii="Times New Roman" w:hAnsi="Times New Roman"/>
                <w:i/>
                <w:iCs/>
                <w:color w:val="auto"/>
                <w:sz w:val="24"/>
                <w:szCs w:val="24"/>
              </w:rPr>
              <w:t>Accipiter virgatus</w:t>
            </w:r>
            <w:r>
              <w:rPr>
                <w:rFonts w:ascii="Times New Roman" w:hAnsi="Times New Roman"/>
                <w:color w:val="auto"/>
                <w:sz w:val="24"/>
                <w:szCs w:val="24"/>
              </w:rPr>
              <w:t>、普通鵟</w:t>
            </w:r>
            <w:r>
              <w:rPr>
                <w:rFonts w:ascii="Times New Roman" w:hAnsi="Times New Roman"/>
                <w:i/>
                <w:iCs/>
                <w:color w:val="auto"/>
                <w:sz w:val="24"/>
                <w:szCs w:val="24"/>
              </w:rPr>
              <w:t>Buteo buteo</w:t>
            </w:r>
            <w:r>
              <w:rPr>
                <w:rFonts w:ascii="Times New Roman" w:hAnsi="Times New Roman"/>
                <w:color w:val="auto"/>
                <w:sz w:val="24"/>
                <w:szCs w:val="24"/>
              </w:rPr>
              <w:t>、红隼</w:t>
            </w:r>
            <w:r>
              <w:rPr>
                <w:rFonts w:ascii="Times New Roman" w:hAnsi="Times New Roman"/>
                <w:i/>
                <w:iCs/>
                <w:color w:val="auto"/>
                <w:sz w:val="24"/>
                <w:szCs w:val="24"/>
              </w:rPr>
              <w:t>Falco tinnunculus</w:t>
            </w:r>
            <w:r>
              <w:rPr>
                <w:rFonts w:hint="eastAsia" w:ascii="Times New Roman" w:hAnsi="Times New Roman"/>
                <w:i/>
                <w:iCs/>
                <w:color w:val="auto"/>
                <w:sz w:val="24"/>
                <w:szCs w:val="24"/>
                <w:lang w:eastAsia="zh-CN"/>
              </w:rPr>
              <w:t>、</w:t>
            </w:r>
            <w:r>
              <w:rPr>
                <w:rFonts w:hint="eastAsia" w:ascii="Times New Roman" w:hAnsi="Times New Roman"/>
                <w:color w:val="auto"/>
                <w:kern w:val="0"/>
                <w:sz w:val="24"/>
                <w:szCs w:val="24"/>
              </w:rPr>
              <w:t>画眉</w:t>
            </w:r>
            <w:r>
              <w:rPr>
                <w:rFonts w:ascii="Times New Roman" w:hAnsi="Times New Roman"/>
                <w:i/>
                <w:iCs/>
                <w:color w:val="auto"/>
                <w:kern w:val="0"/>
                <w:sz w:val="24"/>
                <w:szCs w:val="24"/>
              </w:rPr>
              <w:t>Garrulax canorus</w:t>
            </w:r>
            <w:r>
              <w:rPr>
                <w:rFonts w:hint="eastAsia" w:ascii="Times New Roman" w:hAnsi="Times New Roman"/>
                <w:color w:val="auto"/>
                <w:sz w:val="24"/>
                <w:szCs w:val="24"/>
                <w:lang w:eastAsia="zh-CN"/>
              </w:rPr>
              <w:t>；</w:t>
            </w:r>
            <w:r>
              <w:rPr>
                <w:rFonts w:ascii="Times New Roman" w:hAnsi="Times New Roman"/>
                <w:color w:val="auto"/>
                <w:sz w:val="24"/>
                <w:szCs w:val="24"/>
              </w:rPr>
              <w:t>国家二级重点保护野生</w:t>
            </w:r>
            <w:r>
              <w:rPr>
                <w:rFonts w:hint="eastAsia" w:ascii="Times New Roman" w:hAnsi="Times New Roman"/>
                <w:color w:val="auto"/>
                <w:sz w:val="24"/>
                <w:szCs w:val="24"/>
                <w:lang w:val="en-US" w:eastAsia="zh-CN"/>
              </w:rPr>
              <w:t>种</w:t>
            </w:r>
            <w:r>
              <w:rPr>
                <w:rFonts w:hint="eastAsia" w:ascii="Times New Roman" w:hAnsi="Times New Roman"/>
                <w:color w:val="auto"/>
                <w:sz w:val="24"/>
                <w:szCs w:val="24"/>
                <w:lang w:eastAsia="zh-CN"/>
              </w:rPr>
              <w:t>哺乳类</w:t>
            </w:r>
            <w:r>
              <w:rPr>
                <w:rFonts w:hint="eastAsia" w:ascii="Times New Roman" w:hAnsi="Times New Roman"/>
                <w:color w:val="auto"/>
                <w:sz w:val="24"/>
                <w:szCs w:val="24"/>
                <w:lang w:val="en-US" w:eastAsia="zh-CN"/>
              </w:rPr>
              <w:t>1种：</w:t>
            </w:r>
            <w:r>
              <w:rPr>
                <w:rFonts w:hint="eastAsia" w:ascii="Times New Roman" w:hAnsi="Times New Roman"/>
                <w:color w:val="auto"/>
                <w:sz w:val="24"/>
                <w:szCs w:val="24"/>
              </w:rPr>
              <w:t>豹猫</w:t>
            </w:r>
            <w:r>
              <w:rPr>
                <w:rFonts w:ascii="Times New Roman" w:hAnsi="Times New Roman"/>
                <w:i/>
                <w:iCs/>
                <w:color w:val="auto"/>
                <w:sz w:val="24"/>
                <w:szCs w:val="24"/>
              </w:rPr>
              <w:t>Prionailurus bengalensis</w:t>
            </w:r>
            <w:r>
              <w:rPr>
                <w:rFonts w:hint="eastAsia" w:ascii="Times New Roman" w:hAnsi="Times New Roman"/>
                <w:color w:val="auto"/>
                <w:sz w:val="24"/>
                <w:szCs w:val="24"/>
                <w:lang w:eastAsia="zh-CN"/>
              </w:rPr>
              <w:t>。</w:t>
            </w:r>
          </w:p>
          <w:p w14:paraId="40BCC2A9">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评价区有</w:t>
            </w:r>
            <w:r>
              <w:rPr>
                <w:rFonts w:ascii="Times New Roman" w:hAnsi="Times New Roman"/>
                <w:color w:val="auto"/>
                <w:sz w:val="24"/>
                <w:szCs w:val="24"/>
              </w:rPr>
              <w:t>《中国生物多样性红色名录—脊椎动物卷（2020）》中收录的易危（VU）</w:t>
            </w:r>
            <w:r>
              <w:rPr>
                <w:rFonts w:hint="eastAsia" w:ascii="Times New Roman" w:hAnsi="Times New Roman"/>
                <w:color w:val="auto"/>
                <w:sz w:val="24"/>
                <w:szCs w:val="24"/>
                <w:lang w:val="en-US" w:eastAsia="zh-CN"/>
              </w:rPr>
              <w:t>物种1种，为豹猫</w:t>
            </w:r>
            <w:r>
              <w:rPr>
                <w:rFonts w:ascii="Times New Roman" w:hAnsi="Times New Roman"/>
                <w:i/>
                <w:iCs/>
                <w:color w:val="auto"/>
                <w:kern w:val="0"/>
                <w:sz w:val="24"/>
                <w:szCs w:val="24"/>
              </w:rPr>
              <w:t>Prionailurus bengalensis</w:t>
            </w:r>
            <w:r>
              <w:rPr>
                <w:rFonts w:ascii="Times New Roman" w:hAnsi="Times New Roman"/>
                <w:iCs/>
                <w:color w:val="auto"/>
                <w:sz w:val="24"/>
                <w:szCs w:val="24"/>
              </w:rPr>
              <w:t>。</w:t>
            </w:r>
            <w:r>
              <w:rPr>
                <w:rFonts w:ascii="Times New Roman" w:hAnsi="Times New Roman"/>
                <w:color w:val="auto"/>
                <w:sz w:val="24"/>
                <w:szCs w:val="24"/>
              </w:rPr>
              <w:t>无局限分布于该区域的特有种类。</w:t>
            </w:r>
          </w:p>
          <w:p w14:paraId="2484A942">
            <w:pPr>
              <w:keepNext/>
              <w:keepLines/>
              <w:widowControl/>
              <w:adjustRightInd w:val="0"/>
              <w:snapToGrid w:val="0"/>
              <w:spacing w:line="440" w:lineRule="exact"/>
              <w:outlineLvl w:val="2"/>
              <w:rPr>
                <w:rFonts w:ascii="Times New Roman" w:hAnsi="Times New Roman"/>
                <w:b/>
                <w:bCs/>
                <w:color w:val="auto"/>
                <w:sz w:val="24"/>
                <w:szCs w:val="24"/>
              </w:rPr>
            </w:pPr>
            <w:bookmarkStart w:id="79" w:name="_Toc399233468"/>
            <w:bookmarkStart w:id="80" w:name="_Toc377115112"/>
            <w:bookmarkStart w:id="81" w:name="_Toc377831875"/>
            <w:bookmarkStart w:id="82" w:name="_Toc377420756"/>
            <w:bookmarkStart w:id="83" w:name="_Toc399235666"/>
            <w:bookmarkStart w:id="84" w:name="_Toc534485247"/>
            <w:bookmarkStart w:id="85" w:name="_Toc63243812"/>
            <w:r>
              <w:rPr>
                <w:rFonts w:ascii="Times New Roman" w:hAnsi="Times New Roman"/>
                <w:b/>
                <w:bCs/>
                <w:color w:val="auto"/>
                <w:sz w:val="24"/>
                <w:szCs w:val="24"/>
              </w:rPr>
              <w:t>3.2.3</w:t>
            </w:r>
            <w:bookmarkEnd w:id="79"/>
            <w:bookmarkEnd w:id="80"/>
            <w:bookmarkEnd w:id="81"/>
            <w:bookmarkEnd w:id="82"/>
            <w:bookmarkEnd w:id="83"/>
            <w:bookmarkEnd w:id="84"/>
            <w:bookmarkEnd w:id="85"/>
            <w:r>
              <w:rPr>
                <w:rFonts w:ascii="Times New Roman" w:hAnsi="Times New Roman"/>
                <w:b/>
                <w:bCs/>
                <w:color w:val="auto"/>
                <w:sz w:val="24"/>
                <w:szCs w:val="24"/>
              </w:rPr>
              <w:t>水生生态现状</w:t>
            </w:r>
          </w:p>
          <w:p w14:paraId="105E16F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项目无涉水工程，在施工期污染物做到合理处置的前提下，工程建设对地表水无影响，因此本次评价不再对</w:t>
            </w:r>
            <w:r>
              <w:rPr>
                <w:rFonts w:hint="eastAsia" w:ascii="Times New Roman" w:hAnsi="Times New Roman"/>
                <w:color w:val="auto"/>
                <w:sz w:val="24"/>
                <w:szCs w:val="24"/>
              </w:rPr>
              <w:t>水生生态</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鱼类</w:t>
            </w:r>
            <w:r>
              <w:rPr>
                <w:rFonts w:ascii="Times New Roman" w:hAnsi="Times New Roman"/>
                <w:color w:val="auto"/>
                <w:sz w:val="24"/>
                <w:szCs w:val="24"/>
              </w:rPr>
              <w:t>进行调查评价。</w:t>
            </w:r>
          </w:p>
          <w:p w14:paraId="04A45209">
            <w:pPr>
              <w:keepNext/>
              <w:keepLines/>
              <w:widowControl/>
              <w:adjustRightInd w:val="0"/>
              <w:snapToGrid w:val="0"/>
              <w:spacing w:line="440" w:lineRule="exact"/>
              <w:outlineLvl w:val="2"/>
              <w:rPr>
                <w:rFonts w:ascii="Times New Roman" w:hAnsi="Times New Roman"/>
                <w:b/>
                <w:bCs/>
                <w:color w:val="auto"/>
                <w:sz w:val="24"/>
                <w:szCs w:val="24"/>
              </w:rPr>
            </w:pPr>
            <w:bookmarkStart w:id="86" w:name="_Toc63243813"/>
            <w:r>
              <w:rPr>
                <w:rFonts w:ascii="Times New Roman" w:hAnsi="Times New Roman"/>
                <w:b/>
                <w:bCs/>
                <w:color w:val="auto"/>
                <w:sz w:val="24"/>
                <w:szCs w:val="24"/>
              </w:rPr>
              <w:t>3.2.4土地利用现状</w:t>
            </w:r>
            <w:bookmarkEnd w:id="86"/>
          </w:p>
          <w:p w14:paraId="2EEBD540">
            <w:pPr>
              <w:widowControl/>
              <w:adjustRightInd w:val="0"/>
              <w:snapToGrid w:val="0"/>
              <w:spacing w:line="440" w:lineRule="exact"/>
              <w:ind w:firstLine="504" w:firstLineChars="200"/>
              <w:textAlignment w:val="baseline"/>
              <w:rPr>
                <w:rFonts w:ascii="Times New Roman" w:hAnsi="Times New Roman"/>
                <w:snapToGrid w:val="0"/>
                <w:color w:val="auto"/>
                <w:spacing w:val="6"/>
                <w:kern w:val="0"/>
                <w:sz w:val="24"/>
                <w:szCs w:val="20"/>
              </w:rPr>
            </w:pPr>
            <w:r>
              <w:rPr>
                <w:rFonts w:ascii="Times New Roman" w:hAnsi="Times New Roman"/>
                <w:snapToGrid w:val="0"/>
                <w:color w:val="auto"/>
                <w:spacing w:val="6"/>
                <w:kern w:val="0"/>
                <w:sz w:val="24"/>
                <w:szCs w:val="20"/>
              </w:rPr>
              <w:t>评价区域土地利用现状基于高分辨率遥感影像利用GIS软件进行人工目视解译，遥感影像采用区域卫星影像作为解译基础底图。按照《环境影响评价技术导则生态影响（HJ19-2022）》要求，通过人工目视判读遥感影像及现场调查核实，将评价范围内的土地利用类型按GB/T21010-2017土地利用分类体系进行分类，形成土地利用现状矢量数据库，并以二级类型作为基础制图单位制作评价区域土地利用现状图。对评价范围内各土地利用类型面积进行统计分析，结果如下表所示。</w:t>
            </w:r>
          </w:p>
          <w:p w14:paraId="2860B1A6">
            <w:pPr>
              <w:widowControl/>
              <w:adjustRightInd w:val="0"/>
              <w:snapToGrid w:val="0"/>
              <w:spacing w:line="440" w:lineRule="exact"/>
              <w:ind w:firstLine="504" w:firstLineChars="200"/>
              <w:textAlignment w:val="baseline"/>
              <w:rPr>
                <w:rFonts w:ascii="Times New Roman" w:hAnsi="Times New Roman"/>
                <w:snapToGrid w:val="0"/>
                <w:color w:val="auto"/>
                <w:spacing w:val="6"/>
                <w:kern w:val="0"/>
                <w:sz w:val="24"/>
                <w:szCs w:val="20"/>
              </w:rPr>
            </w:pPr>
            <w:r>
              <w:rPr>
                <w:rFonts w:ascii="Times New Roman" w:hAnsi="Times New Roman"/>
                <w:snapToGrid w:val="0"/>
                <w:color w:val="auto"/>
                <w:spacing w:val="6"/>
                <w:kern w:val="0"/>
                <w:sz w:val="24"/>
                <w:szCs w:val="20"/>
              </w:rPr>
              <w:t>根据统计结果，评价区总面积1323.172hm²，土地利用现状以乔木林地分布面积最广，面积483.249hm²，占评价区总面积36.52%；其次为旱地，面积458.641hm²，占比34.66%；位列第三的是灌木林地，面积210.959hm²，占比15.94%；其他草地面积116.277hm²，占比8.79%，为评价区第四大土地利用类型。</w:t>
            </w:r>
          </w:p>
          <w:p w14:paraId="208BE607">
            <w:pPr>
              <w:widowControl/>
              <w:adjustRightInd w:val="0"/>
              <w:snapToGrid w:val="0"/>
              <w:spacing w:line="440" w:lineRule="exact"/>
              <w:ind w:firstLine="504" w:firstLineChars="200"/>
              <w:textAlignment w:val="baseline"/>
              <w:rPr>
                <w:rFonts w:ascii="Times New Roman" w:hAnsi="Times New Roman"/>
                <w:color w:val="auto"/>
                <w:sz w:val="24"/>
                <w:szCs w:val="24"/>
              </w:rPr>
            </w:pPr>
            <w:r>
              <w:rPr>
                <w:rFonts w:ascii="Times New Roman" w:hAnsi="Times New Roman"/>
                <w:snapToGrid w:val="0"/>
                <w:color w:val="auto"/>
                <w:spacing w:val="6"/>
                <w:kern w:val="0"/>
                <w:sz w:val="24"/>
                <w:szCs w:val="20"/>
              </w:rPr>
              <w:t>剩余各类土地利用类型面积普遍较小，占比均不足1%：水田、水浇地、其他林地、农村宅基地、后备耕地、河流水面、农村道路、公路用地、铁路用地、设施农用地、特殊用地、城镇村道路、商业服务业设施用地、工业用地、采矿用地、公用设施用地、机关团体科教文卫用地、沟渠、裸土地、裸岩石砾地等零散分布于评价区内，整体占地面积低；商服、工矿、公共服务、特殊用地等建设用地合计占比极低，水域、裸地等未利用土地零星穿插其间。整体来看，评价区林地、旱地占据绝对主体，自然植被与农耕用地为区域主导土地利用格局，城镇及各类人工建设用地开发规模有限。</w:t>
            </w:r>
            <w:r>
              <w:rPr>
                <w:rFonts w:ascii="Times New Roman" w:hAnsi="Times New Roman"/>
                <w:color w:val="auto"/>
                <w:sz w:val="24"/>
                <w:szCs w:val="24"/>
              </w:rPr>
              <w:t>具体见下表。</w:t>
            </w:r>
          </w:p>
          <w:p w14:paraId="32046147">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表3-</w:t>
            </w:r>
            <w:r>
              <w:rPr>
                <w:rFonts w:hint="eastAsia" w:ascii="Times New Roman" w:hAnsi="Times New Roman"/>
                <w:b/>
                <w:color w:val="auto"/>
                <w:sz w:val="24"/>
                <w:szCs w:val="24"/>
              </w:rPr>
              <w:t>17</w:t>
            </w:r>
            <w:r>
              <w:rPr>
                <w:rFonts w:ascii="Times New Roman" w:hAnsi="Times New Roman"/>
                <w:b/>
                <w:color w:val="auto"/>
                <w:sz w:val="24"/>
                <w:szCs w:val="24"/>
              </w:rPr>
              <w:t xml:space="preserve">  评价区各土地利用类型面积统计表  单位：hm</w:t>
            </w:r>
            <w:r>
              <w:rPr>
                <w:rFonts w:ascii="Times New Roman" w:hAnsi="Times New Roman"/>
                <w:b/>
                <w:color w:val="auto"/>
                <w:sz w:val="24"/>
                <w:szCs w:val="24"/>
                <w:vertAlign w:val="superscript"/>
              </w:rPr>
              <w:t>2</w:t>
            </w:r>
          </w:p>
          <w:tbl>
            <w:tblPr>
              <w:tblStyle w:val="27"/>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24"/>
              <w:gridCol w:w="2829"/>
              <w:gridCol w:w="2059"/>
              <w:gridCol w:w="1614"/>
            </w:tblGrid>
            <w:tr w14:paraId="2C3FDA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tcBorders>
                    <w:tl2br w:val="nil"/>
                    <w:tr2bl w:val="nil"/>
                  </w:tcBorders>
                  <w:shd w:val="clear" w:color="auto" w:fill="auto"/>
                  <w:noWrap/>
                  <w:vAlign w:val="center"/>
                </w:tcPr>
                <w:p w14:paraId="6D14A640">
                  <w:pPr>
                    <w:adjustRightInd w:val="0"/>
                    <w:snapToGrid w:val="0"/>
                    <w:jc w:val="center"/>
                    <w:rPr>
                      <w:rFonts w:ascii="Times New Roman" w:hAnsi="Times New Roman"/>
                      <w:b/>
                      <w:bCs/>
                      <w:color w:val="auto"/>
                      <w:szCs w:val="21"/>
                    </w:rPr>
                  </w:pPr>
                  <w:r>
                    <w:rPr>
                      <w:rFonts w:ascii="Times New Roman" w:hAnsi="Times New Roman"/>
                      <w:b/>
                      <w:bCs/>
                      <w:color w:val="auto"/>
                      <w:szCs w:val="21"/>
                    </w:rPr>
                    <w:t>一级类</w:t>
                  </w:r>
                </w:p>
              </w:tc>
              <w:tc>
                <w:tcPr>
                  <w:tcW w:w="1677" w:type="pct"/>
                  <w:tcBorders>
                    <w:tl2br w:val="nil"/>
                    <w:tr2bl w:val="nil"/>
                  </w:tcBorders>
                  <w:shd w:val="clear" w:color="auto" w:fill="auto"/>
                  <w:noWrap/>
                  <w:vAlign w:val="center"/>
                </w:tcPr>
                <w:p w14:paraId="4C3ACDB3">
                  <w:pPr>
                    <w:adjustRightInd w:val="0"/>
                    <w:snapToGrid w:val="0"/>
                    <w:jc w:val="center"/>
                    <w:rPr>
                      <w:rFonts w:ascii="Times New Roman" w:hAnsi="Times New Roman"/>
                      <w:b/>
                      <w:bCs/>
                      <w:color w:val="auto"/>
                      <w:szCs w:val="21"/>
                    </w:rPr>
                  </w:pPr>
                  <w:r>
                    <w:rPr>
                      <w:rFonts w:ascii="Times New Roman" w:hAnsi="Times New Roman"/>
                      <w:b/>
                      <w:bCs/>
                      <w:color w:val="auto"/>
                      <w:szCs w:val="21"/>
                    </w:rPr>
                    <w:t>二级类</w:t>
                  </w:r>
                </w:p>
              </w:tc>
              <w:tc>
                <w:tcPr>
                  <w:tcW w:w="1222" w:type="pct"/>
                  <w:tcBorders>
                    <w:tl2br w:val="nil"/>
                    <w:tr2bl w:val="nil"/>
                  </w:tcBorders>
                  <w:shd w:val="clear" w:color="auto" w:fill="auto"/>
                  <w:noWrap/>
                  <w:vAlign w:val="center"/>
                </w:tcPr>
                <w:p w14:paraId="06F22DF6">
                  <w:pPr>
                    <w:adjustRightInd w:val="0"/>
                    <w:snapToGrid w:val="0"/>
                    <w:jc w:val="center"/>
                    <w:rPr>
                      <w:rFonts w:ascii="Times New Roman" w:hAnsi="Times New Roman"/>
                      <w:b/>
                      <w:bCs/>
                      <w:color w:val="auto"/>
                      <w:szCs w:val="21"/>
                    </w:rPr>
                  </w:pPr>
                  <w:r>
                    <w:rPr>
                      <w:rFonts w:ascii="Times New Roman" w:hAnsi="Times New Roman"/>
                      <w:b/>
                      <w:bCs/>
                      <w:color w:val="auto"/>
                      <w:szCs w:val="21"/>
                    </w:rPr>
                    <w:t>评价区面积（hm2）</w:t>
                  </w:r>
                </w:p>
              </w:tc>
              <w:tc>
                <w:tcPr>
                  <w:tcW w:w="958" w:type="pct"/>
                  <w:tcBorders>
                    <w:tl2br w:val="nil"/>
                    <w:tr2bl w:val="nil"/>
                  </w:tcBorders>
                  <w:shd w:val="clear" w:color="auto" w:fill="auto"/>
                  <w:noWrap/>
                  <w:vAlign w:val="center"/>
                </w:tcPr>
                <w:p w14:paraId="13D9F95B">
                  <w:pPr>
                    <w:adjustRightInd w:val="0"/>
                    <w:snapToGrid w:val="0"/>
                    <w:jc w:val="center"/>
                    <w:rPr>
                      <w:rFonts w:ascii="Times New Roman" w:hAnsi="Times New Roman"/>
                      <w:b/>
                      <w:bCs/>
                      <w:color w:val="auto"/>
                      <w:szCs w:val="21"/>
                    </w:rPr>
                  </w:pPr>
                  <w:r>
                    <w:rPr>
                      <w:rFonts w:ascii="Times New Roman" w:hAnsi="Times New Roman"/>
                      <w:b/>
                      <w:bCs/>
                      <w:color w:val="auto"/>
                      <w:szCs w:val="21"/>
                    </w:rPr>
                    <w:t>百分比%</w:t>
                  </w:r>
                </w:p>
              </w:tc>
            </w:tr>
            <w:tr w14:paraId="4D1F7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28A93ED6">
                  <w:pPr>
                    <w:adjustRightInd w:val="0"/>
                    <w:snapToGrid w:val="0"/>
                    <w:jc w:val="center"/>
                    <w:rPr>
                      <w:rFonts w:ascii="Times New Roman" w:hAnsi="Times New Roman"/>
                      <w:color w:val="auto"/>
                      <w:szCs w:val="21"/>
                    </w:rPr>
                  </w:pPr>
                  <w:r>
                    <w:rPr>
                      <w:rFonts w:ascii="Times New Roman" w:hAnsi="Times New Roman"/>
                      <w:color w:val="auto"/>
                      <w:szCs w:val="21"/>
                    </w:rPr>
                    <w:t>耕地</w:t>
                  </w:r>
                </w:p>
              </w:tc>
              <w:tc>
                <w:tcPr>
                  <w:tcW w:w="1677" w:type="pct"/>
                  <w:tcBorders>
                    <w:tl2br w:val="nil"/>
                    <w:tr2bl w:val="nil"/>
                  </w:tcBorders>
                  <w:shd w:val="clear" w:color="auto" w:fill="auto"/>
                  <w:vAlign w:val="center"/>
                </w:tcPr>
                <w:p w14:paraId="7FDC66CA">
                  <w:pPr>
                    <w:adjustRightInd w:val="0"/>
                    <w:snapToGrid w:val="0"/>
                    <w:jc w:val="center"/>
                    <w:rPr>
                      <w:rFonts w:ascii="Times New Roman" w:hAnsi="Times New Roman"/>
                      <w:color w:val="auto"/>
                      <w:szCs w:val="21"/>
                    </w:rPr>
                  </w:pPr>
                  <w:r>
                    <w:rPr>
                      <w:rFonts w:ascii="Times New Roman" w:hAnsi="Times New Roman"/>
                      <w:color w:val="auto"/>
                      <w:szCs w:val="21"/>
                    </w:rPr>
                    <w:t>0101水田</w:t>
                  </w:r>
                </w:p>
              </w:tc>
              <w:tc>
                <w:tcPr>
                  <w:tcW w:w="1222" w:type="pct"/>
                  <w:tcBorders>
                    <w:tl2br w:val="nil"/>
                    <w:tr2bl w:val="nil"/>
                  </w:tcBorders>
                  <w:shd w:val="clear" w:color="auto" w:fill="auto"/>
                  <w:vAlign w:val="center"/>
                </w:tcPr>
                <w:p w14:paraId="4560456C">
                  <w:pPr>
                    <w:adjustRightInd w:val="0"/>
                    <w:snapToGrid w:val="0"/>
                    <w:jc w:val="center"/>
                    <w:rPr>
                      <w:rFonts w:ascii="Times New Roman" w:hAnsi="Times New Roman"/>
                      <w:color w:val="auto"/>
                      <w:szCs w:val="21"/>
                    </w:rPr>
                  </w:pPr>
                  <w:r>
                    <w:rPr>
                      <w:rFonts w:ascii="Times New Roman" w:hAnsi="Times New Roman"/>
                      <w:color w:val="auto"/>
                      <w:szCs w:val="21"/>
                    </w:rPr>
                    <w:t xml:space="preserve">10.861 </w:t>
                  </w:r>
                </w:p>
              </w:tc>
              <w:tc>
                <w:tcPr>
                  <w:tcW w:w="958" w:type="pct"/>
                  <w:tcBorders>
                    <w:tl2br w:val="nil"/>
                    <w:tr2bl w:val="nil"/>
                  </w:tcBorders>
                  <w:shd w:val="clear" w:color="auto" w:fill="auto"/>
                  <w:vAlign w:val="center"/>
                </w:tcPr>
                <w:p w14:paraId="19542BC2">
                  <w:pPr>
                    <w:adjustRightInd w:val="0"/>
                    <w:snapToGrid w:val="0"/>
                    <w:jc w:val="center"/>
                    <w:rPr>
                      <w:rFonts w:ascii="Times New Roman" w:hAnsi="Times New Roman"/>
                      <w:color w:val="auto"/>
                      <w:szCs w:val="21"/>
                    </w:rPr>
                  </w:pPr>
                  <w:r>
                    <w:rPr>
                      <w:rFonts w:ascii="Times New Roman" w:hAnsi="Times New Roman"/>
                      <w:color w:val="auto"/>
                      <w:szCs w:val="21"/>
                    </w:rPr>
                    <w:t xml:space="preserve">0.82 </w:t>
                  </w:r>
                </w:p>
              </w:tc>
            </w:tr>
            <w:tr w14:paraId="213C08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4C33AAFD">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753385D2">
                  <w:pPr>
                    <w:adjustRightInd w:val="0"/>
                    <w:snapToGrid w:val="0"/>
                    <w:jc w:val="center"/>
                    <w:rPr>
                      <w:rFonts w:ascii="Times New Roman" w:hAnsi="Times New Roman"/>
                      <w:color w:val="auto"/>
                      <w:szCs w:val="21"/>
                    </w:rPr>
                  </w:pPr>
                  <w:r>
                    <w:rPr>
                      <w:rFonts w:ascii="Times New Roman" w:hAnsi="Times New Roman"/>
                      <w:color w:val="auto"/>
                      <w:szCs w:val="21"/>
                    </w:rPr>
                    <w:t>0102水浇地</w:t>
                  </w:r>
                </w:p>
              </w:tc>
              <w:tc>
                <w:tcPr>
                  <w:tcW w:w="1222" w:type="pct"/>
                  <w:tcBorders>
                    <w:tl2br w:val="nil"/>
                    <w:tr2bl w:val="nil"/>
                  </w:tcBorders>
                  <w:shd w:val="clear" w:color="auto" w:fill="auto"/>
                  <w:vAlign w:val="center"/>
                </w:tcPr>
                <w:p w14:paraId="54A1C84B">
                  <w:pPr>
                    <w:adjustRightInd w:val="0"/>
                    <w:snapToGrid w:val="0"/>
                    <w:jc w:val="center"/>
                    <w:rPr>
                      <w:rFonts w:ascii="Times New Roman" w:hAnsi="Times New Roman"/>
                      <w:color w:val="auto"/>
                      <w:szCs w:val="21"/>
                    </w:rPr>
                  </w:pPr>
                  <w:r>
                    <w:rPr>
                      <w:rFonts w:ascii="Times New Roman" w:hAnsi="Times New Roman"/>
                      <w:color w:val="auto"/>
                      <w:szCs w:val="21"/>
                    </w:rPr>
                    <w:t xml:space="preserve">0.252 </w:t>
                  </w:r>
                </w:p>
              </w:tc>
              <w:tc>
                <w:tcPr>
                  <w:tcW w:w="958" w:type="pct"/>
                  <w:tcBorders>
                    <w:tl2br w:val="nil"/>
                    <w:tr2bl w:val="nil"/>
                  </w:tcBorders>
                  <w:shd w:val="clear" w:color="auto" w:fill="auto"/>
                  <w:vAlign w:val="center"/>
                </w:tcPr>
                <w:p w14:paraId="5D8DBA97">
                  <w:pPr>
                    <w:adjustRightInd w:val="0"/>
                    <w:snapToGrid w:val="0"/>
                    <w:jc w:val="center"/>
                    <w:rPr>
                      <w:rFonts w:ascii="Times New Roman" w:hAnsi="Times New Roman"/>
                      <w:color w:val="auto"/>
                      <w:szCs w:val="21"/>
                    </w:rPr>
                  </w:pPr>
                  <w:r>
                    <w:rPr>
                      <w:rFonts w:ascii="Times New Roman" w:hAnsi="Times New Roman"/>
                      <w:color w:val="auto"/>
                      <w:szCs w:val="21"/>
                    </w:rPr>
                    <w:t xml:space="preserve">0.02 </w:t>
                  </w:r>
                </w:p>
              </w:tc>
            </w:tr>
            <w:tr w14:paraId="6F7D8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171C01B6">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noWrap/>
                  <w:vAlign w:val="center"/>
                </w:tcPr>
                <w:p w14:paraId="287A5ADE">
                  <w:pPr>
                    <w:adjustRightInd w:val="0"/>
                    <w:snapToGrid w:val="0"/>
                    <w:jc w:val="center"/>
                    <w:rPr>
                      <w:rFonts w:ascii="Times New Roman" w:hAnsi="Times New Roman"/>
                      <w:color w:val="auto"/>
                      <w:szCs w:val="21"/>
                    </w:rPr>
                  </w:pPr>
                  <w:r>
                    <w:rPr>
                      <w:rFonts w:ascii="Times New Roman" w:hAnsi="Times New Roman"/>
                      <w:color w:val="auto"/>
                      <w:szCs w:val="21"/>
                    </w:rPr>
                    <w:t>0103旱地</w:t>
                  </w:r>
                </w:p>
              </w:tc>
              <w:tc>
                <w:tcPr>
                  <w:tcW w:w="1222" w:type="pct"/>
                  <w:tcBorders>
                    <w:tl2br w:val="nil"/>
                    <w:tr2bl w:val="nil"/>
                  </w:tcBorders>
                  <w:shd w:val="clear" w:color="auto" w:fill="auto"/>
                  <w:vAlign w:val="center"/>
                </w:tcPr>
                <w:p w14:paraId="78FCAF84">
                  <w:pPr>
                    <w:adjustRightInd w:val="0"/>
                    <w:snapToGrid w:val="0"/>
                    <w:jc w:val="center"/>
                    <w:rPr>
                      <w:rFonts w:ascii="Times New Roman" w:hAnsi="Times New Roman"/>
                      <w:color w:val="auto"/>
                      <w:szCs w:val="21"/>
                    </w:rPr>
                  </w:pPr>
                  <w:r>
                    <w:rPr>
                      <w:rFonts w:ascii="Times New Roman" w:hAnsi="Times New Roman"/>
                      <w:color w:val="auto"/>
                      <w:szCs w:val="21"/>
                    </w:rPr>
                    <w:t xml:space="preserve">458.641 </w:t>
                  </w:r>
                </w:p>
              </w:tc>
              <w:tc>
                <w:tcPr>
                  <w:tcW w:w="958" w:type="pct"/>
                  <w:tcBorders>
                    <w:tl2br w:val="nil"/>
                    <w:tr2bl w:val="nil"/>
                  </w:tcBorders>
                  <w:shd w:val="clear" w:color="auto" w:fill="auto"/>
                  <w:vAlign w:val="center"/>
                </w:tcPr>
                <w:p w14:paraId="10E655FD">
                  <w:pPr>
                    <w:adjustRightInd w:val="0"/>
                    <w:snapToGrid w:val="0"/>
                    <w:jc w:val="center"/>
                    <w:rPr>
                      <w:rFonts w:ascii="Times New Roman" w:hAnsi="Times New Roman"/>
                      <w:color w:val="auto"/>
                      <w:szCs w:val="21"/>
                    </w:rPr>
                  </w:pPr>
                  <w:r>
                    <w:rPr>
                      <w:rFonts w:ascii="Times New Roman" w:hAnsi="Times New Roman"/>
                      <w:color w:val="auto"/>
                      <w:szCs w:val="21"/>
                    </w:rPr>
                    <w:t xml:space="preserve">34.66 </w:t>
                  </w:r>
                </w:p>
              </w:tc>
            </w:tr>
            <w:tr w14:paraId="22F7C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3DE1DC91">
                  <w:pPr>
                    <w:adjustRightInd w:val="0"/>
                    <w:snapToGrid w:val="0"/>
                    <w:jc w:val="center"/>
                    <w:rPr>
                      <w:rFonts w:ascii="Times New Roman" w:hAnsi="Times New Roman"/>
                      <w:color w:val="auto"/>
                      <w:szCs w:val="21"/>
                    </w:rPr>
                  </w:pPr>
                  <w:r>
                    <w:rPr>
                      <w:rFonts w:ascii="Times New Roman" w:hAnsi="Times New Roman"/>
                      <w:color w:val="auto"/>
                      <w:szCs w:val="21"/>
                    </w:rPr>
                    <w:t>林地</w:t>
                  </w:r>
                </w:p>
              </w:tc>
              <w:tc>
                <w:tcPr>
                  <w:tcW w:w="1677" w:type="pct"/>
                  <w:tcBorders>
                    <w:tl2br w:val="nil"/>
                    <w:tr2bl w:val="nil"/>
                  </w:tcBorders>
                  <w:shd w:val="clear" w:color="auto" w:fill="auto"/>
                  <w:vAlign w:val="center"/>
                </w:tcPr>
                <w:p w14:paraId="1CD77953">
                  <w:pPr>
                    <w:adjustRightInd w:val="0"/>
                    <w:snapToGrid w:val="0"/>
                    <w:jc w:val="center"/>
                    <w:rPr>
                      <w:rFonts w:ascii="Times New Roman" w:hAnsi="Times New Roman"/>
                      <w:color w:val="auto"/>
                      <w:szCs w:val="21"/>
                    </w:rPr>
                  </w:pPr>
                  <w:r>
                    <w:rPr>
                      <w:rFonts w:ascii="Times New Roman" w:hAnsi="Times New Roman"/>
                      <w:color w:val="auto"/>
                      <w:szCs w:val="21"/>
                    </w:rPr>
                    <w:t>0301乔木林地</w:t>
                  </w:r>
                </w:p>
              </w:tc>
              <w:tc>
                <w:tcPr>
                  <w:tcW w:w="1222" w:type="pct"/>
                  <w:tcBorders>
                    <w:tl2br w:val="nil"/>
                    <w:tr2bl w:val="nil"/>
                  </w:tcBorders>
                  <w:shd w:val="clear" w:color="auto" w:fill="auto"/>
                  <w:vAlign w:val="center"/>
                </w:tcPr>
                <w:p w14:paraId="1156260B">
                  <w:pPr>
                    <w:adjustRightInd w:val="0"/>
                    <w:snapToGrid w:val="0"/>
                    <w:jc w:val="center"/>
                    <w:rPr>
                      <w:rFonts w:ascii="Times New Roman" w:hAnsi="Times New Roman"/>
                      <w:color w:val="auto"/>
                      <w:szCs w:val="21"/>
                    </w:rPr>
                  </w:pPr>
                  <w:r>
                    <w:rPr>
                      <w:rFonts w:ascii="Times New Roman" w:hAnsi="Times New Roman"/>
                      <w:color w:val="auto"/>
                      <w:szCs w:val="21"/>
                    </w:rPr>
                    <w:t xml:space="preserve">483.249 </w:t>
                  </w:r>
                </w:p>
              </w:tc>
              <w:tc>
                <w:tcPr>
                  <w:tcW w:w="958" w:type="pct"/>
                  <w:tcBorders>
                    <w:tl2br w:val="nil"/>
                    <w:tr2bl w:val="nil"/>
                  </w:tcBorders>
                  <w:shd w:val="clear" w:color="auto" w:fill="auto"/>
                  <w:vAlign w:val="center"/>
                </w:tcPr>
                <w:p w14:paraId="30FE3303">
                  <w:pPr>
                    <w:adjustRightInd w:val="0"/>
                    <w:snapToGrid w:val="0"/>
                    <w:jc w:val="center"/>
                    <w:rPr>
                      <w:rFonts w:ascii="Times New Roman" w:hAnsi="Times New Roman"/>
                      <w:color w:val="auto"/>
                      <w:szCs w:val="21"/>
                    </w:rPr>
                  </w:pPr>
                  <w:r>
                    <w:rPr>
                      <w:rFonts w:ascii="Times New Roman" w:hAnsi="Times New Roman"/>
                      <w:color w:val="auto"/>
                      <w:szCs w:val="21"/>
                    </w:rPr>
                    <w:t xml:space="preserve">36.52 </w:t>
                  </w:r>
                </w:p>
              </w:tc>
            </w:tr>
            <w:tr w14:paraId="6D0FC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1728930B">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0A9DC831">
                  <w:pPr>
                    <w:adjustRightInd w:val="0"/>
                    <w:snapToGrid w:val="0"/>
                    <w:jc w:val="center"/>
                    <w:rPr>
                      <w:rFonts w:ascii="Times New Roman" w:hAnsi="Times New Roman"/>
                      <w:color w:val="auto"/>
                      <w:szCs w:val="21"/>
                    </w:rPr>
                  </w:pPr>
                  <w:r>
                    <w:rPr>
                      <w:rFonts w:ascii="Times New Roman" w:hAnsi="Times New Roman"/>
                      <w:color w:val="auto"/>
                      <w:szCs w:val="21"/>
                    </w:rPr>
                    <w:t>0305灌木林地</w:t>
                  </w:r>
                </w:p>
              </w:tc>
              <w:tc>
                <w:tcPr>
                  <w:tcW w:w="1222" w:type="pct"/>
                  <w:tcBorders>
                    <w:tl2br w:val="nil"/>
                    <w:tr2bl w:val="nil"/>
                  </w:tcBorders>
                  <w:shd w:val="clear" w:color="auto" w:fill="auto"/>
                  <w:vAlign w:val="center"/>
                </w:tcPr>
                <w:p w14:paraId="6215C64E">
                  <w:pPr>
                    <w:adjustRightInd w:val="0"/>
                    <w:snapToGrid w:val="0"/>
                    <w:jc w:val="center"/>
                    <w:rPr>
                      <w:rFonts w:ascii="Times New Roman" w:hAnsi="Times New Roman"/>
                      <w:color w:val="auto"/>
                      <w:szCs w:val="21"/>
                    </w:rPr>
                  </w:pPr>
                  <w:r>
                    <w:rPr>
                      <w:rFonts w:ascii="Times New Roman" w:hAnsi="Times New Roman"/>
                      <w:color w:val="auto"/>
                      <w:szCs w:val="21"/>
                    </w:rPr>
                    <w:t xml:space="preserve">210.959 </w:t>
                  </w:r>
                </w:p>
              </w:tc>
              <w:tc>
                <w:tcPr>
                  <w:tcW w:w="958" w:type="pct"/>
                  <w:tcBorders>
                    <w:tl2br w:val="nil"/>
                    <w:tr2bl w:val="nil"/>
                  </w:tcBorders>
                  <w:shd w:val="clear" w:color="auto" w:fill="auto"/>
                  <w:vAlign w:val="center"/>
                </w:tcPr>
                <w:p w14:paraId="78659B9D">
                  <w:pPr>
                    <w:adjustRightInd w:val="0"/>
                    <w:snapToGrid w:val="0"/>
                    <w:jc w:val="center"/>
                    <w:rPr>
                      <w:rFonts w:ascii="Times New Roman" w:hAnsi="Times New Roman"/>
                      <w:color w:val="auto"/>
                      <w:szCs w:val="21"/>
                    </w:rPr>
                  </w:pPr>
                  <w:r>
                    <w:rPr>
                      <w:rFonts w:ascii="Times New Roman" w:hAnsi="Times New Roman"/>
                      <w:color w:val="auto"/>
                      <w:szCs w:val="21"/>
                    </w:rPr>
                    <w:t xml:space="preserve">15.94 </w:t>
                  </w:r>
                </w:p>
              </w:tc>
            </w:tr>
            <w:tr w14:paraId="1E058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11E5C791">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3725CC56">
                  <w:pPr>
                    <w:adjustRightInd w:val="0"/>
                    <w:snapToGrid w:val="0"/>
                    <w:jc w:val="center"/>
                    <w:rPr>
                      <w:rFonts w:ascii="Times New Roman" w:hAnsi="Times New Roman"/>
                      <w:color w:val="auto"/>
                      <w:szCs w:val="21"/>
                    </w:rPr>
                  </w:pPr>
                  <w:r>
                    <w:rPr>
                      <w:rFonts w:ascii="Times New Roman" w:hAnsi="Times New Roman"/>
                      <w:color w:val="auto"/>
                      <w:szCs w:val="21"/>
                    </w:rPr>
                    <w:t>0307其他林地</w:t>
                  </w:r>
                </w:p>
              </w:tc>
              <w:tc>
                <w:tcPr>
                  <w:tcW w:w="1222" w:type="pct"/>
                  <w:tcBorders>
                    <w:tl2br w:val="nil"/>
                    <w:tr2bl w:val="nil"/>
                  </w:tcBorders>
                  <w:shd w:val="clear" w:color="auto" w:fill="auto"/>
                  <w:vAlign w:val="center"/>
                </w:tcPr>
                <w:p w14:paraId="401CBDBC">
                  <w:pPr>
                    <w:adjustRightInd w:val="0"/>
                    <w:snapToGrid w:val="0"/>
                    <w:jc w:val="center"/>
                    <w:rPr>
                      <w:rFonts w:ascii="Times New Roman" w:hAnsi="Times New Roman"/>
                      <w:color w:val="auto"/>
                      <w:szCs w:val="21"/>
                    </w:rPr>
                  </w:pPr>
                  <w:r>
                    <w:rPr>
                      <w:rFonts w:ascii="Times New Roman" w:hAnsi="Times New Roman"/>
                      <w:color w:val="auto"/>
                      <w:szCs w:val="21"/>
                    </w:rPr>
                    <w:t xml:space="preserve">2.138 </w:t>
                  </w:r>
                </w:p>
              </w:tc>
              <w:tc>
                <w:tcPr>
                  <w:tcW w:w="958" w:type="pct"/>
                  <w:tcBorders>
                    <w:tl2br w:val="nil"/>
                    <w:tr2bl w:val="nil"/>
                  </w:tcBorders>
                  <w:shd w:val="clear" w:color="auto" w:fill="auto"/>
                  <w:vAlign w:val="center"/>
                </w:tcPr>
                <w:p w14:paraId="29A79B82">
                  <w:pPr>
                    <w:adjustRightInd w:val="0"/>
                    <w:snapToGrid w:val="0"/>
                    <w:jc w:val="center"/>
                    <w:rPr>
                      <w:rFonts w:ascii="Times New Roman" w:hAnsi="Times New Roman"/>
                      <w:color w:val="auto"/>
                      <w:szCs w:val="21"/>
                    </w:rPr>
                  </w:pPr>
                  <w:r>
                    <w:rPr>
                      <w:rFonts w:ascii="Times New Roman" w:hAnsi="Times New Roman"/>
                      <w:color w:val="auto"/>
                      <w:szCs w:val="21"/>
                    </w:rPr>
                    <w:t xml:space="preserve">0.16 </w:t>
                  </w:r>
                </w:p>
              </w:tc>
            </w:tr>
            <w:tr w14:paraId="6571E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tcBorders>
                    <w:tl2br w:val="nil"/>
                    <w:tr2bl w:val="nil"/>
                  </w:tcBorders>
                  <w:shd w:val="clear" w:color="auto" w:fill="auto"/>
                  <w:vAlign w:val="center"/>
                </w:tcPr>
                <w:p w14:paraId="54D68700">
                  <w:pPr>
                    <w:adjustRightInd w:val="0"/>
                    <w:snapToGrid w:val="0"/>
                    <w:jc w:val="center"/>
                    <w:rPr>
                      <w:rFonts w:ascii="Times New Roman" w:hAnsi="Times New Roman"/>
                      <w:color w:val="auto"/>
                      <w:szCs w:val="21"/>
                    </w:rPr>
                  </w:pPr>
                  <w:r>
                    <w:rPr>
                      <w:rFonts w:ascii="Times New Roman" w:hAnsi="Times New Roman"/>
                      <w:color w:val="auto"/>
                      <w:szCs w:val="21"/>
                    </w:rPr>
                    <w:t>草地</w:t>
                  </w:r>
                </w:p>
              </w:tc>
              <w:tc>
                <w:tcPr>
                  <w:tcW w:w="1677" w:type="pct"/>
                  <w:tcBorders>
                    <w:tl2br w:val="nil"/>
                    <w:tr2bl w:val="nil"/>
                  </w:tcBorders>
                  <w:shd w:val="clear" w:color="auto" w:fill="auto"/>
                  <w:vAlign w:val="center"/>
                </w:tcPr>
                <w:p w14:paraId="4505EA29">
                  <w:pPr>
                    <w:adjustRightInd w:val="0"/>
                    <w:snapToGrid w:val="0"/>
                    <w:jc w:val="center"/>
                    <w:rPr>
                      <w:rFonts w:ascii="Times New Roman" w:hAnsi="Times New Roman"/>
                      <w:color w:val="auto"/>
                      <w:szCs w:val="21"/>
                    </w:rPr>
                  </w:pPr>
                  <w:r>
                    <w:rPr>
                      <w:rFonts w:ascii="Times New Roman" w:hAnsi="Times New Roman"/>
                      <w:color w:val="auto"/>
                      <w:szCs w:val="21"/>
                    </w:rPr>
                    <w:t>0404其他草地</w:t>
                  </w:r>
                </w:p>
              </w:tc>
              <w:tc>
                <w:tcPr>
                  <w:tcW w:w="1222" w:type="pct"/>
                  <w:tcBorders>
                    <w:tl2br w:val="nil"/>
                    <w:tr2bl w:val="nil"/>
                  </w:tcBorders>
                  <w:shd w:val="clear" w:color="auto" w:fill="auto"/>
                  <w:vAlign w:val="center"/>
                </w:tcPr>
                <w:p w14:paraId="0EF4F499">
                  <w:pPr>
                    <w:adjustRightInd w:val="0"/>
                    <w:snapToGrid w:val="0"/>
                    <w:jc w:val="center"/>
                    <w:rPr>
                      <w:rFonts w:ascii="Times New Roman" w:hAnsi="Times New Roman"/>
                      <w:color w:val="auto"/>
                      <w:szCs w:val="21"/>
                    </w:rPr>
                  </w:pPr>
                  <w:r>
                    <w:rPr>
                      <w:rFonts w:ascii="Times New Roman" w:hAnsi="Times New Roman"/>
                      <w:color w:val="auto"/>
                      <w:szCs w:val="21"/>
                    </w:rPr>
                    <w:t xml:space="preserve">116.277 </w:t>
                  </w:r>
                </w:p>
              </w:tc>
              <w:tc>
                <w:tcPr>
                  <w:tcW w:w="958" w:type="pct"/>
                  <w:tcBorders>
                    <w:tl2br w:val="nil"/>
                    <w:tr2bl w:val="nil"/>
                  </w:tcBorders>
                  <w:shd w:val="clear" w:color="auto" w:fill="auto"/>
                  <w:vAlign w:val="center"/>
                </w:tcPr>
                <w:p w14:paraId="665852EB">
                  <w:pPr>
                    <w:adjustRightInd w:val="0"/>
                    <w:snapToGrid w:val="0"/>
                    <w:jc w:val="center"/>
                    <w:rPr>
                      <w:rFonts w:ascii="Times New Roman" w:hAnsi="Times New Roman"/>
                      <w:color w:val="auto"/>
                      <w:szCs w:val="21"/>
                    </w:rPr>
                  </w:pPr>
                  <w:r>
                    <w:rPr>
                      <w:rFonts w:ascii="Times New Roman" w:hAnsi="Times New Roman"/>
                      <w:color w:val="auto"/>
                      <w:szCs w:val="21"/>
                    </w:rPr>
                    <w:t xml:space="preserve">8.79 </w:t>
                  </w:r>
                </w:p>
              </w:tc>
            </w:tr>
            <w:tr w14:paraId="2957D3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tcBorders>
                    <w:tl2br w:val="nil"/>
                    <w:tr2bl w:val="nil"/>
                  </w:tcBorders>
                  <w:shd w:val="clear" w:color="auto" w:fill="auto"/>
                  <w:vAlign w:val="center"/>
                </w:tcPr>
                <w:p w14:paraId="5E325E6C">
                  <w:pPr>
                    <w:adjustRightInd w:val="0"/>
                    <w:snapToGrid w:val="0"/>
                    <w:jc w:val="center"/>
                    <w:rPr>
                      <w:rFonts w:ascii="Times New Roman" w:hAnsi="Times New Roman"/>
                      <w:color w:val="auto"/>
                      <w:szCs w:val="21"/>
                    </w:rPr>
                  </w:pPr>
                  <w:r>
                    <w:rPr>
                      <w:rFonts w:ascii="Times New Roman" w:hAnsi="Times New Roman"/>
                      <w:color w:val="auto"/>
                      <w:szCs w:val="21"/>
                    </w:rPr>
                    <w:t>商服用地</w:t>
                  </w:r>
                </w:p>
              </w:tc>
              <w:tc>
                <w:tcPr>
                  <w:tcW w:w="1677" w:type="pct"/>
                  <w:tcBorders>
                    <w:tl2br w:val="nil"/>
                    <w:tr2bl w:val="nil"/>
                  </w:tcBorders>
                  <w:shd w:val="clear" w:color="auto" w:fill="auto"/>
                  <w:vAlign w:val="center"/>
                </w:tcPr>
                <w:p w14:paraId="4D5D4268">
                  <w:pPr>
                    <w:adjustRightInd w:val="0"/>
                    <w:snapToGrid w:val="0"/>
                    <w:jc w:val="center"/>
                    <w:rPr>
                      <w:rFonts w:ascii="Times New Roman" w:hAnsi="Times New Roman"/>
                      <w:color w:val="auto"/>
                      <w:szCs w:val="21"/>
                    </w:rPr>
                  </w:pPr>
                  <w:r>
                    <w:rPr>
                      <w:rFonts w:ascii="Times New Roman" w:hAnsi="Times New Roman"/>
                      <w:color w:val="auto"/>
                      <w:szCs w:val="21"/>
                    </w:rPr>
                    <w:t>05H1商业服务业设施用地</w:t>
                  </w:r>
                </w:p>
              </w:tc>
              <w:tc>
                <w:tcPr>
                  <w:tcW w:w="1222" w:type="pct"/>
                  <w:tcBorders>
                    <w:tl2br w:val="nil"/>
                    <w:tr2bl w:val="nil"/>
                  </w:tcBorders>
                  <w:shd w:val="clear" w:color="auto" w:fill="auto"/>
                  <w:vAlign w:val="center"/>
                </w:tcPr>
                <w:p w14:paraId="0DC95C36">
                  <w:pPr>
                    <w:adjustRightInd w:val="0"/>
                    <w:snapToGrid w:val="0"/>
                    <w:jc w:val="center"/>
                    <w:rPr>
                      <w:rFonts w:ascii="Times New Roman" w:hAnsi="Times New Roman"/>
                      <w:color w:val="auto"/>
                      <w:szCs w:val="21"/>
                    </w:rPr>
                  </w:pPr>
                  <w:r>
                    <w:rPr>
                      <w:rFonts w:ascii="Times New Roman" w:hAnsi="Times New Roman"/>
                      <w:color w:val="auto"/>
                      <w:szCs w:val="21"/>
                    </w:rPr>
                    <w:t xml:space="preserve">0.578 </w:t>
                  </w:r>
                </w:p>
              </w:tc>
              <w:tc>
                <w:tcPr>
                  <w:tcW w:w="958" w:type="pct"/>
                  <w:tcBorders>
                    <w:tl2br w:val="nil"/>
                    <w:tr2bl w:val="nil"/>
                  </w:tcBorders>
                  <w:shd w:val="clear" w:color="auto" w:fill="auto"/>
                  <w:vAlign w:val="center"/>
                </w:tcPr>
                <w:p w14:paraId="00E34196">
                  <w:pPr>
                    <w:adjustRightInd w:val="0"/>
                    <w:snapToGrid w:val="0"/>
                    <w:jc w:val="center"/>
                    <w:rPr>
                      <w:rFonts w:ascii="Times New Roman" w:hAnsi="Times New Roman"/>
                      <w:color w:val="auto"/>
                      <w:szCs w:val="21"/>
                    </w:rPr>
                  </w:pPr>
                  <w:r>
                    <w:rPr>
                      <w:rFonts w:ascii="Times New Roman" w:hAnsi="Times New Roman"/>
                      <w:color w:val="auto"/>
                      <w:szCs w:val="21"/>
                    </w:rPr>
                    <w:t xml:space="preserve">0.04 </w:t>
                  </w:r>
                </w:p>
              </w:tc>
            </w:tr>
            <w:tr w14:paraId="27DA16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29516F6A">
                  <w:pPr>
                    <w:adjustRightInd w:val="0"/>
                    <w:snapToGrid w:val="0"/>
                    <w:jc w:val="center"/>
                    <w:rPr>
                      <w:rFonts w:ascii="Times New Roman" w:hAnsi="Times New Roman"/>
                      <w:color w:val="auto"/>
                      <w:szCs w:val="21"/>
                    </w:rPr>
                  </w:pPr>
                  <w:r>
                    <w:rPr>
                      <w:rFonts w:ascii="Times New Roman" w:hAnsi="Times New Roman"/>
                      <w:color w:val="auto"/>
                      <w:szCs w:val="21"/>
                    </w:rPr>
                    <w:t>工矿仓储用地</w:t>
                  </w:r>
                </w:p>
              </w:tc>
              <w:tc>
                <w:tcPr>
                  <w:tcW w:w="1677" w:type="pct"/>
                  <w:tcBorders>
                    <w:tl2br w:val="nil"/>
                    <w:tr2bl w:val="nil"/>
                  </w:tcBorders>
                  <w:shd w:val="clear" w:color="auto" w:fill="auto"/>
                  <w:vAlign w:val="center"/>
                </w:tcPr>
                <w:p w14:paraId="342BF6F5">
                  <w:pPr>
                    <w:adjustRightInd w:val="0"/>
                    <w:snapToGrid w:val="0"/>
                    <w:jc w:val="center"/>
                    <w:rPr>
                      <w:rFonts w:ascii="Times New Roman" w:hAnsi="Times New Roman"/>
                      <w:color w:val="auto"/>
                      <w:szCs w:val="21"/>
                    </w:rPr>
                  </w:pPr>
                  <w:r>
                    <w:rPr>
                      <w:rFonts w:ascii="Times New Roman" w:hAnsi="Times New Roman"/>
                      <w:color w:val="auto"/>
                      <w:szCs w:val="21"/>
                    </w:rPr>
                    <w:t>0601工业用地</w:t>
                  </w:r>
                </w:p>
              </w:tc>
              <w:tc>
                <w:tcPr>
                  <w:tcW w:w="1222" w:type="pct"/>
                  <w:tcBorders>
                    <w:tl2br w:val="nil"/>
                    <w:tr2bl w:val="nil"/>
                  </w:tcBorders>
                  <w:shd w:val="clear" w:color="auto" w:fill="auto"/>
                  <w:vAlign w:val="center"/>
                </w:tcPr>
                <w:p w14:paraId="15ADF51A">
                  <w:pPr>
                    <w:adjustRightInd w:val="0"/>
                    <w:snapToGrid w:val="0"/>
                    <w:jc w:val="center"/>
                    <w:rPr>
                      <w:rFonts w:ascii="Times New Roman" w:hAnsi="Times New Roman"/>
                      <w:color w:val="auto"/>
                      <w:szCs w:val="21"/>
                    </w:rPr>
                  </w:pPr>
                  <w:r>
                    <w:rPr>
                      <w:rFonts w:ascii="Times New Roman" w:hAnsi="Times New Roman"/>
                      <w:color w:val="auto"/>
                      <w:szCs w:val="21"/>
                    </w:rPr>
                    <w:t xml:space="preserve">0.026 </w:t>
                  </w:r>
                </w:p>
              </w:tc>
              <w:tc>
                <w:tcPr>
                  <w:tcW w:w="958" w:type="pct"/>
                  <w:tcBorders>
                    <w:tl2br w:val="nil"/>
                    <w:tr2bl w:val="nil"/>
                  </w:tcBorders>
                  <w:shd w:val="clear" w:color="auto" w:fill="auto"/>
                  <w:vAlign w:val="center"/>
                </w:tcPr>
                <w:p w14:paraId="4DA0AB57">
                  <w:pPr>
                    <w:adjustRightInd w:val="0"/>
                    <w:snapToGrid w:val="0"/>
                    <w:jc w:val="center"/>
                    <w:rPr>
                      <w:rFonts w:ascii="Times New Roman" w:hAnsi="Times New Roman"/>
                      <w:color w:val="auto"/>
                      <w:szCs w:val="21"/>
                    </w:rPr>
                  </w:pPr>
                  <w:r>
                    <w:rPr>
                      <w:rFonts w:ascii="Times New Roman" w:hAnsi="Times New Roman"/>
                      <w:color w:val="auto"/>
                      <w:szCs w:val="21"/>
                    </w:rPr>
                    <w:t xml:space="preserve">0.00 </w:t>
                  </w:r>
                </w:p>
              </w:tc>
            </w:tr>
            <w:tr w14:paraId="7F2009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7497CEC9">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7EE4E449">
                  <w:pPr>
                    <w:adjustRightInd w:val="0"/>
                    <w:snapToGrid w:val="0"/>
                    <w:jc w:val="center"/>
                    <w:rPr>
                      <w:rFonts w:ascii="Times New Roman" w:hAnsi="Times New Roman"/>
                      <w:color w:val="auto"/>
                      <w:szCs w:val="21"/>
                    </w:rPr>
                  </w:pPr>
                  <w:r>
                    <w:rPr>
                      <w:rFonts w:ascii="Times New Roman" w:hAnsi="Times New Roman"/>
                      <w:color w:val="auto"/>
                      <w:szCs w:val="21"/>
                    </w:rPr>
                    <w:t>0602采矿用地</w:t>
                  </w:r>
                </w:p>
              </w:tc>
              <w:tc>
                <w:tcPr>
                  <w:tcW w:w="1222" w:type="pct"/>
                  <w:tcBorders>
                    <w:tl2br w:val="nil"/>
                    <w:tr2bl w:val="nil"/>
                  </w:tcBorders>
                  <w:shd w:val="clear" w:color="auto" w:fill="auto"/>
                  <w:vAlign w:val="center"/>
                </w:tcPr>
                <w:p w14:paraId="2E16BAAF">
                  <w:pPr>
                    <w:adjustRightInd w:val="0"/>
                    <w:snapToGrid w:val="0"/>
                    <w:jc w:val="center"/>
                    <w:rPr>
                      <w:rFonts w:ascii="Times New Roman" w:hAnsi="Times New Roman"/>
                      <w:color w:val="auto"/>
                      <w:szCs w:val="21"/>
                    </w:rPr>
                  </w:pPr>
                  <w:r>
                    <w:rPr>
                      <w:rFonts w:ascii="Times New Roman" w:hAnsi="Times New Roman"/>
                      <w:color w:val="auto"/>
                      <w:szCs w:val="21"/>
                    </w:rPr>
                    <w:t xml:space="preserve">1.219 </w:t>
                  </w:r>
                </w:p>
              </w:tc>
              <w:tc>
                <w:tcPr>
                  <w:tcW w:w="958" w:type="pct"/>
                  <w:tcBorders>
                    <w:tl2br w:val="nil"/>
                    <w:tr2bl w:val="nil"/>
                  </w:tcBorders>
                  <w:shd w:val="clear" w:color="auto" w:fill="auto"/>
                  <w:vAlign w:val="center"/>
                </w:tcPr>
                <w:p w14:paraId="39049049">
                  <w:pPr>
                    <w:adjustRightInd w:val="0"/>
                    <w:snapToGrid w:val="0"/>
                    <w:jc w:val="center"/>
                    <w:rPr>
                      <w:rFonts w:ascii="Times New Roman" w:hAnsi="Times New Roman"/>
                      <w:color w:val="auto"/>
                      <w:szCs w:val="21"/>
                    </w:rPr>
                  </w:pPr>
                  <w:r>
                    <w:rPr>
                      <w:rFonts w:ascii="Times New Roman" w:hAnsi="Times New Roman"/>
                      <w:color w:val="auto"/>
                      <w:szCs w:val="21"/>
                    </w:rPr>
                    <w:t xml:space="preserve">0.09 </w:t>
                  </w:r>
                </w:p>
              </w:tc>
            </w:tr>
            <w:tr w14:paraId="5A2FF4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0B1F09F0">
                  <w:pPr>
                    <w:adjustRightInd w:val="0"/>
                    <w:snapToGrid w:val="0"/>
                    <w:jc w:val="center"/>
                    <w:rPr>
                      <w:rFonts w:ascii="Times New Roman" w:hAnsi="Times New Roman"/>
                      <w:color w:val="auto"/>
                      <w:szCs w:val="21"/>
                    </w:rPr>
                  </w:pPr>
                  <w:r>
                    <w:rPr>
                      <w:rFonts w:ascii="Times New Roman" w:hAnsi="Times New Roman"/>
                      <w:color w:val="auto"/>
                      <w:szCs w:val="21"/>
                    </w:rPr>
                    <w:t>住宅用地</w:t>
                  </w:r>
                </w:p>
              </w:tc>
              <w:tc>
                <w:tcPr>
                  <w:tcW w:w="1677" w:type="pct"/>
                  <w:tcBorders>
                    <w:tl2br w:val="nil"/>
                    <w:tr2bl w:val="nil"/>
                  </w:tcBorders>
                  <w:shd w:val="clear" w:color="auto" w:fill="auto"/>
                  <w:vAlign w:val="center"/>
                </w:tcPr>
                <w:p w14:paraId="40CCED91">
                  <w:pPr>
                    <w:adjustRightInd w:val="0"/>
                    <w:snapToGrid w:val="0"/>
                    <w:jc w:val="center"/>
                    <w:rPr>
                      <w:rFonts w:ascii="Times New Roman" w:hAnsi="Times New Roman"/>
                      <w:color w:val="auto"/>
                      <w:szCs w:val="21"/>
                    </w:rPr>
                  </w:pPr>
                  <w:r>
                    <w:rPr>
                      <w:rFonts w:ascii="Times New Roman" w:hAnsi="Times New Roman"/>
                      <w:color w:val="auto"/>
                      <w:szCs w:val="21"/>
                    </w:rPr>
                    <w:t>0701城镇住宅用地</w:t>
                  </w:r>
                </w:p>
              </w:tc>
              <w:tc>
                <w:tcPr>
                  <w:tcW w:w="1222" w:type="pct"/>
                  <w:tcBorders>
                    <w:tl2br w:val="nil"/>
                    <w:tr2bl w:val="nil"/>
                  </w:tcBorders>
                  <w:shd w:val="clear" w:color="auto" w:fill="auto"/>
                  <w:vAlign w:val="center"/>
                </w:tcPr>
                <w:p w14:paraId="10C2A20E">
                  <w:pPr>
                    <w:adjustRightInd w:val="0"/>
                    <w:snapToGrid w:val="0"/>
                    <w:jc w:val="center"/>
                    <w:rPr>
                      <w:rFonts w:ascii="Times New Roman" w:hAnsi="Times New Roman"/>
                      <w:color w:val="auto"/>
                      <w:szCs w:val="21"/>
                    </w:rPr>
                  </w:pPr>
                  <w:r>
                    <w:rPr>
                      <w:rFonts w:ascii="Times New Roman" w:hAnsi="Times New Roman"/>
                      <w:color w:val="auto"/>
                      <w:szCs w:val="21"/>
                    </w:rPr>
                    <w:t xml:space="preserve">0.542 </w:t>
                  </w:r>
                </w:p>
              </w:tc>
              <w:tc>
                <w:tcPr>
                  <w:tcW w:w="958" w:type="pct"/>
                  <w:tcBorders>
                    <w:tl2br w:val="nil"/>
                    <w:tr2bl w:val="nil"/>
                  </w:tcBorders>
                  <w:shd w:val="clear" w:color="auto" w:fill="auto"/>
                  <w:vAlign w:val="center"/>
                </w:tcPr>
                <w:p w14:paraId="15CFA66A">
                  <w:pPr>
                    <w:adjustRightInd w:val="0"/>
                    <w:snapToGrid w:val="0"/>
                    <w:jc w:val="center"/>
                    <w:rPr>
                      <w:rFonts w:ascii="Times New Roman" w:hAnsi="Times New Roman"/>
                      <w:color w:val="auto"/>
                      <w:szCs w:val="21"/>
                    </w:rPr>
                  </w:pPr>
                  <w:r>
                    <w:rPr>
                      <w:rFonts w:ascii="Times New Roman" w:hAnsi="Times New Roman"/>
                      <w:color w:val="auto"/>
                      <w:szCs w:val="21"/>
                    </w:rPr>
                    <w:t xml:space="preserve">0.04 </w:t>
                  </w:r>
                </w:p>
              </w:tc>
            </w:tr>
            <w:tr w14:paraId="33A57F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7CB9D027">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7F735C01">
                  <w:pPr>
                    <w:adjustRightInd w:val="0"/>
                    <w:snapToGrid w:val="0"/>
                    <w:jc w:val="center"/>
                    <w:rPr>
                      <w:rFonts w:ascii="Times New Roman" w:hAnsi="Times New Roman"/>
                      <w:color w:val="auto"/>
                      <w:szCs w:val="21"/>
                    </w:rPr>
                  </w:pPr>
                  <w:r>
                    <w:rPr>
                      <w:rFonts w:ascii="Times New Roman" w:hAnsi="Times New Roman"/>
                      <w:color w:val="auto"/>
                      <w:szCs w:val="21"/>
                    </w:rPr>
                    <w:t>0702农村宅基地</w:t>
                  </w:r>
                </w:p>
              </w:tc>
              <w:tc>
                <w:tcPr>
                  <w:tcW w:w="1222" w:type="pct"/>
                  <w:tcBorders>
                    <w:tl2br w:val="nil"/>
                    <w:tr2bl w:val="nil"/>
                  </w:tcBorders>
                  <w:shd w:val="clear" w:color="auto" w:fill="auto"/>
                  <w:vAlign w:val="center"/>
                </w:tcPr>
                <w:p w14:paraId="079D8BAD">
                  <w:pPr>
                    <w:adjustRightInd w:val="0"/>
                    <w:snapToGrid w:val="0"/>
                    <w:jc w:val="center"/>
                    <w:rPr>
                      <w:rFonts w:ascii="Times New Roman" w:hAnsi="Times New Roman"/>
                      <w:color w:val="auto"/>
                      <w:szCs w:val="21"/>
                    </w:rPr>
                  </w:pPr>
                  <w:r>
                    <w:rPr>
                      <w:rFonts w:ascii="Times New Roman" w:hAnsi="Times New Roman"/>
                      <w:color w:val="auto"/>
                      <w:szCs w:val="21"/>
                    </w:rPr>
                    <w:t xml:space="preserve">13.819 </w:t>
                  </w:r>
                </w:p>
              </w:tc>
              <w:tc>
                <w:tcPr>
                  <w:tcW w:w="958" w:type="pct"/>
                  <w:tcBorders>
                    <w:tl2br w:val="nil"/>
                    <w:tr2bl w:val="nil"/>
                  </w:tcBorders>
                  <w:shd w:val="clear" w:color="auto" w:fill="auto"/>
                  <w:vAlign w:val="center"/>
                </w:tcPr>
                <w:p w14:paraId="42042252">
                  <w:pPr>
                    <w:adjustRightInd w:val="0"/>
                    <w:snapToGrid w:val="0"/>
                    <w:jc w:val="center"/>
                    <w:rPr>
                      <w:rFonts w:ascii="Times New Roman" w:hAnsi="Times New Roman"/>
                      <w:color w:val="auto"/>
                      <w:szCs w:val="21"/>
                    </w:rPr>
                  </w:pPr>
                  <w:r>
                    <w:rPr>
                      <w:rFonts w:ascii="Times New Roman" w:hAnsi="Times New Roman"/>
                      <w:color w:val="auto"/>
                      <w:szCs w:val="21"/>
                    </w:rPr>
                    <w:t xml:space="preserve">1.04 </w:t>
                  </w:r>
                </w:p>
              </w:tc>
            </w:tr>
            <w:tr w14:paraId="1D0A8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6F1EF7AA">
                  <w:pPr>
                    <w:adjustRightInd w:val="0"/>
                    <w:snapToGrid w:val="0"/>
                    <w:jc w:val="center"/>
                    <w:rPr>
                      <w:rFonts w:ascii="Times New Roman" w:hAnsi="Times New Roman"/>
                      <w:color w:val="auto"/>
                      <w:szCs w:val="21"/>
                    </w:rPr>
                  </w:pPr>
                  <w:r>
                    <w:rPr>
                      <w:rFonts w:ascii="Times New Roman" w:hAnsi="Times New Roman"/>
                      <w:color w:val="auto"/>
                      <w:szCs w:val="21"/>
                    </w:rPr>
                    <w:t>公共管理与公共服务用地</w:t>
                  </w:r>
                </w:p>
              </w:tc>
              <w:tc>
                <w:tcPr>
                  <w:tcW w:w="1677" w:type="pct"/>
                  <w:tcBorders>
                    <w:tl2br w:val="nil"/>
                    <w:tr2bl w:val="nil"/>
                  </w:tcBorders>
                  <w:shd w:val="clear" w:color="auto" w:fill="auto"/>
                  <w:vAlign w:val="center"/>
                </w:tcPr>
                <w:p w14:paraId="12103856">
                  <w:pPr>
                    <w:adjustRightInd w:val="0"/>
                    <w:snapToGrid w:val="0"/>
                    <w:jc w:val="center"/>
                    <w:rPr>
                      <w:rFonts w:ascii="Times New Roman" w:hAnsi="Times New Roman"/>
                      <w:color w:val="auto"/>
                      <w:szCs w:val="21"/>
                    </w:rPr>
                  </w:pPr>
                  <w:r>
                    <w:rPr>
                      <w:rFonts w:ascii="Times New Roman" w:hAnsi="Times New Roman"/>
                      <w:color w:val="auto"/>
                      <w:szCs w:val="21"/>
                    </w:rPr>
                    <w:t>0809公用设施用地</w:t>
                  </w:r>
                </w:p>
              </w:tc>
              <w:tc>
                <w:tcPr>
                  <w:tcW w:w="1222" w:type="pct"/>
                  <w:tcBorders>
                    <w:tl2br w:val="nil"/>
                    <w:tr2bl w:val="nil"/>
                  </w:tcBorders>
                  <w:shd w:val="clear" w:color="auto" w:fill="auto"/>
                  <w:vAlign w:val="center"/>
                </w:tcPr>
                <w:p w14:paraId="134DED39">
                  <w:pPr>
                    <w:adjustRightInd w:val="0"/>
                    <w:snapToGrid w:val="0"/>
                    <w:jc w:val="center"/>
                    <w:rPr>
                      <w:rFonts w:ascii="Times New Roman" w:hAnsi="Times New Roman"/>
                      <w:color w:val="auto"/>
                      <w:szCs w:val="21"/>
                    </w:rPr>
                  </w:pPr>
                  <w:r>
                    <w:rPr>
                      <w:rFonts w:ascii="Times New Roman" w:hAnsi="Times New Roman"/>
                      <w:color w:val="auto"/>
                      <w:szCs w:val="21"/>
                    </w:rPr>
                    <w:t xml:space="preserve">0.024 </w:t>
                  </w:r>
                </w:p>
              </w:tc>
              <w:tc>
                <w:tcPr>
                  <w:tcW w:w="958" w:type="pct"/>
                  <w:tcBorders>
                    <w:tl2br w:val="nil"/>
                    <w:tr2bl w:val="nil"/>
                  </w:tcBorders>
                  <w:shd w:val="clear" w:color="auto" w:fill="auto"/>
                  <w:vAlign w:val="center"/>
                </w:tcPr>
                <w:p w14:paraId="2F925D1A">
                  <w:pPr>
                    <w:adjustRightInd w:val="0"/>
                    <w:snapToGrid w:val="0"/>
                    <w:jc w:val="center"/>
                    <w:rPr>
                      <w:rFonts w:ascii="Times New Roman" w:hAnsi="Times New Roman"/>
                      <w:color w:val="auto"/>
                      <w:szCs w:val="21"/>
                    </w:rPr>
                  </w:pPr>
                  <w:r>
                    <w:rPr>
                      <w:rFonts w:ascii="Times New Roman" w:hAnsi="Times New Roman"/>
                      <w:color w:val="auto"/>
                      <w:szCs w:val="21"/>
                    </w:rPr>
                    <w:t xml:space="preserve">0.00 </w:t>
                  </w:r>
                </w:p>
              </w:tc>
            </w:tr>
            <w:tr w14:paraId="72C60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38E46124">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2C6F678A">
                  <w:pPr>
                    <w:adjustRightInd w:val="0"/>
                    <w:snapToGrid w:val="0"/>
                    <w:jc w:val="center"/>
                    <w:rPr>
                      <w:rFonts w:ascii="Times New Roman" w:hAnsi="Times New Roman"/>
                      <w:color w:val="auto"/>
                      <w:szCs w:val="21"/>
                    </w:rPr>
                  </w:pPr>
                  <w:r>
                    <w:rPr>
                      <w:rFonts w:ascii="Times New Roman" w:hAnsi="Times New Roman"/>
                      <w:color w:val="auto"/>
                      <w:szCs w:val="21"/>
                    </w:rPr>
                    <w:t>08H1机关团体新闻出版用地</w:t>
                  </w:r>
                </w:p>
              </w:tc>
              <w:tc>
                <w:tcPr>
                  <w:tcW w:w="1222" w:type="pct"/>
                  <w:tcBorders>
                    <w:tl2br w:val="nil"/>
                    <w:tr2bl w:val="nil"/>
                  </w:tcBorders>
                  <w:shd w:val="clear" w:color="auto" w:fill="auto"/>
                  <w:vAlign w:val="center"/>
                </w:tcPr>
                <w:p w14:paraId="48E3DB38">
                  <w:pPr>
                    <w:adjustRightInd w:val="0"/>
                    <w:snapToGrid w:val="0"/>
                    <w:jc w:val="center"/>
                    <w:rPr>
                      <w:rFonts w:ascii="Times New Roman" w:hAnsi="Times New Roman"/>
                      <w:color w:val="auto"/>
                      <w:szCs w:val="21"/>
                    </w:rPr>
                  </w:pPr>
                  <w:r>
                    <w:rPr>
                      <w:rFonts w:ascii="Times New Roman" w:hAnsi="Times New Roman"/>
                      <w:color w:val="auto"/>
                      <w:szCs w:val="21"/>
                    </w:rPr>
                    <w:t xml:space="preserve">0.290 </w:t>
                  </w:r>
                </w:p>
              </w:tc>
              <w:tc>
                <w:tcPr>
                  <w:tcW w:w="958" w:type="pct"/>
                  <w:tcBorders>
                    <w:tl2br w:val="nil"/>
                    <w:tr2bl w:val="nil"/>
                  </w:tcBorders>
                  <w:shd w:val="clear" w:color="auto" w:fill="auto"/>
                  <w:vAlign w:val="center"/>
                </w:tcPr>
                <w:p w14:paraId="685DD51F">
                  <w:pPr>
                    <w:adjustRightInd w:val="0"/>
                    <w:snapToGrid w:val="0"/>
                    <w:jc w:val="center"/>
                    <w:rPr>
                      <w:rFonts w:ascii="Times New Roman" w:hAnsi="Times New Roman"/>
                      <w:color w:val="auto"/>
                      <w:szCs w:val="21"/>
                    </w:rPr>
                  </w:pPr>
                  <w:r>
                    <w:rPr>
                      <w:rFonts w:ascii="Times New Roman" w:hAnsi="Times New Roman"/>
                      <w:color w:val="auto"/>
                      <w:szCs w:val="21"/>
                    </w:rPr>
                    <w:t xml:space="preserve">0.02 </w:t>
                  </w:r>
                </w:p>
              </w:tc>
            </w:tr>
            <w:tr w14:paraId="1B012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322F3230">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57A52B16">
                  <w:pPr>
                    <w:adjustRightInd w:val="0"/>
                    <w:snapToGrid w:val="0"/>
                    <w:jc w:val="center"/>
                    <w:rPr>
                      <w:rFonts w:ascii="Times New Roman" w:hAnsi="Times New Roman"/>
                      <w:color w:val="auto"/>
                      <w:szCs w:val="21"/>
                    </w:rPr>
                  </w:pPr>
                  <w:r>
                    <w:rPr>
                      <w:rFonts w:ascii="Times New Roman" w:hAnsi="Times New Roman"/>
                      <w:color w:val="auto"/>
                      <w:szCs w:val="21"/>
                    </w:rPr>
                    <w:t>08H12科教文卫用地</w:t>
                  </w:r>
                </w:p>
              </w:tc>
              <w:tc>
                <w:tcPr>
                  <w:tcW w:w="1222" w:type="pct"/>
                  <w:tcBorders>
                    <w:tl2br w:val="nil"/>
                    <w:tr2bl w:val="nil"/>
                  </w:tcBorders>
                  <w:shd w:val="clear" w:color="auto" w:fill="auto"/>
                  <w:vAlign w:val="center"/>
                </w:tcPr>
                <w:p w14:paraId="7672C80D">
                  <w:pPr>
                    <w:adjustRightInd w:val="0"/>
                    <w:snapToGrid w:val="0"/>
                    <w:jc w:val="center"/>
                    <w:rPr>
                      <w:rFonts w:ascii="Times New Roman" w:hAnsi="Times New Roman"/>
                      <w:color w:val="auto"/>
                      <w:szCs w:val="21"/>
                    </w:rPr>
                  </w:pPr>
                  <w:r>
                    <w:rPr>
                      <w:rFonts w:ascii="Times New Roman" w:hAnsi="Times New Roman"/>
                      <w:color w:val="auto"/>
                      <w:szCs w:val="21"/>
                    </w:rPr>
                    <w:t xml:space="preserve">0.011 </w:t>
                  </w:r>
                </w:p>
              </w:tc>
              <w:tc>
                <w:tcPr>
                  <w:tcW w:w="958" w:type="pct"/>
                  <w:tcBorders>
                    <w:tl2br w:val="nil"/>
                    <w:tr2bl w:val="nil"/>
                  </w:tcBorders>
                  <w:shd w:val="clear" w:color="auto" w:fill="auto"/>
                  <w:vAlign w:val="center"/>
                </w:tcPr>
                <w:p w14:paraId="2C718B7E">
                  <w:pPr>
                    <w:adjustRightInd w:val="0"/>
                    <w:snapToGrid w:val="0"/>
                    <w:jc w:val="center"/>
                    <w:rPr>
                      <w:rFonts w:ascii="Times New Roman" w:hAnsi="Times New Roman"/>
                      <w:color w:val="auto"/>
                      <w:szCs w:val="21"/>
                    </w:rPr>
                  </w:pPr>
                  <w:r>
                    <w:rPr>
                      <w:rFonts w:ascii="Times New Roman" w:hAnsi="Times New Roman"/>
                      <w:color w:val="auto"/>
                      <w:szCs w:val="21"/>
                    </w:rPr>
                    <w:t xml:space="preserve">0.00 </w:t>
                  </w:r>
                </w:p>
              </w:tc>
            </w:tr>
            <w:tr w14:paraId="2EBB6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19" w:type="pct"/>
                  <w:gridSpan w:val="2"/>
                  <w:tcBorders>
                    <w:tl2br w:val="nil"/>
                    <w:tr2bl w:val="nil"/>
                  </w:tcBorders>
                  <w:shd w:val="clear" w:color="auto" w:fill="auto"/>
                  <w:vAlign w:val="center"/>
                </w:tcPr>
                <w:p w14:paraId="1594D45A">
                  <w:pPr>
                    <w:adjustRightInd w:val="0"/>
                    <w:snapToGrid w:val="0"/>
                    <w:jc w:val="center"/>
                    <w:rPr>
                      <w:rFonts w:ascii="Times New Roman" w:hAnsi="Times New Roman"/>
                      <w:color w:val="auto"/>
                      <w:szCs w:val="21"/>
                    </w:rPr>
                  </w:pPr>
                  <w:r>
                    <w:rPr>
                      <w:rFonts w:ascii="Times New Roman" w:hAnsi="Times New Roman"/>
                      <w:color w:val="auto"/>
                      <w:szCs w:val="21"/>
                    </w:rPr>
                    <w:t>09特殊用地</w:t>
                  </w:r>
                </w:p>
              </w:tc>
              <w:tc>
                <w:tcPr>
                  <w:tcW w:w="1222" w:type="pct"/>
                  <w:tcBorders>
                    <w:tl2br w:val="nil"/>
                    <w:tr2bl w:val="nil"/>
                  </w:tcBorders>
                  <w:shd w:val="clear" w:color="auto" w:fill="auto"/>
                  <w:vAlign w:val="center"/>
                </w:tcPr>
                <w:p w14:paraId="09A34A5A">
                  <w:pPr>
                    <w:adjustRightInd w:val="0"/>
                    <w:snapToGrid w:val="0"/>
                    <w:jc w:val="center"/>
                    <w:rPr>
                      <w:rFonts w:ascii="Times New Roman" w:hAnsi="Times New Roman"/>
                      <w:color w:val="auto"/>
                      <w:szCs w:val="21"/>
                    </w:rPr>
                  </w:pPr>
                  <w:r>
                    <w:rPr>
                      <w:rFonts w:ascii="Times New Roman" w:hAnsi="Times New Roman"/>
                      <w:color w:val="auto"/>
                      <w:szCs w:val="21"/>
                    </w:rPr>
                    <w:t xml:space="preserve">0.066 </w:t>
                  </w:r>
                </w:p>
              </w:tc>
              <w:tc>
                <w:tcPr>
                  <w:tcW w:w="958" w:type="pct"/>
                  <w:tcBorders>
                    <w:tl2br w:val="nil"/>
                    <w:tr2bl w:val="nil"/>
                  </w:tcBorders>
                  <w:shd w:val="clear" w:color="auto" w:fill="auto"/>
                  <w:vAlign w:val="center"/>
                </w:tcPr>
                <w:p w14:paraId="58682760">
                  <w:pPr>
                    <w:adjustRightInd w:val="0"/>
                    <w:snapToGrid w:val="0"/>
                    <w:jc w:val="center"/>
                    <w:rPr>
                      <w:rFonts w:ascii="Times New Roman" w:hAnsi="Times New Roman"/>
                      <w:color w:val="auto"/>
                      <w:szCs w:val="21"/>
                    </w:rPr>
                  </w:pPr>
                  <w:r>
                    <w:rPr>
                      <w:rFonts w:ascii="Times New Roman" w:hAnsi="Times New Roman"/>
                      <w:color w:val="auto"/>
                      <w:szCs w:val="21"/>
                    </w:rPr>
                    <w:t xml:space="preserve">0.00 </w:t>
                  </w:r>
                </w:p>
              </w:tc>
            </w:tr>
            <w:tr w14:paraId="6D8CF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67A05C7A">
                  <w:pPr>
                    <w:adjustRightInd w:val="0"/>
                    <w:snapToGrid w:val="0"/>
                    <w:jc w:val="center"/>
                    <w:rPr>
                      <w:rFonts w:ascii="Times New Roman" w:hAnsi="Times New Roman"/>
                      <w:color w:val="auto"/>
                      <w:szCs w:val="21"/>
                    </w:rPr>
                  </w:pPr>
                  <w:r>
                    <w:rPr>
                      <w:rFonts w:ascii="Times New Roman" w:hAnsi="Times New Roman"/>
                      <w:color w:val="auto"/>
                      <w:szCs w:val="21"/>
                    </w:rPr>
                    <w:t>交通运输用地</w:t>
                  </w:r>
                </w:p>
              </w:tc>
              <w:tc>
                <w:tcPr>
                  <w:tcW w:w="1677" w:type="pct"/>
                  <w:tcBorders>
                    <w:tl2br w:val="nil"/>
                    <w:tr2bl w:val="nil"/>
                  </w:tcBorders>
                  <w:shd w:val="clear" w:color="auto" w:fill="auto"/>
                  <w:vAlign w:val="center"/>
                </w:tcPr>
                <w:p w14:paraId="0E089FD9">
                  <w:pPr>
                    <w:adjustRightInd w:val="0"/>
                    <w:snapToGrid w:val="0"/>
                    <w:jc w:val="center"/>
                    <w:rPr>
                      <w:rFonts w:ascii="Times New Roman" w:hAnsi="Times New Roman"/>
                      <w:color w:val="auto"/>
                      <w:szCs w:val="21"/>
                    </w:rPr>
                  </w:pPr>
                  <w:r>
                    <w:rPr>
                      <w:rFonts w:ascii="Times New Roman" w:hAnsi="Times New Roman"/>
                      <w:color w:val="auto"/>
                      <w:szCs w:val="21"/>
                    </w:rPr>
                    <w:t>1001铁路用地</w:t>
                  </w:r>
                </w:p>
              </w:tc>
              <w:tc>
                <w:tcPr>
                  <w:tcW w:w="1222" w:type="pct"/>
                  <w:tcBorders>
                    <w:tl2br w:val="nil"/>
                    <w:tr2bl w:val="nil"/>
                  </w:tcBorders>
                  <w:shd w:val="clear" w:color="auto" w:fill="auto"/>
                  <w:vAlign w:val="center"/>
                </w:tcPr>
                <w:p w14:paraId="7BE8EE0B">
                  <w:pPr>
                    <w:adjustRightInd w:val="0"/>
                    <w:snapToGrid w:val="0"/>
                    <w:jc w:val="center"/>
                    <w:rPr>
                      <w:rFonts w:ascii="Times New Roman" w:hAnsi="Times New Roman"/>
                      <w:color w:val="auto"/>
                      <w:szCs w:val="21"/>
                    </w:rPr>
                  </w:pPr>
                  <w:r>
                    <w:rPr>
                      <w:rFonts w:ascii="Times New Roman" w:hAnsi="Times New Roman"/>
                      <w:color w:val="auto"/>
                      <w:szCs w:val="21"/>
                    </w:rPr>
                    <w:t xml:space="preserve">0.618 </w:t>
                  </w:r>
                </w:p>
              </w:tc>
              <w:tc>
                <w:tcPr>
                  <w:tcW w:w="958" w:type="pct"/>
                  <w:tcBorders>
                    <w:tl2br w:val="nil"/>
                    <w:tr2bl w:val="nil"/>
                  </w:tcBorders>
                  <w:shd w:val="clear" w:color="auto" w:fill="auto"/>
                  <w:vAlign w:val="center"/>
                </w:tcPr>
                <w:p w14:paraId="32010E43">
                  <w:pPr>
                    <w:adjustRightInd w:val="0"/>
                    <w:snapToGrid w:val="0"/>
                    <w:jc w:val="center"/>
                    <w:rPr>
                      <w:rFonts w:ascii="Times New Roman" w:hAnsi="Times New Roman"/>
                      <w:color w:val="auto"/>
                      <w:szCs w:val="21"/>
                    </w:rPr>
                  </w:pPr>
                  <w:r>
                    <w:rPr>
                      <w:rFonts w:ascii="Times New Roman" w:hAnsi="Times New Roman"/>
                      <w:color w:val="auto"/>
                      <w:szCs w:val="21"/>
                    </w:rPr>
                    <w:t xml:space="preserve">0.05 </w:t>
                  </w:r>
                </w:p>
              </w:tc>
            </w:tr>
            <w:tr w14:paraId="1AA9D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546C4820">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5917C4C5">
                  <w:pPr>
                    <w:adjustRightInd w:val="0"/>
                    <w:snapToGrid w:val="0"/>
                    <w:jc w:val="center"/>
                    <w:rPr>
                      <w:rFonts w:ascii="Times New Roman" w:hAnsi="Times New Roman"/>
                      <w:color w:val="auto"/>
                      <w:szCs w:val="21"/>
                    </w:rPr>
                  </w:pPr>
                  <w:r>
                    <w:rPr>
                      <w:rFonts w:ascii="Times New Roman" w:hAnsi="Times New Roman"/>
                      <w:color w:val="auto"/>
                      <w:szCs w:val="21"/>
                    </w:rPr>
                    <w:t>1003公路用地</w:t>
                  </w:r>
                </w:p>
              </w:tc>
              <w:tc>
                <w:tcPr>
                  <w:tcW w:w="1222" w:type="pct"/>
                  <w:tcBorders>
                    <w:tl2br w:val="nil"/>
                    <w:tr2bl w:val="nil"/>
                  </w:tcBorders>
                  <w:shd w:val="clear" w:color="auto" w:fill="auto"/>
                  <w:vAlign w:val="center"/>
                </w:tcPr>
                <w:p w14:paraId="7FE4AEE7">
                  <w:pPr>
                    <w:adjustRightInd w:val="0"/>
                    <w:snapToGrid w:val="0"/>
                    <w:jc w:val="center"/>
                    <w:rPr>
                      <w:rFonts w:ascii="Times New Roman" w:hAnsi="Times New Roman"/>
                      <w:color w:val="auto"/>
                      <w:szCs w:val="21"/>
                    </w:rPr>
                  </w:pPr>
                  <w:r>
                    <w:rPr>
                      <w:rFonts w:ascii="Times New Roman" w:hAnsi="Times New Roman"/>
                      <w:color w:val="auto"/>
                      <w:szCs w:val="21"/>
                    </w:rPr>
                    <w:t xml:space="preserve">2.392 </w:t>
                  </w:r>
                </w:p>
              </w:tc>
              <w:tc>
                <w:tcPr>
                  <w:tcW w:w="958" w:type="pct"/>
                  <w:tcBorders>
                    <w:tl2br w:val="nil"/>
                    <w:tr2bl w:val="nil"/>
                  </w:tcBorders>
                  <w:shd w:val="clear" w:color="auto" w:fill="auto"/>
                  <w:vAlign w:val="center"/>
                </w:tcPr>
                <w:p w14:paraId="0316BEFF">
                  <w:pPr>
                    <w:adjustRightInd w:val="0"/>
                    <w:snapToGrid w:val="0"/>
                    <w:jc w:val="center"/>
                    <w:rPr>
                      <w:rFonts w:ascii="Times New Roman" w:hAnsi="Times New Roman"/>
                      <w:color w:val="auto"/>
                      <w:szCs w:val="21"/>
                    </w:rPr>
                  </w:pPr>
                  <w:r>
                    <w:rPr>
                      <w:rFonts w:ascii="Times New Roman" w:hAnsi="Times New Roman"/>
                      <w:color w:val="auto"/>
                      <w:szCs w:val="21"/>
                    </w:rPr>
                    <w:t xml:space="preserve">0.18 </w:t>
                  </w:r>
                </w:p>
              </w:tc>
            </w:tr>
            <w:tr w14:paraId="19032D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01EF36EC">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511ABFEB">
                  <w:pPr>
                    <w:adjustRightInd w:val="0"/>
                    <w:snapToGrid w:val="0"/>
                    <w:jc w:val="center"/>
                    <w:rPr>
                      <w:rFonts w:ascii="Times New Roman" w:hAnsi="Times New Roman"/>
                      <w:color w:val="auto"/>
                      <w:szCs w:val="21"/>
                    </w:rPr>
                  </w:pPr>
                  <w:r>
                    <w:rPr>
                      <w:rFonts w:ascii="Times New Roman" w:hAnsi="Times New Roman"/>
                      <w:color w:val="auto"/>
                      <w:szCs w:val="21"/>
                    </w:rPr>
                    <w:t>1004城镇村道路</w:t>
                  </w:r>
                </w:p>
              </w:tc>
              <w:tc>
                <w:tcPr>
                  <w:tcW w:w="1222" w:type="pct"/>
                  <w:tcBorders>
                    <w:tl2br w:val="nil"/>
                    <w:tr2bl w:val="nil"/>
                  </w:tcBorders>
                  <w:shd w:val="clear" w:color="auto" w:fill="auto"/>
                  <w:vAlign w:val="center"/>
                </w:tcPr>
                <w:p w14:paraId="0A417F75">
                  <w:pPr>
                    <w:adjustRightInd w:val="0"/>
                    <w:snapToGrid w:val="0"/>
                    <w:jc w:val="center"/>
                    <w:rPr>
                      <w:rFonts w:ascii="Times New Roman" w:hAnsi="Times New Roman"/>
                      <w:color w:val="auto"/>
                      <w:szCs w:val="21"/>
                    </w:rPr>
                  </w:pPr>
                  <w:r>
                    <w:rPr>
                      <w:rFonts w:ascii="Times New Roman" w:hAnsi="Times New Roman"/>
                      <w:color w:val="auto"/>
                      <w:szCs w:val="21"/>
                    </w:rPr>
                    <w:t xml:space="preserve">0.197 </w:t>
                  </w:r>
                </w:p>
              </w:tc>
              <w:tc>
                <w:tcPr>
                  <w:tcW w:w="958" w:type="pct"/>
                  <w:tcBorders>
                    <w:tl2br w:val="nil"/>
                    <w:tr2bl w:val="nil"/>
                  </w:tcBorders>
                  <w:shd w:val="clear" w:color="auto" w:fill="auto"/>
                  <w:vAlign w:val="center"/>
                </w:tcPr>
                <w:p w14:paraId="0DC350E6">
                  <w:pPr>
                    <w:adjustRightInd w:val="0"/>
                    <w:snapToGrid w:val="0"/>
                    <w:jc w:val="center"/>
                    <w:rPr>
                      <w:rFonts w:ascii="Times New Roman" w:hAnsi="Times New Roman"/>
                      <w:color w:val="auto"/>
                      <w:szCs w:val="21"/>
                    </w:rPr>
                  </w:pPr>
                  <w:r>
                    <w:rPr>
                      <w:rFonts w:ascii="Times New Roman" w:hAnsi="Times New Roman"/>
                      <w:color w:val="auto"/>
                      <w:szCs w:val="21"/>
                    </w:rPr>
                    <w:t xml:space="preserve">0.01 </w:t>
                  </w:r>
                </w:p>
              </w:tc>
            </w:tr>
            <w:tr w14:paraId="3A3D2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29E8AB81">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5E084862">
                  <w:pPr>
                    <w:adjustRightInd w:val="0"/>
                    <w:snapToGrid w:val="0"/>
                    <w:jc w:val="center"/>
                    <w:rPr>
                      <w:rFonts w:ascii="Times New Roman" w:hAnsi="Times New Roman"/>
                      <w:color w:val="auto"/>
                      <w:szCs w:val="21"/>
                    </w:rPr>
                  </w:pPr>
                  <w:r>
                    <w:rPr>
                      <w:rFonts w:ascii="Times New Roman" w:hAnsi="Times New Roman"/>
                      <w:color w:val="auto"/>
                      <w:szCs w:val="21"/>
                    </w:rPr>
                    <w:t>1005交通服务场站用地</w:t>
                  </w:r>
                </w:p>
              </w:tc>
              <w:tc>
                <w:tcPr>
                  <w:tcW w:w="1222" w:type="pct"/>
                  <w:tcBorders>
                    <w:tl2br w:val="nil"/>
                    <w:tr2bl w:val="nil"/>
                  </w:tcBorders>
                  <w:shd w:val="clear" w:color="auto" w:fill="auto"/>
                  <w:vAlign w:val="center"/>
                </w:tcPr>
                <w:p w14:paraId="7ECDAD3E">
                  <w:pPr>
                    <w:adjustRightInd w:val="0"/>
                    <w:snapToGrid w:val="0"/>
                    <w:jc w:val="center"/>
                    <w:rPr>
                      <w:rFonts w:ascii="Times New Roman" w:hAnsi="Times New Roman"/>
                      <w:color w:val="auto"/>
                      <w:szCs w:val="21"/>
                    </w:rPr>
                  </w:pPr>
                  <w:r>
                    <w:rPr>
                      <w:rFonts w:ascii="Times New Roman" w:hAnsi="Times New Roman"/>
                      <w:color w:val="auto"/>
                      <w:szCs w:val="21"/>
                    </w:rPr>
                    <w:t xml:space="preserve">0.342 </w:t>
                  </w:r>
                </w:p>
              </w:tc>
              <w:tc>
                <w:tcPr>
                  <w:tcW w:w="958" w:type="pct"/>
                  <w:tcBorders>
                    <w:tl2br w:val="nil"/>
                    <w:tr2bl w:val="nil"/>
                  </w:tcBorders>
                  <w:shd w:val="clear" w:color="auto" w:fill="auto"/>
                  <w:vAlign w:val="center"/>
                </w:tcPr>
                <w:p w14:paraId="337C14F7">
                  <w:pPr>
                    <w:adjustRightInd w:val="0"/>
                    <w:snapToGrid w:val="0"/>
                    <w:jc w:val="center"/>
                    <w:rPr>
                      <w:rFonts w:ascii="Times New Roman" w:hAnsi="Times New Roman"/>
                      <w:color w:val="auto"/>
                      <w:szCs w:val="21"/>
                    </w:rPr>
                  </w:pPr>
                  <w:r>
                    <w:rPr>
                      <w:rFonts w:ascii="Times New Roman" w:hAnsi="Times New Roman"/>
                      <w:color w:val="auto"/>
                      <w:szCs w:val="21"/>
                    </w:rPr>
                    <w:t xml:space="preserve">0.03 </w:t>
                  </w:r>
                </w:p>
              </w:tc>
            </w:tr>
            <w:tr w14:paraId="31704C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56492F31">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50A45A12">
                  <w:pPr>
                    <w:adjustRightInd w:val="0"/>
                    <w:snapToGrid w:val="0"/>
                    <w:jc w:val="center"/>
                    <w:rPr>
                      <w:rFonts w:ascii="Times New Roman" w:hAnsi="Times New Roman"/>
                      <w:color w:val="auto"/>
                      <w:szCs w:val="21"/>
                    </w:rPr>
                  </w:pPr>
                  <w:r>
                    <w:rPr>
                      <w:rFonts w:ascii="Times New Roman" w:hAnsi="Times New Roman"/>
                      <w:color w:val="auto"/>
                      <w:szCs w:val="21"/>
                    </w:rPr>
                    <w:t>1006农村道路</w:t>
                  </w:r>
                </w:p>
              </w:tc>
              <w:tc>
                <w:tcPr>
                  <w:tcW w:w="1222" w:type="pct"/>
                  <w:tcBorders>
                    <w:tl2br w:val="nil"/>
                    <w:tr2bl w:val="nil"/>
                  </w:tcBorders>
                  <w:shd w:val="clear" w:color="auto" w:fill="auto"/>
                  <w:vAlign w:val="center"/>
                </w:tcPr>
                <w:p w14:paraId="4C203443">
                  <w:pPr>
                    <w:adjustRightInd w:val="0"/>
                    <w:snapToGrid w:val="0"/>
                    <w:jc w:val="center"/>
                    <w:rPr>
                      <w:rFonts w:ascii="Times New Roman" w:hAnsi="Times New Roman"/>
                      <w:color w:val="auto"/>
                      <w:szCs w:val="21"/>
                    </w:rPr>
                  </w:pPr>
                  <w:r>
                    <w:rPr>
                      <w:rFonts w:ascii="Times New Roman" w:hAnsi="Times New Roman"/>
                      <w:color w:val="auto"/>
                      <w:szCs w:val="21"/>
                    </w:rPr>
                    <w:t xml:space="preserve">6.374 </w:t>
                  </w:r>
                </w:p>
              </w:tc>
              <w:tc>
                <w:tcPr>
                  <w:tcW w:w="958" w:type="pct"/>
                  <w:tcBorders>
                    <w:tl2br w:val="nil"/>
                    <w:tr2bl w:val="nil"/>
                  </w:tcBorders>
                  <w:shd w:val="clear" w:color="auto" w:fill="auto"/>
                  <w:vAlign w:val="center"/>
                </w:tcPr>
                <w:p w14:paraId="0A81D25F">
                  <w:pPr>
                    <w:adjustRightInd w:val="0"/>
                    <w:snapToGrid w:val="0"/>
                    <w:jc w:val="center"/>
                    <w:rPr>
                      <w:rFonts w:ascii="Times New Roman" w:hAnsi="Times New Roman"/>
                      <w:color w:val="auto"/>
                      <w:szCs w:val="21"/>
                    </w:rPr>
                  </w:pPr>
                  <w:r>
                    <w:rPr>
                      <w:rFonts w:ascii="Times New Roman" w:hAnsi="Times New Roman"/>
                      <w:color w:val="auto"/>
                      <w:szCs w:val="21"/>
                    </w:rPr>
                    <w:t xml:space="preserve">0.48 </w:t>
                  </w:r>
                </w:p>
              </w:tc>
            </w:tr>
            <w:tr w14:paraId="30110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3C3EF01F">
                  <w:pPr>
                    <w:adjustRightInd w:val="0"/>
                    <w:snapToGrid w:val="0"/>
                    <w:jc w:val="center"/>
                    <w:rPr>
                      <w:rFonts w:ascii="Times New Roman" w:hAnsi="Times New Roman"/>
                      <w:color w:val="auto"/>
                      <w:szCs w:val="21"/>
                    </w:rPr>
                  </w:pPr>
                  <w:r>
                    <w:rPr>
                      <w:rFonts w:ascii="Times New Roman" w:hAnsi="Times New Roman"/>
                      <w:color w:val="auto"/>
                      <w:szCs w:val="21"/>
                    </w:rPr>
                    <w:t>水域及水利设施用地</w:t>
                  </w:r>
                </w:p>
              </w:tc>
              <w:tc>
                <w:tcPr>
                  <w:tcW w:w="1677" w:type="pct"/>
                  <w:tcBorders>
                    <w:tl2br w:val="nil"/>
                    <w:tr2bl w:val="nil"/>
                  </w:tcBorders>
                  <w:shd w:val="clear" w:color="auto" w:fill="auto"/>
                  <w:vAlign w:val="center"/>
                </w:tcPr>
                <w:p w14:paraId="558EB013">
                  <w:pPr>
                    <w:adjustRightInd w:val="0"/>
                    <w:snapToGrid w:val="0"/>
                    <w:jc w:val="center"/>
                    <w:rPr>
                      <w:rFonts w:ascii="Times New Roman" w:hAnsi="Times New Roman"/>
                      <w:color w:val="auto"/>
                      <w:szCs w:val="21"/>
                    </w:rPr>
                  </w:pPr>
                  <w:r>
                    <w:rPr>
                      <w:rFonts w:ascii="Times New Roman" w:hAnsi="Times New Roman"/>
                      <w:color w:val="auto"/>
                      <w:szCs w:val="21"/>
                    </w:rPr>
                    <w:t>1101河流水面</w:t>
                  </w:r>
                </w:p>
              </w:tc>
              <w:tc>
                <w:tcPr>
                  <w:tcW w:w="1222" w:type="pct"/>
                  <w:tcBorders>
                    <w:tl2br w:val="nil"/>
                    <w:tr2bl w:val="nil"/>
                  </w:tcBorders>
                  <w:shd w:val="clear" w:color="auto" w:fill="auto"/>
                  <w:vAlign w:val="center"/>
                </w:tcPr>
                <w:p w14:paraId="5E05A86F">
                  <w:pPr>
                    <w:adjustRightInd w:val="0"/>
                    <w:snapToGrid w:val="0"/>
                    <w:jc w:val="center"/>
                    <w:rPr>
                      <w:rFonts w:ascii="Times New Roman" w:hAnsi="Times New Roman"/>
                      <w:color w:val="auto"/>
                      <w:szCs w:val="21"/>
                    </w:rPr>
                  </w:pPr>
                  <w:r>
                    <w:rPr>
                      <w:rFonts w:ascii="Times New Roman" w:hAnsi="Times New Roman"/>
                      <w:color w:val="auto"/>
                      <w:szCs w:val="21"/>
                    </w:rPr>
                    <w:t xml:space="preserve">5.663 </w:t>
                  </w:r>
                </w:p>
              </w:tc>
              <w:tc>
                <w:tcPr>
                  <w:tcW w:w="958" w:type="pct"/>
                  <w:tcBorders>
                    <w:tl2br w:val="nil"/>
                    <w:tr2bl w:val="nil"/>
                  </w:tcBorders>
                  <w:shd w:val="clear" w:color="auto" w:fill="auto"/>
                  <w:vAlign w:val="center"/>
                </w:tcPr>
                <w:p w14:paraId="1A1B9ADF">
                  <w:pPr>
                    <w:adjustRightInd w:val="0"/>
                    <w:snapToGrid w:val="0"/>
                    <w:jc w:val="center"/>
                    <w:rPr>
                      <w:rFonts w:ascii="Times New Roman" w:hAnsi="Times New Roman"/>
                      <w:color w:val="auto"/>
                      <w:szCs w:val="21"/>
                    </w:rPr>
                  </w:pPr>
                  <w:r>
                    <w:rPr>
                      <w:rFonts w:ascii="Times New Roman" w:hAnsi="Times New Roman"/>
                      <w:color w:val="auto"/>
                      <w:szCs w:val="21"/>
                    </w:rPr>
                    <w:t xml:space="preserve">0.43 </w:t>
                  </w:r>
                </w:p>
              </w:tc>
            </w:tr>
            <w:tr w14:paraId="63467F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18AFA8B9">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25E88DDC">
                  <w:pPr>
                    <w:adjustRightInd w:val="0"/>
                    <w:snapToGrid w:val="0"/>
                    <w:jc w:val="center"/>
                    <w:rPr>
                      <w:rFonts w:ascii="Times New Roman" w:hAnsi="Times New Roman"/>
                      <w:color w:val="auto"/>
                      <w:szCs w:val="21"/>
                    </w:rPr>
                  </w:pPr>
                  <w:r>
                    <w:rPr>
                      <w:rFonts w:ascii="Times New Roman" w:hAnsi="Times New Roman"/>
                      <w:color w:val="auto"/>
                      <w:szCs w:val="21"/>
                    </w:rPr>
                    <w:t>1107沟渠</w:t>
                  </w:r>
                </w:p>
              </w:tc>
              <w:tc>
                <w:tcPr>
                  <w:tcW w:w="1222" w:type="pct"/>
                  <w:tcBorders>
                    <w:tl2br w:val="nil"/>
                    <w:tr2bl w:val="nil"/>
                  </w:tcBorders>
                  <w:shd w:val="clear" w:color="auto" w:fill="auto"/>
                  <w:vAlign w:val="center"/>
                </w:tcPr>
                <w:p w14:paraId="659703CA">
                  <w:pPr>
                    <w:adjustRightInd w:val="0"/>
                    <w:snapToGrid w:val="0"/>
                    <w:jc w:val="center"/>
                    <w:rPr>
                      <w:rFonts w:ascii="Times New Roman" w:hAnsi="Times New Roman"/>
                      <w:color w:val="auto"/>
                      <w:szCs w:val="21"/>
                    </w:rPr>
                  </w:pPr>
                  <w:r>
                    <w:rPr>
                      <w:rFonts w:ascii="Times New Roman" w:hAnsi="Times New Roman"/>
                      <w:color w:val="auto"/>
                      <w:szCs w:val="21"/>
                    </w:rPr>
                    <w:t xml:space="preserve">0.363 </w:t>
                  </w:r>
                </w:p>
              </w:tc>
              <w:tc>
                <w:tcPr>
                  <w:tcW w:w="958" w:type="pct"/>
                  <w:tcBorders>
                    <w:tl2br w:val="nil"/>
                    <w:tr2bl w:val="nil"/>
                  </w:tcBorders>
                  <w:shd w:val="clear" w:color="auto" w:fill="auto"/>
                  <w:vAlign w:val="center"/>
                </w:tcPr>
                <w:p w14:paraId="6D795889">
                  <w:pPr>
                    <w:adjustRightInd w:val="0"/>
                    <w:snapToGrid w:val="0"/>
                    <w:jc w:val="center"/>
                    <w:rPr>
                      <w:rFonts w:ascii="Times New Roman" w:hAnsi="Times New Roman"/>
                      <w:color w:val="auto"/>
                      <w:szCs w:val="21"/>
                    </w:rPr>
                  </w:pPr>
                  <w:r>
                    <w:rPr>
                      <w:rFonts w:ascii="Times New Roman" w:hAnsi="Times New Roman"/>
                      <w:color w:val="auto"/>
                      <w:szCs w:val="21"/>
                    </w:rPr>
                    <w:t xml:space="preserve">0.03 </w:t>
                  </w:r>
                </w:p>
              </w:tc>
            </w:tr>
            <w:tr w14:paraId="23774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restart"/>
                  <w:tcBorders>
                    <w:tl2br w:val="nil"/>
                    <w:tr2bl w:val="nil"/>
                  </w:tcBorders>
                  <w:shd w:val="clear" w:color="auto" w:fill="auto"/>
                  <w:vAlign w:val="center"/>
                </w:tcPr>
                <w:p w14:paraId="2288A68E">
                  <w:pPr>
                    <w:adjustRightInd w:val="0"/>
                    <w:snapToGrid w:val="0"/>
                    <w:jc w:val="center"/>
                    <w:rPr>
                      <w:rFonts w:ascii="Times New Roman" w:hAnsi="Times New Roman"/>
                      <w:color w:val="auto"/>
                      <w:szCs w:val="21"/>
                    </w:rPr>
                  </w:pPr>
                  <w:r>
                    <w:rPr>
                      <w:rFonts w:ascii="Times New Roman" w:hAnsi="Times New Roman"/>
                      <w:color w:val="auto"/>
                      <w:szCs w:val="21"/>
                    </w:rPr>
                    <w:t>其他土地</w:t>
                  </w:r>
                </w:p>
              </w:tc>
              <w:tc>
                <w:tcPr>
                  <w:tcW w:w="1677" w:type="pct"/>
                  <w:tcBorders>
                    <w:tl2br w:val="nil"/>
                    <w:tr2bl w:val="nil"/>
                  </w:tcBorders>
                  <w:shd w:val="clear" w:color="auto" w:fill="auto"/>
                  <w:vAlign w:val="center"/>
                </w:tcPr>
                <w:p w14:paraId="6F6A4F94">
                  <w:pPr>
                    <w:adjustRightInd w:val="0"/>
                    <w:snapToGrid w:val="0"/>
                    <w:jc w:val="center"/>
                    <w:rPr>
                      <w:rFonts w:ascii="Times New Roman" w:hAnsi="Times New Roman"/>
                      <w:color w:val="auto"/>
                      <w:szCs w:val="21"/>
                    </w:rPr>
                  </w:pPr>
                  <w:r>
                    <w:rPr>
                      <w:rFonts w:ascii="Times New Roman" w:hAnsi="Times New Roman"/>
                      <w:color w:val="auto"/>
                      <w:szCs w:val="21"/>
                    </w:rPr>
                    <w:t>1202设施农用地</w:t>
                  </w:r>
                </w:p>
              </w:tc>
              <w:tc>
                <w:tcPr>
                  <w:tcW w:w="1222" w:type="pct"/>
                  <w:tcBorders>
                    <w:tl2br w:val="nil"/>
                    <w:tr2bl w:val="nil"/>
                  </w:tcBorders>
                  <w:shd w:val="clear" w:color="auto" w:fill="auto"/>
                  <w:vAlign w:val="center"/>
                </w:tcPr>
                <w:p w14:paraId="5C7BD13B">
                  <w:pPr>
                    <w:adjustRightInd w:val="0"/>
                    <w:snapToGrid w:val="0"/>
                    <w:jc w:val="center"/>
                    <w:rPr>
                      <w:rFonts w:ascii="Times New Roman" w:hAnsi="Times New Roman"/>
                      <w:color w:val="auto"/>
                      <w:szCs w:val="21"/>
                    </w:rPr>
                  </w:pPr>
                  <w:r>
                    <w:rPr>
                      <w:rFonts w:ascii="Times New Roman" w:hAnsi="Times New Roman"/>
                      <w:color w:val="auto"/>
                      <w:szCs w:val="21"/>
                    </w:rPr>
                    <w:t xml:space="preserve">0.485 </w:t>
                  </w:r>
                </w:p>
              </w:tc>
              <w:tc>
                <w:tcPr>
                  <w:tcW w:w="958" w:type="pct"/>
                  <w:tcBorders>
                    <w:tl2br w:val="nil"/>
                    <w:tr2bl w:val="nil"/>
                  </w:tcBorders>
                  <w:shd w:val="clear" w:color="auto" w:fill="auto"/>
                  <w:vAlign w:val="center"/>
                </w:tcPr>
                <w:p w14:paraId="1516B700">
                  <w:pPr>
                    <w:adjustRightInd w:val="0"/>
                    <w:snapToGrid w:val="0"/>
                    <w:jc w:val="center"/>
                    <w:rPr>
                      <w:rFonts w:ascii="Times New Roman" w:hAnsi="Times New Roman"/>
                      <w:color w:val="auto"/>
                      <w:szCs w:val="21"/>
                    </w:rPr>
                  </w:pPr>
                  <w:r>
                    <w:rPr>
                      <w:rFonts w:ascii="Times New Roman" w:hAnsi="Times New Roman"/>
                      <w:color w:val="auto"/>
                      <w:szCs w:val="21"/>
                    </w:rPr>
                    <w:t xml:space="preserve">0.04 </w:t>
                  </w:r>
                </w:p>
              </w:tc>
            </w:tr>
            <w:tr w14:paraId="46BF1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326EFFC1">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675665E1">
                  <w:pPr>
                    <w:adjustRightInd w:val="0"/>
                    <w:snapToGrid w:val="0"/>
                    <w:jc w:val="center"/>
                    <w:rPr>
                      <w:rFonts w:ascii="Times New Roman" w:hAnsi="Times New Roman"/>
                      <w:color w:val="auto"/>
                      <w:szCs w:val="21"/>
                    </w:rPr>
                  </w:pPr>
                  <w:r>
                    <w:rPr>
                      <w:rFonts w:ascii="Times New Roman" w:hAnsi="Times New Roman"/>
                      <w:color w:val="auto"/>
                      <w:szCs w:val="21"/>
                    </w:rPr>
                    <w:t>1206裸土地</w:t>
                  </w:r>
                </w:p>
              </w:tc>
              <w:tc>
                <w:tcPr>
                  <w:tcW w:w="1222" w:type="pct"/>
                  <w:tcBorders>
                    <w:tl2br w:val="nil"/>
                    <w:tr2bl w:val="nil"/>
                  </w:tcBorders>
                  <w:shd w:val="clear" w:color="auto" w:fill="auto"/>
                  <w:vAlign w:val="center"/>
                </w:tcPr>
                <w:p w14:paraId="788F4F9D">
                  <w:pPr>
                    <w:adjustRightInd w:val="0"/>
                    <w:snapToGrid w:val="0"/>
                    <w:jc w:val="center"/>
                    <w:rPr>
                      <w:rFonts w:ascii="Times New Roman" w:hAnsi="Times New Roman"/>
                      <w:color w:val="auto"/>
                      <w:szCs w:val="21"/>
                    </w:rPr>
                  </w:pPr>
                  <w:r>
                    <w:rPr>
                      <w:rFonts w:ascii="Times New Roman" w:hAnsi="Times New Roman"/>
                      <w:color w:val="auto"/>
                      <w:szCs w:val="21"/>
                    </w:rPr>
                    <w:t xml:space="preserve">0.239 </w:t>
                  </w:r>
                </w:p>
              </w:tc>
              <w:tc>
                <w:tcPr>
                  <w:tcW w:w="958" w:type="pct"/>
                  <w:tcBorders>
                    <w:tl2br w:val="nil"/>
                    <w:tr2bl w:val="nil"/>
                  </w:tcBorders>
                  <w:shd w:val="clear" w:color="auto" w:fill="auto"/>
                  <w:vAlign w:val="center"/>
                </w:tcPr>
                <w:p w14:paraId="2CEE22F0">
                  <w:pPr>
                    <w:adjustRightInd w:val="0"/>
                    <w:snapToGrid w:val="0"/>
                    <w:jc w:val="center"/>
                    <w:rPr>
                      <w:rFonts w:ascii="Times New Roman" w:hAnsi="Times New Roman"/>
                      <w:color w:val="auto"/>
                      <w:szCs w:val="21"/>
                    </w:rPr>
                  </w:pPr>
                  <w:r>
                    <w:rPr>
                      <w:rFonts w:ascii="Times New Roman" w:hAnsi="Times New Roman"/>
                      <w:color w:val="auto"/>
                      <w:szCs w:val="21"/>
                    </w:rPr>
                    <w:t xml:space="preserve">0.02 </w:t>
                  </w:r>
                </w:p>
              </w:tc>
            </w:tr>
            <w:tr w14:paraId="75E3D8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2AD7ABC6">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2EE597BC">
                  <w:pPr>
                    <w:adjustRightInd w:val="0"/>
                    <w:snapToGrid w:val="0"/>
                    <w:jc w:val="center"/>
                    <w:rPr>
                      <w:rFonts w:ascii="Times New Roman" w:hAnsi="Times New Roman"/>
                      <w:color w:val="auto"/>
                      <w:szCs w:val="21"/>
                    </w:rPr>
                  </w:pPr>
                  <w:r>
                    <w:rPr>
                      <w:rFonts w:ascii="Times New Roman" w:hAnsi="Times New Roman"/>
                      <w:color w:val="auto"/>
                      <w:szCs w:val="21"/>
                    </w:rPr>
                    <w:t>1207裸岩石砾地</w:t>
                  </w:r>
                </w:p>
              </w:tc>
              <w:tc>
                <w:tcPr>
                  <w:tcW w:w="1222" w:type="pct"/>
                  <w:tcBorders>
                    <w:tl2br w:val="nil"/>
                    <w:tr2bl w:val="nil"/>
                  </w:tcBorders>
                  <w:shd w:val="clear" w:color="auto" w:fill="auto"/>
                  <w:vAlign w:val="center"/>
                </w:tcPr>
                <w:p w14:paraId="38FAC1BE">
                  <w:pPr>
                    <w:adjustRightInd w:val="0"/>
                    <w:snapToGrid w:val="0"/>
                    <w:jc w:val="center"/>
                    <w:rPr>
                      <w:rFonts w:ascii="Times New Roman" w:hAnsi="Times New Roman"/>
                      <w:color w:val="auto"/>
                      <w:szCs w:val="21"/>
                    </w:rPr>
                  </w:pPr>
                  <w:r>
                    <w:rPr>
                      <w:rFonts w:ascii="Times New Roman" w:hAnsi="Times New Roman"/>
                      <w:color w:val="auto"/>
                      <w:szCs w:val="21"/>
                    </w:rPr>
                    <w:t xml:space="preserve">1.950 </w:t>
                  </w:r>
                </w:p>
              </w:tc>
              <w:tc>
                <w:tcPr>
                  <w:tcW w:w="958" w:type="pct"/>
                  <w:tcBorders>
                    <w:tl2br w:val="nil"/>
                    <w:tr2bl w:val="nil"/>
                  </w:tcBorders>
                  <w:shd w:val="clear" w:color="auto" w:fill="auto"/>
                  <w:vAlign w:val="center"/>
                </w:tcPr>
                <w:p w14:paraId="06E76394">
                  <w:pPr>
                    <w:adjustRightInd w:val="0"/>
                    <w:snapToGrid w:val="0"/>
                    <w:jc w:val="center"/>
                    <w:rPr>
                      <w:rFonts w:ascii="Times New Roman" w:hAnsi="Times New Roman"/>
                      <w:color w:val="auto"/>
                      <w:szCs w:val="21"/>
                    </w:rPr>
                  </w:pPr>
                  <w:r>
                    <w:rPr>
                      <w:rFonts w:ascii="Times New Roman" w:hAnsi="Times New Roman"/>
                      <w:color w:val="auto"/>
                      <w:szCs w:val="21"/>
                    </w:rPr>
                    <w:t xml:space="preserve">0.15 </w:t>
                  </w:r>
                </w:p>
              </w:tc>
            </w:tr>
            <w:tr w14:paraId="4722B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vMerge w:val="continue"/>
                  <w:tcBorders>
                    <w:tl2br w:val="nil"/>
                    <w:tr2bl w:val="nil"/>
                  </w:tcBorders>
                  <w:shd w:val="clear" w:color="auto" w:fill="auto"/>
                  <w:vAlign w:val="center"/>
                </w:tcPr>
                <w:p w14:paraId="40E8B453">
                  <w:pPr>
                    <w:adjustRightInd w:val="0"/>
                    <w:snapToGrid w:val="0"/>
                    <w:jc w:val="center"/>
                    <w:rPr>
                      <w:rFonts w:ascii="Times New Roman" w:hAnsi="Times New Roman"/>
                      <w:color w:val="auto"/>
                      <w:szCs w:val="21"/>
                    </w:rPr>
                  </w:pPr>
                </w:p>
              </w:tc>
              <w:tc>
                <w:tcPr>
                  <w:tcW w:w="1677" w:type="pct"/>
                  <w:tcBorders>
                    <w:tl2br w:val="nil"/>
                    <w:tr2bl w:val="nil"/>
                  </w:tcBorders>
                  <w:shd w:val="clear" w:color="auto" w:fill="auto"/>
                  <w:vAlign w:val="center"/>
                </w:tcPr>
                <w:p w14:paraId="3A5AB1BD">
                  <w:pPr>
                    <w:adjustRightInd w:val="0"/>
                    <w:snapToGrid w:val="0"/>
                    <w:jc w:val="center"/>
                    <w:rPr>
                      <w:rFonts w:ascii="Times New Roman" w:hAnsi="Times New Roman"/>
                      <w:color w:val="auto"/>
                      <w:szCs w:val="21"/>
                    </w:rPr>
                  </w:pPr>
                  <w:r>
                    <w:rPr>
                      <w:rFonts w:ascii="Times New Roman" w:hAnsi="Times New Roman"/>
                      <w:color w:val="auto"/>
                      <w:szCs w:val="21"/>
                    </w:rPr>
                    <w:t>1208后备耕地</w:t>
                  </w:r>
                </w:p>
              </w:tc>
              <w:tc>
                <w:tcPr>
                  <w:tcW w:w="1222" w:type="pct"/>
                  <w:tcBorders>
                    <w:tl2br w:val="nil"/>
                    <w:tr2bl w:val="nil"/>
                  </w:tcBorders>
                  <w:shd w:val="clear" w:color="auto" w:fill="auto"/>
                  <w:vAlign w:val="center"/>
                </w:tcPr>
                <w:p w14:paraId="4461747B">
                  <w:pPr>
                    <w:adjustRightInd w:val="0"/>
                    <w:snapToGrid w:val="0"/>
                    <w:jc w:val="center"/>
                    <w:rPr>
                      <w:rFonts w:ascii="Times New Roman" w:hAnsi="Times New Roman"/>
                      <w:color w:val="auto"/>
                      <w:szCs w:val="21"/>
                    </w:rPr>
                  </w:pPr>
                  <w:r>
                    <w:rPr>
                      <w:rFonts w:ascii="Times New Roman" w:hAnsi="Times New Roman"/>
                      <w:color w:val="auto"/>
                      <w:szCs w:val="21"/>
                    </w:rPr>
                    <w:t xml:space="preserve">5.597 </w:t>
                  </w:r>
                </w:p>
              </w:tc>
              <w:tc>
                <w:tcPr>
                  <w:tcW w:w="958" w:type="pct"/>
                  <w:tcBorders>
                    <w:tl2br w:val="nil"/>
                    <w:tr2bl w:val="nil"/>
                  </w:tcBorders>
                  <w:shd w:val="clear" w:color="auto" w:fill="auto"/>
                  <w:vAlign w:val="center"/>
                </w:tcPr>
                <w:p w14:paraId="69BE5DD6">
                  <w:pPr>
                    <w:adjustRightInd w:val="0"/>
                    <w:snapToGrid w:val="0"/>
                    <w:jc w:val="center"/>
                    <w:rPr>
                      <w:rFonts w:ascii="Times New Roman" w:hAnsi="Times New Roman"/>
                      <w:color w:val="auto"/>
                      <w:szCs w:val="21"/>
                    </w:rPr>
                  </w:pPr>
                  <w:r>
                    <w:rPr>
                      <w:rFonts w:ascii="Times New Roman" w:hAnsi="Times New Roman"/>
                      <w:color w:val="auto"/>
                      <w:szCs w:val="21"/>
                    </w:rPr>
                    <w:t xml:space="preserve">0.42 </w:t>
                  </w:r>
                </w:p>
              </w:tc>
            </w:tr>
            <w:tr w14:paraId="255363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1" w:type="pct"/>
                  <w:tcBorders>
                    <w:tl2br w:val="nil"/>
                    <w:tr2bl w:val="nil"/>
                  </w:tcBorders>
                  <w:shd w:val="clear" w:color="auto" w:fill="auto"/>
                  <w:vAlign w:val="center"/>
                </w:tcPr>
                <w:p w14:paraId="1A879D84">
                  <w:pPr>
                    <w:adjustRightInd w:val="0"/>
                    <w:snapToGrid w:val="0"/>
                    <w:jc w:val="center"/>
                    <w:rPr>
                      <w:rFonts w:ascii="Times New Roman" w:hAnsi="Times New Roman"/>
                      <w:color w:val="auto"/>
                      <w:szCs w:val="21"/>
                    </w:rPr>
                  </w:pPr>
                  <w:r>
                    <w:rPr>
                      <w:rFonts w:ascii="Times New Roman" w:hAnsi="Times New Roman"/>
                      <w:color w:val="auto"/>
                      <w:szCs w:val="21"/>
                    </w:rPr>
                    <w:t>合计</w:t>
                  </w:r>
                </w:p>
              </w:tc>
              <w:tc>
                <w:tcPr>
                  <w:tcW w:w="1677" w:type="pct"/>
                  <w:tcBorders>
                    <w:tl2br w:val="nil"/>
                    <w:tr2bl w:val="nil"/>
                  </w:tcBorders>
                  <w:shd w:val="clear" w:color="auto" w:fill="auto"/>
                  <w:vAlign w:val="center"/>
                </w:tcPr>
                <w:p w14:paraId="5FB2A279">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1222" w:type="pct"/>
                  <w:tcBorders>
                    <w:tl2br w:val="nil"/>
                    <w:tr2bl w:val="nil"/>
                  </w:tcBorders>
                  <w:shd w:val="clear" w:color="auto" w:fill="auto"/>
                  <w:vAlign w:val="center"/>
                </w:tcPr>
                <w:p w14:paraId="630FEDC5">
                  <w:pPr>
                    <w:adjustRightInd w:val="0"/>
                    <w:snapToGrid w:val="0"/>
                    <w:jc w:val="center"/>
                    <w:rPr>
                      <w:rFonts w:ascii="Times New Roman" w:hAnsi="Times New Roman"/>
                      <w:color w:val="auto"/>
                      <w:szCs w:val="21"/>
                    </w:rPr>
                  </w:pPr>
                  <w:r>
                    <w:rPr>
                      <w:rFonts w:ascii="Times New Roman" w:hAnsi="Times New Roman"/>
                      <w:color w:val="auto"/>
                      <w:szCs w:val="21"/>
                    </w:rPr>
                    <w:t xml:space="preserve">1323.172 </w:t>
                  </w:r>
                </w:p>
              </w:tc>
              <w:tc>
                <w:tcPr>
                  <w:tcW w:w="958" w:type="pct"/>
                  <w:tcBorders>
                    <w:tl2br w:val="nil"/>
                    <w:tr2bl w:val="nil"/>
                  </w:tcBorders>
                  <w:shd w:val="clear" w:color="auto" w:fill="auto"/>
                  <w:vAlign w:val="center"/>
                </w:tcPr>
                <w:p w14:paraId="75219B65">
                  <w:pPr>
                    <w:adjustRightInd w:val="0"/>
                    <w:snapToGrid w:val="0"/>
                    <w:jc w:val="center"/>
                    <w:rPr>
                      <w:rFonts w:ascii="Times New Roman" w:hAnsi="Times New Roman"/>
                      <w:color w:val="auto"/>
                      <w:szCs w:val="21"/>
                    </w:rPr>
                  </w:pPr>
                  <w:r>
                    <w:rPr>
                      <w:rFonts w:ascii="Times New Roman" w:hAnsi="Times New Roman"/>
                      <w:color w:val="auto"/>
                      <w:szCs w:val="21"/>
                    </w:rPr>
                    <w:t xml:space="preserve">100.00 </w:t>
                  </w:r>
                </w:p>
              </w:tc>
            </w:tr>
          </w:tbl>
          <w:p w14:paraId="0B0C098C">
            <w:pPr>
              <w:keepNext/>
              <w:keepLines/>
              <w:widowControl/>
              <w:adjustRightInd w:val="0"/>
              <w:snapToGrid w:val="0"/>
              <w:spacing w:line="440" w:lineRule="exact"/>
              <w:outlineLvl w:val="2"/>
              <w:rPr>
                <w:rFonts w:ascii="Times New Roman" w:hAnsi="Times New Roman"/>
                <w:b/>
                <w:bCs/>
                <w:color w:val="auto"/>
                <w:sz w:val="24"/>
                <w:szCs w:val="24"/>
              </w:rPr>
            </w:pPr>
            <w:r>
              <w:rPr>
                <w:rFonts w:hint="eastAsia" w:ascii="Times New Roman" w:hAnsi="Times New Roman"/>
                <w:b/>
                <w:bCs/>
                <w:color w:val="auto"/>
                <w:sz w:val="24"/>
                <w:szCs w:val="24"/>
              </w:rPr>
              <w:t>3.2.5</w:t>
            </w:r>
            <w:r>
              <w:rPr>
                <w:rFonts w:ascii="Times New Roman" w:hAnsi="Times New Roman"/>
                <w:b/>
                <w:bCs/>
                <w:color w:val="auto"/>
                <w:sz w:val="24"/>
                <w:szCs w:val="24"/>
              </w:rPr>
              <w:t>景观及生态系统环境现状</w:t>
            </w:r>
          </w:p>
          <w:p w14:paraId="67D70431">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3.2.5.1</w:t>
            </w:r>
            <w:r>
              <w:rPr>
                <w:rFonts w:ascii="Times New Roman" w:hAnsi="Times New Roman"/>
                <w:b/>
                <w:bCs/>
                <w:color w:val="auto"/>
                <w:sz w:val="24"/>
                <w:szCs w:val="24"/>
              </w:rPr>
              <w:t>景观系统现状</w:t>
            </w:r>
          </w:p>
          <w:p w14:paraId="3EC8BED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内生态系统可分为森林生态系统、农田生态系统等。这些不同的景观系统按其内在的规律整合在一起，形成和评价区内统一的景观体系。景观质量的优劣取决于景观要素的性质与特征，以及景观的结构和时空格局的特征。景观生态系统的稳定性取决于景观生态系统稳定程度和系统干扰程度两大方面。若干扰程度大于稳定程度，景观生态系统趋于非稳定态，景观生态质量较低；若干扰程度小于稳定程度，景观生态系统趋于稳定态，景观生态质量较高。一般来说，森林比灌丛和灌草丛有更为复杂的群落结构、更高的生物生产力，同样其生态潜力也较高，对环境质量的影响也更大。农田及其他人工群落，具有结构简单、种类单一、靠人工施肥和管理维持等特点，因此相对于自然植被来说，自身的稳定性与对外界干扰的抵抗力都较弱。</w:t>
            </w:r>
          </w:p>
          <w:p w14:paraId="364D2AC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在植被类型划分的基础上，根据遥感影像的色彩和色调的变化，确定满足评价要求的景观上图单元类型，根据评价区生态环境和植被组成的具体情况，评价区划分为10类基于遥感判读的景观生态类型。</w:t>
            </w:r>
          </w:p>
          <w:p w14:paraId="496FA9E7">
            <w:pPr>
              <w:adjustRightInd w:val="0"/>
              <w:snapToGrid w:val="0"/>
              <w:jc w:val="center"/>
              <w:rPr>
                <w:rFonts w:ascii="Times New Roman" w:hAnsi="Times New Roman"/>
                <w:b/>
                <w:bCs/>
                <w:color w:val="auto"/>
                <w:sz w:val="24"/>
                <w:szCs w:val="36"/>
              </w:rPr>
            </w:pPr>
            <w:r>
              <w:rPr>
                <w:rFonts w:ascii="Times New Roman" w:hAnsi="Times New Roman"/>
                <w:b/>
                <w:bCs/>
                <w:color w:val="auto"/>
                <w:sz w:val="24"/>
                <w:szCs w:val="36"/>
              </w:rPr>
              <w:t>表</w:t>
            </w:r>
            <w:r>
              <w:rPr>
                <w:rFonts w:hint="eastAsia" w:ascii="Times New Roman" w:hAnsi="Times New Roman"/>
                <w:b/>
                <w:bCs/>
                <w:color w:val="auto"/>
                <w:sz w:val="24"/>
                <w:szCs w:val="36"/>
              </w:rPr>
              <w:t>3-18</w:t>
            </w:r>
            <w:r>
              <w:rPr>
                <w:rFonts w:ascii="Times New Roman" w:hAnsi="Times New Roman"/>
                <w:b/>
                <w:bCs/>
                <w:color w:val="auto"/>
                <w:sz w:val="24"/>
                <w:szCs w:val="36"/>
              </w:rPr>
              <w:t xml:space="preserve">  评价区景观面积组成</w:t>
            </w:r>
          </w:p>
          <w:tbl>
            <w:tblPr>
              <w:tblStyle w:val="27"/>
              <w:tblW w:w="4997"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41"/>
              <w:gridCol w:w="1492"/>
              <w:gridCol w:w="1431"/>
              <w:gridCol w:w="1430"/>
              <w:gridCol w:w="1430"/>
            </w:tblGrid>
            <w:tr w14:paraId="21EEE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noWrap/>
                  <w:vAlign w:val="center"/>
                </w:tcPr>
                <w:p w14:paraId="5BD5DBEE">
                  <w:pPr>
                    <w:widowControl/>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景观类型</w:t>
                  </w:r>
                </w:p>
              </w:tc>
              <w:tc>
                <w:tcPr>
                  <w:tcW w:w="885" w:type="pct"/>
                  <w:tcBorders>
                    <w:tl2br w:val="nil"/>
                    <w:tr2bl w:val="nil"/>
                  </w:tcBorders>
                  <w:shd w:val="clear" w:color="auto" w:fill="auto"/>
                  <w:noWrap/>
                  <w:vAlign w:val="center"/>
                </w:tcPr>
                <w:p w14:paraId="36633192">
                  <w:pPr>
                    <w:widowControl/>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缀块数</w:t>
                  </w:r>
                </w:p>
              </w:tc>
              <w:tc>
                <w:tcPr>
                  <w:tcW w:w="849" w:type="pct"/>
                  <w:tcBorders>
                    <w:tl2br w:val="nil"/>
                    <w:tr2bl w:val="nil"/>
                  </w:tcBorders>
                  <w:shd w:val="clear" w:color="auto" w:fill="auto"/>
                  <w:noWrap/>
                  <w:vAlign w:val="center"/>
                </w:tcPr>
                <w:p w14:paraId="16718E66">
                  <w:pPr>
                    <w:widowControl/>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缀块（%）</w:t>
                  </w:r>
                </w:p>
              </w:tc>
              <w:tc>
                <w:tcPr>
                  <w:tcW w:w="849" w:type="pct"/>
                  <w:tcBorders>
                    <w:tl2br w:val="nil"/>
                    <w:tr2bl w:val="nil"/>
                  </w:tcBorders>
                  <w:shd w:val="clear" w:color="auto" w:fill="auto"/>
                  <w:vAlign w:val="center"/>
                </w:tcPr>
                <w:p w14:paraId="1D70A929">
                  <w:pPr>
                    <w:widowControl/>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面积（hm</w:t>
                  </w:r>
                  <w:r>
                    <w:rPr>
                      <w:rFonts w:ascii="Times New Roman" w:hAnsi="Times New Roman"/>
                      <w:b/>
                      <w:bCs/>
                      <w:color w:val="auto"/>
                      <w:kern w:val="0"/>
                      <w:szCs w:val="21"/>
                      <w:vertAlign w:val="superscript"/>
                      <w:lang w:bidi="ar"/>
                    </w:rPr>
                    <w:t>2</w:t>
                  </w:r>
                  <w:r>
                    <w:rPr>
                      <w:rFonts w:ascii="Times New Roman" w:hAnsi="Times New Roman"/>
                      <w:b/>
                      <w:bCs/>
                      <w:color w:val="auto"/>
                      <w:kern w:val="0"/>
                      <w:szCs w:val="21"/>
                      <w:lang w:bidi="ar"/>
                    </w:rPr>
                    <w:t>）</w:t>
                  </w:r>
                </w:p>
              </w:tc>
              <w:tc>
                <w:tcPr>
                  <w:tcW w:w="849" w:type="pct"/>
                  <w:tcBorders>
                    <w:tl2br w:val="nil"/>
                    <w:tr2bl w:val="nil"/>
                  </w:tcBorders>
                  <w:shd w:val="clear" w:color="auto" w:fill="auto"/>
                  <w:noWrap/>
                  <w:vAlign w:val="center"/>
                </w:tcPr>
                <w:p w14:paraId="06165607">
                  <w:pPr>
                    <w:widowControl/>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面积（%）</w:t>
                  </w:r>
                </w:p>
              </w:tc>
            </w:tr>
            <w:tr w14:paraId="1458C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noWrap/>
                  <w:vAlign w:val="center"/>
                </w:tcPr>
                <w:p w14:paraId="65F8F57D">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暖温性针叶林景观</w:t>
                  </w:r>
                </w:p>
              </w:tc>
              <w:tc>
                <w:tcPr>
                  <w:tcW w:w="885" w:type="pct"/>
                  <w:tcBorders>
                    <w:tl2br w:val="nil"/>
                    <w:tr2bl w:val="nil"/>
                  </w:tcBorders>
                  <w:shd w:val="clear" w:color="auto" w:fill="auto"/>
                  <w:noWrap/>
                  <w:vAlign w:val="center"/>
                </w:tcPr>
                <w:p w14:paraId="1AEEB92B">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148</w:t>
                  </w:r>
                </w:p>
              </w:tc>
              <w:tc>
                <w:tcPr>
                  <w:tcW w:w="849" w:type="pct"/>
                  <w:tcBorders>
                    <w:tl2br w:val="nil"/>
                    <w:tr2bl w:val="nil"/>
                  </w:tcBorders>
                  <w:shd w:val="clear" w:color="auto" w:fill="auto"/>
                  <w:noWrap/>
                  <w:vAlign w:val="center"/>
                </w:tcPr>
                <w:p w14:paraId="53426AA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14.86 </w:t>
                  </w:r>
                </w:p>
              </w:tc>
              <w:tc>
                <w:tcPr>
                  <w:tcW w:w="849" w:type="pct"/>
                  <w:tcBorders>
                    <w:tl2br w:val="nil"/>
                    <w:tr2bl w:val="nil"/>
                  </w:tcBorders>
                  <w:shd w:val="clear" w:color="auto" w:fill="auto"/>
                  <w:noWrap/>
                  <w:vAlign w:val="center"/>
                </w:tcPr>
                <w:p w14:paraId="3602862C">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483.249 </w:t>
                  </w:r>
                </w:p>
              </w:tc>
              <w:tc>
                <w:tcPr>
                  <w:tcW w:w="849" w:type="pct"/>
                  <w:tcBorders>
                    <w:tl2br w:val="nil"/>
                    <w:tr2bl w:val="nil"/>
                  </w:tcBorders>
                  <w:shd w:val="clear" w:color="auto" w:fill="auto"/>
                  <w:noWrap/>
                  <w:vAlign w:val="center"/>
                </w:tcPr>
                <w:p w14:paraId="19E2295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36.52 </w:t>
                  </w:r>
                </w:p>
              </w:tc>
            </w:tr>
            <w:tr w14:paraId="3295A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2C39D8A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暖性石灰岩灌丛景观</w:t>
                  </w:r>
                </w:p>
              </w:tc>
              <w:tc>
                <w:tcPr>
                  <w:tcW w:w="885" w:type="pct"/>
                  <w:tcBorders>
                    <w:tl2br w:val="nil"/>
                    <w:tr2bl w:val="nil"/>
                  </w:tcBorders>
                  <w:shd w:val="clear" w:color="auto" w:fill="auto"/>
                  <w:noWrap/>
                  <w:vAlign w:val="center"/>
                </w:tcPr>
                <w:p w14:paraId="42397C7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138</w:t>
                  </w:r>
                </w:p>
              </w:tc>
              <w:tc>
                <w:tcPr>
                  <w:tcW w:w="849" w:type="pct"/>
                  <w:tcBorders>
                    <w:tl2br w:val="nil"/>
                    <w:tr2bl w:val="nil"/>
                  </w:tcBorders>
                  <w:shd w:val="clear" w:color="auto" w:fill="auto"/>
                  <w:noWrap/>
                  <w:vAlign w:val="center"/>
                </w:tcPr>
                <w:p w14:paraId="326906D3">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13.86 </w:t>
                  </w:r>
                </w:p>
              </w:tc>
              <w:tc>
                <w:tcPr>
                  <w:tcW w:w="849" w:type="pct"/>
                  <w:tcBorders>
                    <w:tl2br w:val="nil"/>
                    <w:tr2bl w:val="nil"/>
                  </w:tcBorders>
                  <w:shd w:val="clear" w:color="auto" w:fill="auto"/>
                  <w:noWrap/>
                  <w:vAlign w:val="center"/>
                </w:tcPr>
                <w:p w14:paraId="02379077">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210.959 </w:t>
                  </w:r>
                </w:p>
              </w:tc>
              <w:tc>
                <w:tcPr>
                  <w:tcW w:w="849" w:type="pct"/>
                  <w:tcBorders>
                    <w:tl2br w:val="nil"/>
                    <w:tr2bl w:val="nil"/>
                  </w:tcBorders>
                  <w:shd w:val="clear" w:color="auto" w:fill="auto"/>
                  <w:noWrap/>
                  <w:vAlign w:val="center"/>
                </w:tcPr>
                <w:p w14:paraId="28ADE77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15.94 </w:t>
                  </w:r>
                </w:p>
              </w:tc>
            </w:tr>
            <w:tr w14:paraId="43451D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338BE774">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暖温性稀树灌木草丛景观</w:t>
                  </w:r>
                </w:p>
              </w:tc>
              <w:tc>
                <w:tcPr>
                  <w:tcW w:w="885" w:type="pct"/>
                  <w:tcBorders>
                    <w:tl2br w:val="nil"/>
                    <w:tr2bl w:val="nil"/>
                  </w:tcBorders>
                  <w:shd w:val="clear" w:color="auto" w:fill="auto"/>
                  <w:noWrap/>
                  <w:vAlign w:val="center"/>
                </w:tcPr>
                <w:p w14:paraId="193B0F61">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97</w:t>
                  </w:r>
                </w:p>
              </w:tc>
              <w:tc>
                <w:tcPr>
                  <w:tcW w:w="849" w:type="pct"/>
                  <w:tcBorders>
                    <w:tl2br w:val="nil"/>
                    <w:tr2bl w:val="nil"/>
                  </w:tcBorders>
                  <w:shd w:val="clear" w:color="auto" w:fill="auto"/>
                  <w:noWrap/>
                  <w:vAlign w:val="center"/>
                </w:tcPr>
                <w:p w14:paraId="09C9C59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9.74 </w:t>
                  </w:r>
                </w:p>
              </w:tc>
              <w:tc>
                <w:tcPr>
                  <w:tcW w:w="849" w:type="pct"/>
                  <w:tcBorders>
                    <w:tl2br w:val="nil"/>
                    <w:tr2bl w:val="nil"/>
                  </w:tcBorders>
                  <w:shd w:val="clear" w:color="auto" w:fill="auto"/>
                  <w:noWrap/>
                  <w:vAlign w:val="center"/>
                </w:tcPr>
                <w:p w14:paraId="1CAE2B64">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116.277 </w:t>
                  </w:r>
                </w:p>
              </w:tc>
              <w:tc>
                <w:tcPr>
                  <w:tcW w:w="849" w:type="pct"/>
                  <w:tcBorders>
                    <w:tl2br w:val="nil"/>
                    <w:tr2bl w:val="nil"/>
                  </w:tcBorders>
                  <w:shd w:val="clear" w:color="auto" w:fill="auto"/>
                  <w:noWrap/>
                  <w:vAlign w:val="center"/>
                </w:tcPr>
                <w:p w14:paraId="60C366A1">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8.79 </w:t>
                  </w:r>
                </w:p>
              </w:tc>
            </w:tr>
            <w:tr w14:paraId="31C00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4D850BD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人工林景观</w:t>
                  </w:r>
                </w:p>
              </w:tc>
              <w:tc>
                <w:tcPr>
                  <w:tcW w:w="885" w:type="pct"/>
                  <w:tcBorders>
                    <w:tl2br w:val="nil"/>
                    <w:tr2bl w:val="nil"/>
                  </w:tcBorders>
                  <w:shd w:val="clear" w:color="auto" w:fill="auto"/>
                  <w:noWrap/>
                  <w:vAlign w:val="center"/>
                </w:tcPr>
                <w:p w14:paraId="0424561B">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8</w:t>
                  </w:r>
                </w:p>
              </w:tc>
              <w:tc>
                <w:tcPr>
                  <w:tcW w:w="849" w:type="pct"/>
                  <w:tcBorders>
                    <w:tl2br w:val="nil"/>
                    <w:tr2bl w:val="nil"/>
                  </w:tcBorders>
                  <w:shd w:val="clear" w:color="auto" w:fill="auto"/>
                  <w:noWrap/>
                  <w:vAlign w:val="center"/>
                </w:tcPr>
                <w:p w14:paraId="01080E3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0.80 </w:t>
                  </w:r>
                </w:p>
              </w:tc>
              <w:tc>
                <w:tcPr>
                  <w:tcW w:w="849" w:type="pct"/>
                  <w:tcBorders>
                    <w:tl2br w:val="nil"/>
                    <w:tr2bl w:val="nil"/>
                  </w:tcBorders>
                  <w:shd w:val="clear" w:color="auto" w:fill="auto"/>
                  <w:noWrap/>
                  <w:vAlign w:val="center"/>
                </w:tcPr>
                <w:p w14:paraId="2D164DF7">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2.138 </w:t>
                  </w:r>
                </w:p>
              </w:tc>
              <w:tc>
                <w:tcPr>
                  <w:tcW w:w="849" w:type="pct"/>
                  <w:tcBorders>
                    <w:tl2br w:val="nil"/>
                    <w:tr2bl w:val="nil"/>
                  </w:tcBorders>
                  <w:shd w:val="clear" w:color="auto" w:fill="auto"/>
                  <w:noWrap/>
                  <w:vAlign w:val="center"/>
                </w:tcPr>
                <w:p w14:paraId="4BB9CB7B">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0.16 </w:t>
                  </w:r>
                </w:p>
              </w:tc>
            </w:tr>
            <w:tr w14:paraId="5813F3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3019D3CD">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耕地景观</w:t>
                  </w:r>
                </w:p>
              </w:tc>
              <w:tc>
                <w:tcPr>
                  <w:tcW w:w="885" w:type="pct"/>
                  <w:tcBorders>
                    <w:tl2br w:val="nil"/>
                    <w:tr2bl w:val="nil"/>
                  </w:tcBorders>
                  <w:shd w:val="clear" w:color="auto" w:fill="auto"/>
                  <w:noWrap/>
                  <w:vAlign w:val="center"/>
                </w:tcPr>
                <w:p w14:paraId="69DF2CB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325</w:t>
                  </w:r>
                </w:p>
              </w:tc>
              <w:tc>
                <w:tcPr>
                  <w:tcW w:w="849" w:type="pct"/>
                  <w:tcBorders>
                    <w:tl2br w:val="nil"/>
                    <w:tr2bl w:val="nil"/>
                  </w:tcBorders>
                  <w:shd w:val="clear" w:color="auto" w:fill="auto"/>
                  <w:noWrap/>
                  <w:vAlign w:val="center"/>
                </w:tcPr>
                <w:p w14:paraId="31C39976">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32.63 </w:t>
                  </w:r>
                </w:p>
              </w:tc>
              <w:tc>
                <w:tcPr>
                  <w:tcW w:w="849" w:type="pct"/>
                  <w:tcBorders>
                    <w:tl2br w:val="nil"/>
                    <w:tr2bl w:val="nil"/>
                  </w:tcBorders>
                  <w:shd w:val="clear" w:color="auto" w:fill="auto"/>
                  <w:noWrap/>
                  <w:vAlign w:val="center"/>
                </w:tcPr>
                <w:p w14:paraId="37E31F0E">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469.754 </w:t>
                  </w:r>
                </w:p>
              </w:tc>
              <w:tc>
                <w:tcPr>
                  <w:tcW w:w="849" w:type="pct"/>
                  <w:tcBorders>
                    <w:tl2br w:val="nil"/>
                    <w:tr2bl w:val="nil"/>
                  </w:tcBorders>
                  <w:shd w:val="clear" w:color="auto" w:fill="auto"/>
                  <w:noWrap/>
                  <w:vAlign w:val="center"/>
                </w:tcPr>
                <w:p w14:paraId="1F2B381A">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35.50 </w:t>
                  </w:r>
                </w:p>
              </w:tc>
            </w:tr>
            <w:tr w14:paraId="2A665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105EDBCA">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城镇区域景观</w:t>
                  </w:r>
                </w:p>
              </w:tc>
              <w:tc>
                <w:tcPr>
                  <w:tcW w:w="885" w:type="pct"/>
                  <w:tcBorders>
                    <w:tl2br w:val="nil"/>
                    <w:tr2bl w:val="nil"/>
                  </w:tcBorders>
                  <w:shd w:val="clear" w:color="auto" w:fill="auto"/>
                  <w:noWrap/>
                  <w:vAlign w:val="center"/>
                </w:tcPr>
                <w:p w14:paraId="2222871D">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160</w:t>
                  </w:r>
                </w:p>
              </w:tc>
              <w:tc>
                <w:tcPr>
                  <w:tcW w:w="849" w:type="pct"/>
                  <w:tcBorders>
                    <w:tl2br w:val="nil"/>
                    <w:tr2bl w:val="nil"/>
                  </w:tcBorders>
                  <w:shd w:val="clear" w:color="auto" w:fill="auto"/>
                  <w:noWrap/>
                  <w:vAlign w:val="center"/>
                </w:tcPr>
                <w:p w14:paraId="21A615E4">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16.06 </w:t>
                  </w:r>
                </w:p>
              </w:tc>
              <w:tc>
                <w:tcPr>
                  <w:tcW w:w="849" w:type="pct"/>
                  <w:tcBorders>
                    <w:tl2br w:val="nil"/>
                    <w:tr2bl w:val="nil"/>
                  </w:tcBorders>
                  <w:shd w:val="clear" w:color="auto" w:fill="auto"/>
                  <w:noWrap/>
                  <w:vAlign w:val="center"/>
                </w:tcPr>
                <w:p w14:paraId="7BA281B3">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15.237 </w:t>
                  </w:r>
                </w:p>
              </w:tc>
              <w:tc>
                <w:tcPr>
                  <w:tcW w:w="849" w:type="pct"/>
                  <w:tcBorders>
                    <w:tl2br w:val="nil"/>
                    <w:tr2bl w:val="nil"/>
                  </w:tcBorders>
                  <w:shd w:val="clear" w:color="auto" w:fill="auto"/>
                  <w:noWrap/>
                  <w:vAlign w:val="center"/>
                </w:tcPr>
                <w:p w14:paraId="2456A0DF">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1.15 </w:t>
                  </w:r>
                </w:p>
              </w:tc>
            </w:tr>
            <w:tr w14:paraId="03FD5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32A86E5B">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工矿企业景观</w:t>
                  </w:r>
                </w:p>
              </w:tc>
              <w:tc>
                <w:tcPr>
                  <w:tcW w:w="885" w:type="pct"/>
                  <w:tcBorders>
                    <w:tl2br w:val="nil"/>
                    <w:tr2bl w:val="nil"/>
                  </w:tcBorders>
                  <w:shd w:val="clear" w:color="auto" w:fill="auto"/>
                  <w:noWrap/>
                  <w:vAlign w:val="center"/>
                </w:tcPr>
                <w:p w14:paraId="029E5EF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8</w:t>
                  </w:r>
                </w:p>
              </w:tc>
              <w:tc>
                <w:tcPr>
                  <w:tcW w:w="849" w:type="pct"/>
                  <w:tcBorders>
                    <w:tl2br w:val="nil"/>
                    <w:tr2bl w:val="nil"/>
                  </w:tcBorders>
                  <w:shd w:val="clear" w:color="auto" w:fill="auto"/>
                  <w:noWrap/>
                  <w:vAlign w:val="center"/>
                </w:tcPr>
                <w:p w14:paraId="10AE15A1">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0.80 </w:t>
                  </w:r>
                </w:p>
              </w:tc>
              <w:tc>
                <w:tcPr>
                  <w:tcW w:w="849" w:type="pct"/>
                  <w:tcBorders>
                    <w:tl2br w:val="nil"/>
                    <w:tr2bl w:val="nil"/>
                  </w:tcBorders>
                  <w:shd w:val="clear" w:color="auto" w:fill="auto"/>
                  <w:noWrap/>
                  <w:vAlign w:val="center"/>
                </w:tcPr>
                <w:p w14:paraId="01808A8D">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1.823 </w:t>
                  </w:r>
                </w:p>
              </w:tc>
              <w:tc>
                <w:tcPr>
                  <w:tcW w:w="849" w:type="pct"/>
                  <w:tcBorders>
                    <w:tl2br w:val="nil"/>
                    <w:tr2bl w:val="nil"/>
                  </w:tcBorders>
                  <w:shd w:val="clear" w:color="auto" w:fill="auto"/>
                  <w:noWrap/>
                  <w:vAlign w:val="center"/>
                </w:tcPr>
                <w:p w14:paraId="3B4FEB2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0.14 </w:t>
                  </w:r>
                </w:p>
              </w:tc>
            </w:tr>
            <w:tr w14:paraId="06D09D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28F0BEB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交通景观</w:t>
                  </w:r>
                </w:p>
              </w:tc>
              <w:tc>
                <w:tcPr>
                  <w:tcW w:w="885" w:type="pct"/>
                  <w:tcBorders>
                    <w:tl2br w:val="nil"/>
                    <w:tr2bl w:val="nil"/>
                  </w:tcBorders>
                  <w:shd w:val="clear" w:color="auto" w:fill="auto"/>
                  <w:noWrap/>
                  <w:vAlign w:val="center"/>
                </w:tcPr>
                <w:p w14:paraId="36D17216">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67</w:t>
                  </w:r>
                </w:p>
              </w:tc>
              <w:tc>
                <w:tcPr>
                  <w:tcW w:w="849" w:type="pct"/>
                  <w:tcBorders>
                    <w:tl2br w:val="nil"/>
                    <w:tr2bl w:val="nil"/>
                  </w:tcBorders>
                  <w:shd w:val="clear" w:color="auto" w:fill="auto"/>
                  <w:noWrap/>
                  <w:vAlign w:val="center"/>
                </w:tcPr>
                <w:p w14:paraId="1C12764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6.73 </w:t>
                  </w:r>
                </w:p>
              </w:tc>
              <w:tc>
                <w:tcPr>
                  <w:tcW w:w="849" w:type="pct"/>
                  <w:tcBorders>
                    <w:tl2br w:val="nil"/>
                    <w:tr2bl w:val="nil"/>
                  </w:tcBorders>
                  <w:shd w:val="clear" w:color="auto" w:fill="auto"/>
                  <w:noWrap/>
                  <w:vAlign w:val="center"/>
                </w:tcPr>
                <w:p w14:paraId="0B507C2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9.923 </w:t>
                  </w:r>
                </w:p>
              </w:tc>
              <w:tc>
                <w:tcPr>
                  <w:tcW w:w="849" w:type="pct"/>
                  <w:tcBorders>
                    <w:tl2br w:val="nil"/>
                    <w:tr2bl w:val="nil"/>
                  </w:tcBorders>
                  <w:shd w:val="clear" w:color="auto" w:fill="auto"/>
                  <w:noWrap/>
                  <w:vAlign w:val="center"/>
                </w:tcPr>
                <w:p w14:paraId="29B7AF66">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0.75 </w:t>
                  </w:r>
                </w:p>
              </w:tc>
            </w:tr>
            <w:tr w14:paraId="1FB4B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0C3B8DC5">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水域景观</w:t>
                  </w:r>
                </w:p>
              </w:tc>
              <w:tc>
                <w:tcPr>
                  <w:tcW w:w="885" w:type="pct"/>
                  <w:tcBorders>
                    <w:tl2br w:val="nil"/>
                    <w:tr2bl w:val="nil"/>
                  </w:tcBorders>
                  <w:shd w:val="clear" w:color="auto" w:fill="auto"/>
                  <w:noWrap/>
                  <w:vAlign w:val="center"/>
                </w:tcPr>
                <w:p w14:paraId="63BA6A1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31</w:t>
                  </w:r>
                </w:p>
              </w:tc>
              <w:tc>
                <w:tcPr>
                  <w:tcW w:w="849" w:type="pct"/>
                  <w:tcBorders>
                    <w:tl2br w:val="nil"/>
                    <w:tr2bl w:val="nil"/>
                  </w:tcBorders>
                  <w:shd w:val="clear" w:color="auto" w:fill="auto"/>
                  <w:noWrap/>
                  <w:vAlign w:val="center"/>
                </w:tcPr>
                <w:p w14:paraId="01852F61">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3.11 </w:t>
                  </w:r>
                </w:p>
              </w:tc>
              <w:tc>
                <w:tcPr>
                  <w:tcW w:w="849" w:type="pct"/>
                  <w:tcBorders>
                    <w:tl2br w:val="nil"/>
                    <w:tr2bl w:val="nil"/>
                  </w:tcBorders>
                  <w:shd w:val="clear" w:color="auto" w:fill="auto"/>
                  <w:noWrap/>
                  <w:vAlign w:val="center"/>
                </w:tcPr>
                <w:p w14:paraId="6D775E19">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6.025 </w:t>
                  </w:r>
                </w:p>
              </w:tc>
              <w:tc>
                <w:tcPr>
                  <w:tcW w:w="849" w:type="pct"/>
                  <w:tcBorders>
                    <w:tl2br w:val="nil"/>
                    <w:tr2bl w:val="nil"/>
                  </w:tcBorders>
                  <w:shd w:val="clear" w:color="auto" w:fill="auto"/>
                  <w:noWrap/>
                  <w:vAlign w:val="center"/>
                </w:tcPr>
                <w:p w14:paraId="1761D853">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0.46 </w:t>
                  </w:r>
                </w:p>
              </w:tc>
            </w:tr>
            <w:tr w14:paraId="24698F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72949530">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裸地景观</w:t>
                  </w:r>
                </w:p>
              </w:tc>
              <w:tc>
                <w:tcPr>
                  <w:tcW w:w="885" w:type="pct"/>
                  <w:tcBorders>
                    <w:tl2br w:val="nil"/>
                    <w:tr2bl w:val="nil"/>
                  </w:tcBorders>
                  <w:shd w:val="clear" w:color="auto" w:fill="auto"/>
                  <w:noWrap/>
                  <w:vAlign w:val="center"/>
                </w:tcPr>
                <w:p w14:paraId="492C3E1C">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14</w:t>
                  </w:r>
                </w:p>
              </w:tc>
              <w:tc>
                <w:tcPr>
                  <w:tcW w:w="849" w:type="pct"/>
                  <w:tcBorders>
                    <w:tl2br w:val="nil"/>
                    <w:tr2bl w:val="nil"/>
                  </w:tcBorders>
                  <w:shd w:val="clear" w:color="auto" w:fill="auto"/>
                  <w:noWrap/>
                  <w:vAlign w:val="center"/>
                </w:tcPr>
                <w:p w14:paraId="415792C3">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1.41 </w:t>
                  </w:r>
                </w:p>
              </w:tc>
              <w:tc>
                <w:tcPr>
                  <w:tcW w:w="849" w:type="pct"/>
                  <w:tcBorders>
                    <w:tl2br w:val="nil"/>
                    <w:tr2bl w:val="nil"/>
                  </w:tcBorders>
                  <w:shd w:val="clear" w:color="auto" w:fill="auto"/>
                  <w:noWrap/>
                  <w:vAlign w:val="center"/>
                </w:tcPr>
                <w:p w14:paraId="57A60D7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7.787 </w:t>
                  </w:r>
                </w:p>
              </w:tc>
              <w:tc>
                <w:tcPr>
                  <w:tcW w:w="849" w:type="pct"/>
                  <w:tcBorders>
                    <w:tl2br w:val="nil"/>
                    <w:tr2bl w:val="nil"/>
                  </w:tcBorders>
                  <w:shd w:val="clear" w:color="auto" w:fill="auto"/>
                  <w:noWrap/>
                  <w:vAlign w:val="center"/>
                </w:tcPr>
                <w:p w14:paraId="185F8B24">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0.59 </w:t>
                  </w:r>
                </w:p>
              </w:tc>
            </w:tr>
            <w:tr w14:paraId="332B8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7" w:type="pct"/>
                  <w:tcBorders>
                    <w:tl2br w:val="nil"/>
                    <w:tr2bl w:val="nil"/>
                  </w:tcBorders>
                  <w:shd w:val="clear" w:color="auto" w:fill="auto"/>
                  <w:vAlign w:val="center"/>
                </w:tcPr>
                <w:p w14:paraId="00BA21D7">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合计</w:t>
                  </w:r>
                </w:p>
              </w:tc>
              <w:tc>
                <w:tcPr>
                  <w:tcW w:w="885" w:type="pct"/>
                  <w:tcBorders>
                    <w:tl2br w:val="nil"/>
                    <w:tr2bl w:val="nil"/>
                  </w:tcBorders>
                  <w:shd w:val="clear" w:color="auto" w:fill="auto"/>
                  <w:noWrap/>
                  <w:vAlign w:val="center"/>
                </w:tcPr>
                <w:p w14:paraId="7FB0F2D8">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996</w:t>
                  </w:r>
                </w:p>
              </w:tc>
              <w:tc>
                <w:tcPr>
                  <w:tcW w:w="849" w:type="pct"/>
                  <w:tcBorders>
                    <w:tl2br w:val="nil"/>
                    <w:tr2bl w:val="nil"/>
                  </w:tcBorders>
                  <w:shd w:val="clear" w:color="auto" w:fill="auto"/>
                  <w:noWrap/>
                  <w:vAlign w:val="center"/>
                </w:tcPr>
                <w:p w14:paraId="42613C16">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100.00 </w:t>
                  </w:r>
                </w:p>
              </w:tc>
              <w:tc>
                <w:tcPr>
                  <w:tcW w:w="849" w:type="pct"/>
                  <w:tcBorders>
                    <w:tl2br w:val="nil"/>
                    <w:tr2bl w:val="nil"/>
                  </w:tcBorders>
                  <w:shd w:val="clear" w:color="auto" w:fill="auto"/>
                  <w:noWrap/>
                  <w:vAlign w:val="center"/>
                </w:tcPr>
                <w:p w14:paraId="274AE180">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1323.172 </w:t>
                  </w:r>
                </w:p>
              </w:tc>
              <w:tc>
                <w:tcPr>
                  <w:tcW w:w="849" w:type="pct"/>
                  <w:tcBorders>
                    <w:tl2br w:val="nil"/>
                    <w:tr2bl w:val="nil"/>
                  </w:tcBorders>
                  <w:shd w:val="clear" w:color="auto" w:fill="auto"/>
                  <w:noWrap/>
                  <w:vAlign w:val="center"/>
                </w:tcPr>
                <w:p w14:paraId="7EB9A63E">
                  <w:pPr>
                    <w:widowControl/>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100.00 </w:t>
                  </w:r>
                </w:p>
              </w:tc>
            </w:tr>
          </w:tbl>
          <w:p w14:paraId="272510A2">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项目评价区总面积为1323.172hm²，其中耕地景观面积占比位居前列，面积469.754hm²，占评价区总面积35.50%；暖温性针叶林景观占比最高，面积483.249hm²，占比36.52%；其次依次为暖性石灰岩灌丛景观、暖温性稀树灌木草丛景观，面积分别为210.959hm²、116.277hm²，占比分别为15.94%、8.79%。人工林、城镇区域、工矿企业、交通、水域、裸地等景观类型分布面积普遍偏小，占比均不足2%。暖温性针叶林、暖性石灰岩灌丛、暖温性稀树灌木草丛三类自然植被景观叠加耕地人工农耕景观，共同构成评价区主要地域背景，为区域景观结构的主导类型，基本决定了评价区整体景观基底属性，对区域景观格局演变起到核心控制作用。</w:t>
            </w:r>
          </w:p>
          <w:p w14:paraId="53FBEA05">
            <w:pPr>
              <w:pStyle w:val="6"/>
              <w:numPr>
                <w:ilvl w:val="2"/>
                <w:numId w:val="0"/>
              </w:numPr>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lang w:val="zh-CN"/>
              </w:rPr>
              <w:t>（</w:t>
            </w:r>
            <w:r>
              <w:rPr>
                <w:rFonts w:ascii="Times New Roman" w:hAnsi="Times New Roman"/>
                <w:color w:val="auto"/>
                <w:szCs w:val="24"/>
              </w:rPr>
              <w:t>1</w:t>
            </w:r>
            <w:r>
              <w:rPr>
                <w:rFonts w:ascii="Times New Roman" w:hAnsi="Times New Roman"/>
                <w:color w:val="auto"/>
                <w:szCs w:val="24"/>
                <w:lang w:val="zh-CN"/>
              </w:rPr>
              <w:t>）</w:t>
            </w:r>
            <w:r>
              <w:rPr>
                <w:rFonts w:ascii="Times New Roman" w:hAnsi="Times New Roman"/>
                <w:color w:val="auto"/>
                <w:szCs w:val="24"/>
              </w:rPr>
              <w:t>景观多样性指数</w:t>
            </w:r>
          </w:p>
          <w:p w14:paraId="024DB37D">
            <w:pPr>
              <w:adjustRightInd w:val="0"/>
              <w:snapToGrid w:val="0"/>
              <w:spacing w:line="440" w:lineRule="exact"/>
              <w:ind w:firstLine="480" w:firstLineChars="200"/>
              <w:rPr>
                <w:rFonts w:ascii="Times New Roman" w:hAnsi="Times New Roman"/>
                <w:color w:val="auto"/>
                <w:sz w:val="24"/>
                <w:szCs w:val="24"/>
                <w:lang w:val="zh-CN"/>
              </w:rPr>
            </w:pPr>
            <w:bookmarkStart w:id="87" w:name="_Toc2334"/>
            <w:bookmarkStart w:id="88" w:name="_Toc153800833"/>
            <w:r>
              <w:rPr>
                <w:rFonts w:ascii="Times New Roman" w:hAnsi="Times New Roman"/>
                <w:color w:val="auto"/>
                <w:sz w:val="24"/>
                <w:szCs w:val="24"/>
                <w:lang w:val="zh-CN"/>
              </w:rPr>
              <w:t>评价区是以农田生态系统、森林生态系统和河流生态系统等共同组成的复合系统，这些不同的景观系统按其内在的规律整合在一起，形成和评价区内统一的景观体系。景观生态系统的稳定性取决于景观生态系统稳定程度和系统干扰程度两大方面。</w:t>
            </w:r>
          </w:p>
          <w:p w14:paraId="79EB6493">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一般而言，稳定性包含抵抗力和恢复力两方面。景观的稳定性可从景观的多样性程度反映出来，单一均质的景观构成不能有效抵御多变干扰因素的作用，同时受干扰后易被彻底损毁。这里，采用景观多样性指数（Landscapediversityindex），来衡量景观体系的复杂程度。包括4种景观多样性指数，即：</w:t>
            </w:r>
          </w:p>
          <w:p w14:paraId="567E5503">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①Shannon-Weaver多样性指数</w:t>
            </w:r>
          </w:p>
          <w:p w14:paraId="47903D5D">
            <w:pPr>
              <w:adjustRightInd w:val="0"/>
              <w:snapToGrid w:val="0"/>
              <w:spacing w:line="360" w:lineRule="auto"/>
              <w:ind w:firstLine="480" w:firstLineChars="200"/>
              <w:jc w:val="center"/>
              <w:rPr>
                <w:rFonts w:ascii="Times New Roman" w:hAnsi="Times New Roman"/>
                <w:color w:val="auto"/>
                <w:sz w:val="24"/>
                <w:szCs w:val="24"/>
              </w:rPr>
            </w:pPr>
            <w:r>
              <w:rPr>
                <w:rFonts w:ascii="Times New Roman" w:hAnsi="Times New Roman"/>
                <w:color w:val="auto"/>
                <w:sz w:val="24"/>
                <w:szCs w:val="24"/>
              </w:rPr>
              <w:drawing>
                <wp:inline distT="0" distB="0" distL="114300" distR="114300">
                  <wp:extent cx="1133475" cy="409575"/>
                  <wp:effectExtent l="0" t="0" r="9525" b="8255"/>
                  <wp:docPr id="9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8"/>
                          <pic:cNvPicPr>
                            <a:picLocks noChangeAspect="1"/>
                          </pic:cNvPicPr>
                        </pic:nvPicPr>
                        <pic:blipFill>
                          <a:blip r:embed="rId35"/>
                          <a:stretch>
                            <a:fillRect/>
                          </a:stretch>
                        </pic:blipFill>
                        <pic:spPr>
                          <a:xfrm>
                            <a:off x="0" y="0"/>
                            <a:ext cx="1133475" cy="409575"/>
                          </a:xfrm>
                          <a:prstGeom prst="rect">
                            <a:avLst/>
                          </a:prstGeom>
                          <a:noFill/>
                          <a:ln>
                            <a:noFill/>
                          </a:ln>
                        </pic:spPr>
                      </pic:pic>
                    </a:graphicData>
                  </a:graphic>
                </wp:inline>
              </w:drawing>
            </w:r>
          </w:p>
          <w:p w14:paraId="038EFA7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式中，</w:t>
            </w:r>
            <w:r>
              <w:rPr>
                <w:rFonts w:ascii="Times New Roman" w:hAnsi="Times New Roman"/>
                <w:i/>
                <w:iCs/>
                <w:color w:val="auto"/>
                <w:sz w:val="24"/>
                <w:szCs w:val="24"/>
              </w:rPr>
              <w:t>P</w:t>
            </w:r>
            <w:r>
              <w:rPr>
                <w:rFonts w:ascii="Times New Roman" w:hAnsi="Times New Roman"/>
                <w:color w:val="auto"/>
                <w:sz w:val="24"/>
                <w:szCs w:val="24"/>
                <w:vertAlign w:val="subscript"/>
              </w:rPr>
              <w:t>k</w:t>
            </w:r>
            <w:r>
              <w:rPr>
                <w:rFonts w:ascii="Times New Roman" w:hAnsi="Times New Roman"/>
                <w:color w:val="auto"/>
                <w:sz w:val="24"/>
                <w:szCs w:val="24"/>
              </w:rPr>
              <w:t>是缀块类型</w:t>
            </w:r>
            <w:r>
              <w:rPr>
                <w:rFonts w:ascii="Times New Roman" w:hAnsi="Times New Roman"/>
                <w:i/>
                <w:iCs/>
                <w:color w:val="auto"/>
                <w:sz w:val="24"/>
                <w:szCs w:val="24"/>
              </w:rPr>
              <w:t>k</w:t>
            </w:r>
            <w:r>
              <w:rPr>
                <w:rFonts w:ascii="Times New Roman" w:hAnsi="Times New Roman"/>
                <w:color w:val="auto"/>
                <w:sz w:val="24"/>
                <w:szCs w:val="24"/>
              </w:rPr>
              <w:t>在景观中出现的概率，</w:t>
            </w:r>
            <w:r>
              <w:rPr>
                <w:rFonts w:ascii="Times New Roman" w:hAnsi="Times New Roman"/>
                <w:i/>
                <w:iCs/>
                <w:color w:val="auto"/>
                <w:sz w:val="24"/>
                <w:szCs w:val="24"/>
              </w:rPr>
              <w:t>n</w:t>
            </w:r>
            <w:r>
              <w:rPr>
                <w:rFonts w:ascii="Times New Roman" w:hAnsi="Times New Roman"/>
                <w:color w:val="auto"/>
                <w:sz w:val="24"/>
                <w:szCs w:val="24"/>
              </w:rPr>
              <w:t>是景观中缀块类型的总数。</w:t>
            </w:r>
          </w:p>
          <w:p w14:paraId="1F2C883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②Simpson多样性指数</w:t>
            </w:r>
          </w:p>
          <w:p w14:paraId="0A729B06">
            <w:pPr>
              <w:adjustRightInd w:val="0"/>
              <w:snapToGrid w:val="0"/>
              <w:spacing w:line="360" w:lineRule="auto"/>
              <w:ind w:firstLine="480" w:firstLineChars="200"/>
              <w:jc w:val="center"/>
              <w:rPr>
                <w:rFonts w:ascii="Times New Roman" w:hAnsi="Times New Roman"/>
                <w:color w:val="auto"/>
                <w:sz w:val="24"/>
                <w:szCs w:val="24"/>
              </w:rPr>
            </w:pPr>
            <w:r>
              <w:rPr>
                <w:rFonts w:ascii="Times New Roman" w:hAnsi="Times New Roman"/>
                <w:color w:val="auto"/>
                <w:sz w:val="24"/>
                <w:szCs w:val="24"/>
              </w:rPr>
              <w:drawing>
                <wp:inline distT="0" distB="0" distL="114300" distR="114300">
                  <wp:extent cx="914400" cy="409575"/>
                  <wp:effectExtent l="0" t="0" r="0" b="8255"/>
                  <wp:docPr id="9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9"/>
                          <pic:cNvPicPr>
                            <a:picLocks noChangeAspect="1"/>
                          </pic:cNvPicPr>
                        </pic:nvPicPr>
                        <pic:blipFill>
                          <a:blip r:embed="rId36"/>
                          <a:stretch>
                            <a:fillRect/>
                          </a:stretch>
                        </pic:blipFill>
                        <pic:spPr>
                          <a:xfrm>
                            <a:off x="0" y="0"/>
                            <a:ext cx="914400" cy="409575"/>
                          </a:xfrm>
                          <a:prstGeom prst="rect">
                            <a:avLst/>
                          </a:prstGeom>
                          <a:noFill/>
                          <a:ln>
                            <a:noFill/>
                          </a:ln>
                        </pic:spPr>
                      </pic:pic>
                    </a:graphicData>
                  </a:graphic>
                </wp:inline>
              </w:drawing>
            </w:r>
          </w:p>
          <w:p w14:paraId="69B1DE0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式中各项定义同前。多样性指数的大小取决于两方面的信息：一是缀块类型的多少（及丰富度），二是各缀块类型在面积上分布的均匀程度。对于给定的n，当各类缀块的面积比例相同时（即</w:t>
            </w:r>
            <w:r>
              <w:rPr>
                <w:rFonts w:ascii="Times New Roman" w:hAnsi="Times New Roman"/>
                <w:i/>
                <w:iCs/>
                <w:color w:val="auto"/>
                <w:sz w:val="24"/>
                <w:szCs w:val="24"/>
              </w:rPr>
              <w:t>P</w:t>
            </w:r>
            <w:r>
              <w:rPr>
                <w:rFonts w:ascii="Times New Roman" w:hAnsi="Times New Roman"/>
                <w:color w:val="auto"/>
                <w:sz w:val="24"/>
                <w:szCs w:val="24"/>
                <w:vertAlign w:val="subscript"/>
              </w:rPr>
              <w:t>k</w:t>
            </w:r>
            <w:r>
              <w:rPr>
                <w:rFonts w:ascii="Times New Roman" w:hAnsi="Times New Roman"/>
                <w:color w:val="auto"/>
                <w:sz w:val="24"/>
                <w:szCs w:val="24"/>
              </w:rPr>
              <w:t>=1/</w:t>
            </w:r>
            <w:r>
              <w:rPr>
                <w:rFonts w:ascii="Times New Roman" w:hAnsi="Times New Roman"/>
                <w:i/>
                <w:iCs/>
                <w:color w:val="auto"/>
                <w:sz w:val="24"/>
                <w:szCs w:val="24"/>
              </w:rPr>
              <w:t>n</w:t>
            </w:r>
            <w:r>
              <w:rPr>
                <w:rFonts w:ascii="Times New Roman" w:hAnsi="Times New Roman"/>
                <w:color w:val="auto"/>
                <w:sz w:val="24"/>
                <w:szCs w:val="24"/>
              </w:rPr>
              <w:t>），</w:t>
            </w:r>
            <w:r>
              <w:rPr>
                <w:rFonts w:ascii="Times New Roman" w:hAnsi="Times New Roman"/>
                <w:i/>
                <w:iCs/>
                <w:color w:val="auto"/>
                <w:sz w:val="24"/>
                <w:szCs w:val="24"/>
              </w:rPr>
              <w:t>H</w:t>
            </w:r>
            <w:r>
              <w:rPr>
                <w:rFonts w:ascii="Times New Roman" w:hAnsi="Times New Roman"/>
                <w:color w:val="auto"/>
                <w:sz w:val="24"/>
                <w:szCs w:val="24"/>
              </w:rPr>
              <w:t>达到最大值（Shannon-Weaver多样性指数：</w:t>
            </w:r>
            <w:r>
              <w:rPr>
                <w:rFonts w:ascii="Times New Roman" w:hAnsi="Times New Roman"/>
                <w:i/>
                <w:iCs/>
                <w:color w:val="auto"/>
                <w:sz w:val="24"/>
                <w:szCs w:val="24"/>
              </w:rPr>
              <w:t>H</w:t>
            </w:r>
            <w:r>
              <w:rPr>
                <w:rFonts w:ascii="Times New Roman" w:hAnsi="Times New Roman"/>
                <w:color w:val="auto"/>
                <w:sz w:val="24"/>
                <w:szCs w:val="24"/>
                <w:vertAlign w:val="subscript"/>
              </w:rPr>
              <w:t>max</w:t>
            </w:r>
            <w:r>
              <w:rPr>
                <w:rFonts w:ascii="Times New Roman" w:hAnsi="Times New Roman"/>
                <w:color w:val="auto"/>
                <w:sz w:val="24"/>
                <w:szCs w:val="24"/>
              </w:rPr>
              <w:t>=ln(</w:t>
            </w:r>
            <w:r>
              <w:rPr>
                <w:rFonts w:ascii="Times New Roman" w:hAnsi="Times New Roman"/>
                <w:i/>
                <w:iCs/>
                <w:color w:val="auto"/>
                <w:sz w:val="24"/>
                <w:szCs w:val="24"/>
              </w:rPr>
              <w:t>n</w:t>
            </w:r>
            <w:r>
              <w:rPr>
                <w:rFonts w:ascii="Times New Roman" w:hAnsi="Times New Roman"/>
                <w:color w:val="auto"/>
                <w:sz w:val="24"/>
                <w:szCs w:val="24"/>
              </w:rPr>
              <w:t>)；Simpson多样性指数：</w:t>
            </w:r>
            <w:r>
              <w:rPr>
                <w:rFonts w:ascii="Times New Roman" w:hAnsi="Times New Roman"/>
                <w:i/>
                <w:iCs/>
                <w:color w:val="auto"/>
                <w:sz w:val="24"/>
                <w:szCs w:val="24"/>
              </w:rPr>
              <w:t>H</w:t>
            </w:r>
            <w:r>
              <w:rPr>
                <w:rFonts w:ascii="Times New Roman" w:hAnsi="Times New Roman"/>
                <w:color w:val="auto"/>
                <w:sz w:val="24"/>
                <w:szCs w:val="24"/>
              </w:rPr>
              <w:t>＇</w:t>
            </w:r>
            <w:r>
              <w:rPr>
                <w:rFonts w:ascii="Times New Roman" w:hAnsi="Times New Roman"/>
                <w:color w:val="auto"/>
                <w:sz w:val="24"/>
                <w:szCs w:val="24"/>
                <w:vertAlign w:val="subscript"/>
              </w:rPr>
              <w:t>max</w:t>
            </w:r>
            <w:r>
              <w:rPr>
                <w:rFonts w:ascii="Times New Roman" w:hAnsi="Times New Roman"/>
                <w:color w:val="auto"/>
                <w:sz w:val="24"/>
                <w:szCs w:val="24"/>
              </w:rPr>
              <w:t>=1－(1/</w:t>
            </w:r>
            <w:r>
              <w:rPr>
                <w:rFonts w:ascii="Times New Roman" w:hAnsi="Times New Roman"/>
                <w:i/>
                <w:iCs/>
                <w:color w:val="auto"/>
                <w:sz w:val="24"/>
                <w:szCs w:val="24"/>
              </w:rPr>
              <w:t>n</w:t>
            </w:r>
            <w:r>
              <w:rPr>
                <w:rFonts w:ascii="Times New Roman" w:hAnsi="Times New Roman"/>
                <w:color w:val="auto"/>
                <w:sz w:val="24"/>
                <w:szCs w:val="24"/>
              </w:rPr>
              <w:t>)）。通常，随着H的增加，景观结构组成的复杂性也趋于增加。</w:t>
            </w:r>
          </w:p>
          <w:p w14:paraId="679F191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③均匀度指数</w:t>
            </w:r>
          </w:p>
          <w:p w14:paraId="5D91844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E=H/Lgn，式中，H为Shannon-Weaver多样性指数，n为景观中缀块类型的总数。</w:t>
            </w:r>
          </w:p>
          <w:p w14:paraId="328D8A1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④景观优势度指数</w:t>
            </w:r>
          </w:p>
          <w:p w14:paraId="7AF76174">
            <w:pPr>
              <w:adjustRightInd w:val="0"/>
              <w:snapToGrid w:val="0"/>
              <w:spacing w:line="360" w:lineRule="auto"/>
              <w:ind w:firstLine="480" w:firstLineChars="200"/>
              <w:jc w:val="center"/>
              <w:textAlignment w:val="baseline"/>
              <w:rPr>
                <w:rFonts w:ascii="Times New Roman" w:hAnsi="Times New Roman"/>
                <w:color w:val="auto"/>
                <w:sz w:val="24"/>
                <w:szCs w:val="24"/>
              </w:rPr>
            </w:pPr>
            <w:r>
              <w:rPr>
                <w:rFonts w:ascii="Times New Roman" w:hAnsi="Times New Roman"/>
                <w:color w:val="auto"/>
                <w:sz w:val="24"/>
                <w:szCs w:val="24"/>
              </w:rPr>
              <w:drawing>
                <wp:inline distT="0" distB="0" distL="114300" distR="114300">
                  <wp:extent cx="2085975" cy="561975"/>
                  <wp:effectExtent l="0" t="0" r="9525" b="9525"/>
                  <wp:docPr id="94" name="图片 20" descr="https://iknow-pic.cdn.bcebos.com/902397dda144ad34b41f323fd0a20cf430ad85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0" descr="https://iknow-pic.cdn.bcebos.com/902397dda144ad34b41f323fd0a20cf430ad85e2"/>
                          <pic:cNvPicPr>
                            <a:picLocks noChangeAspect="1"/>
                          </pic:cNvPicPr>
                        </pic:nvPicPr>
                        <pic:blipFill>
                          <a:blip r:embed="rId37"/>
                          <a:stretch>
                            <a:fillRect/>
                          </a:stretch>
                        </pic:blipFill>
                        <pic:spPr>
                          <a:xfrm>
                            <a:off x="0" y="0"/>
                            <a:ext cx="2085975" cy="561975"/>
                          </a:xfrm>
                          <a:prstGeom prst="rect">
                            <a:avLst/>
                          </a:prstGeom>
                          <a:noFill/>
                          <a:ln>
                            <a:noFill/>
                          </a:ln>
                        </pic:spPr>
                      </pic:pic>
                    </a:graphicData>
                  </a:graphic>
                </wp:inline>
              </w:drawing>
            </w:r>
          </w:p>
          <w:p w14:paraId="7F629BD1">
            <w:pPr>
              <w:ind w:firstLine="482"/>
              <w:jc w:val="center"/>
              <w:rPr>
                <w:rFonts w:ascii="Times New Roman" w:hAnsi="Times New Roman"/>
                <w:b/>
                <w:color w:val="auto"/>
                <w:kern w:val="11"/>
                <w:sz w:val="24"/>
                <w:szCs w:val="20"/>
              </w:rPr>
            </w:pPr>
            <w:r>
              <w:rPr>
                <w:rFonts w:hint="eastAsia" w:ascii="Times New Roman" w:hAnsi="Times New Roman"/>
                <w:b/>
                <w:color w:val="auto"/>
                <w:kern w:val="11"/>
                <w:sz w:val="24"/>
                <w:szCs w:val="20"/>
              </w:rPr>
              <w:t>表3-19  评价区景观多样性现状</w:t>
            </w:r>
          </w:p>
          <w:tbl>
            <w:tblPr>
              <w:tblStyle w:val="27"/>
              <w:tblW w:w="4999" w:type="pct"/>
              <w:tblInd w:w="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1983"/>
              <w:gridCol w:w="1982"/>
              <w:gridCol w:w="2231"/>
              <w:gridCol w:w="2231"/>
            </w:tblGrid>
            <w:tr w14:paraId="17042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40" w:hRule="atLeast"/>
              </w:trPr>
              <w:tc>
                <w:tcPr>
                  <w:tcW w:w="1176" w:type="pct"/>
                  <w:tcBorders>
                    <w:tl2br w:val="nil"/>
                    <w:tr2bl w:val="nil"/>
                  </w:tcBorders>
                  <w:noWrap/>
                  <w:vAlign w:val="center"/>
                </w:tcPr>
                <w:p w14:paraId="0500AAB9">
                  <w:pPr>
                    <w:jc w:val="center"/>
                    <w:rPr>
                      <w:rFonts w:ascii="Times New Roman" w:hAnsi="Times New Roman"/>
                      <w:b/>
                      <w:bCs/>
                      <w:color w:val="auto"/>
                      <w:szCs w:val="21"/>
                    </w:rPr>
                  </w:pPr>
                  <w:r>
                    <w:rPr>
                      <w:rFonts w:ascii="Times New Roman" w:hAnsi="Times New Roman"/>
                      <w:b/>
                      <w:bCs/>
                      <w:color w:val="auto"/>
                      <w:szCs w:val="21"/>
                    </w:rPr>
                    <w:t>香农多样性指数</w:t>
                  </w:r>
                </w:p>
              </w:tc>
              <w:tc>
                <w:tcPr>
                  <w:tcW w:w="1176" w:type="pct"/>
                  <w:tcBorders>
                    <w:tl2br w:val="nil"/>
                    <w:tr2bl w:val="nil"/>
                  </w:tcBorders>
                  <w:noWrap/>
                  <w:vAlign w:val="center"/>
                </w:tcPr>
                <w:p w14:paraId="05A2302F">
                  <w:pPr>
                    <w:jc w:val="center"/>
                    <w:rPr>
                      <w:rFonts w:ascii="Times New Roman" w:hAnsi="Times New Roman"/>
                      <w:b/>
                      <w:bCs/>
                      <w:color w:val="auto"/>
                      <w:szCs w:val="21"/>
                    </w:rPr>
                  </w:pPr>
                  <w:r>
                    <w:rPr>
                      <w:rFonts w:ascii="Times New Roman" w:hAnsi="Times New Roman"/>
                      <w:b/>
                      <w:bCs/>
                      <w:color w:val="auto"/>
                      <w:szCs w:val="21"/>
                    </w:rPr>
                    <w:t>香农均匀度指数</w:t>
                  </w:r>
                </w:p>
              </w:tc>
              <w:tc>
                <w:tcPr>
                  <w:tcW w:w="1323" w:type="pct"/>
                  <w:tcBorders>
                    <w:tl2br w:val="nil"/>
                    <w:tr2bl w:val="nil"/>
                  </w:tcBorders>
                  <w:noWrap/>
                  <w:vAlign w:val="center"/>
                </w:tcPr>
                <w:p w14:paraId="3A1F3EA9">
                  <w:pPr>
                    <w:jc w:val="center"/>
                    <w:rPr>
                      <w:rFonts w:ascii="Times New Roman" w:hAnsi="Times New Roman"/>
                      <w:b/>
                      <w:bCs/>
                      <w:color w:val="auto"/>
                      <w:szCs w:val="21"/>
                    </w:rPr>
                  </w:pPr>
                  <w:r>
                    <w:rPr>
                      <w:rFonts w:ascii="Times New Roman" w:hAnsi="Times New Roman"/>
                      <w:b/>
                      <w:bCs/>
                      <w:color w:val="auto"/>
                      <w:szCs w:val="21"/>
                    </w:rPr>
                    <w:t>辛普森多样性指数</w:t>
                  </w:r>
                </w:p>
              </w:tc>
              <w:tc>
                <w:tcPr>
                  <w:tcW w:w="1323" w:type="pct"/>
                  <w:tcBorders>
                    <w:tl2br w:val="nil"/>
                    <w:tr2bl w:val="nil"/>
                  </w:tcBorders>
                  <w:vAlign w:val="center"/>
                </w:tcPr>
                <w:p w14:paraId="5BB3AD17">
                  <w:pPr>
                    <w:jc w:val="center"/>
                    <w:rPr>
                      <w:rFonts w:ascii="Times New Roman" w:hAnsi="Times New Roman"/>
                      <w:b/>
                      <w:bCs/>
                      <w:color w:val="auto"/>
                      <w:szCs w:val="21"/>
                    </w:rPr>
                  </w:pPr>
                  <w:r>
                    <w:rPr>
                      <w:rFonts w:ascii="Times New Roman" w:hAnsi="Times New Roman"/>
                      <w:b/>
                      <w:bCs/>
                      <w:color w:val="auto"/>
                      <w:szCs w:val="21"/>
                    </w:rPr>
                    <w:t>优势度指数</w:t>
                  </w:r>
                </w:p>
              </w:tc>
            </w:tr>
            <w:tr w14:paraId="2386C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40" w:hRule="atLeast"/>
              </w:trPr>
              <w:tc>
                <w:tcPr>
                  <w:tcW w:w="1977" w:type="dxa"/>
                  <w:tcBorders>
                    <w:tl2br w:val="nil"/>
                    <w:tr2bl w:val="nil"/>
                  </w:tcBorders>
                  <w:noWrap/>
                  <w:vAlign w:val="center"/>
                </w:tcPr>
                <w:p w14:paraId="1475A7F4">
                  <w:pPr>
                    <w:jc w:val="center"/>
                    <w:rPr>
                      <w:rFonts w:ascii="Times New Roman" w:hAnsi="Times New Roman"/>
                      <w:color w:val="auto"/>
                      <w:szCs w:val="21"/>
                    </w:rPr>
                  </w:pPr>
                  <w:r>
                    <w:rPr>
                      <w:rFonts w:ascii="Times New Roman" w:hAnsi="Times New Roman"/>
                      <w:color w:val="auto"/>
                      <w:szCs w:val="21"/>
                    </w:rPr>
                    <w:t>SHDI</w:t>
                  </w:r>
                </w:p>
              </w:tc>
              <w:tc>
                <w:tcPr>
                  <w:tcW w:w="1977" w:type="dxa"/>
                  <w:tcBorders>
                    <w:tl2br w:val="nil"/>
                    <w:tr2bl w:val="nil"/>
                  </w:tcBorders>
                  <w:noWrap/>
                  <w:vAlign w:val="center"/>
                </w:tcPr>
                <w:p w14:paraId="00B8EB26">
                  <w:pPr>
                    <w:jc w:val="center"/>
                    <w:rPr>
                      <w:rFonts w:ascii="Times New Roman" w:hAnsi="Times New Roman"/>
                      <w:color w:val="auto"/>
                      <w:szCs w:val="21"/>
                    </w:rPr>
                  </w:pPr>
                  <w:r>
                    <w:rPr>
                      <w:rFonts w:ascii="Times New Roman" w:hAnsi="Times New Roman"/>
                      <w:color w:val="auto"/>
                      <w:szCs w:val="21"/>
                    </w:rPr>
                    <w:t>SHEI</w:t>
                  </w:r>
                </w:p>
              </w:tc>
              <w:tc>
                <w:tcPr>
                  <w:tcW w:w="2226" w:type="dxa"/>
                  <w:tcBorders>
                    <w:tl2br w:val="nil"/>
                    <w:tr2bl w:val="nil"/>
                  </w:tcBorders>
                  <w:noWrap/>
                  <w:vAlign w:val="center"/>
                </w:tcPr>
                <w:p w14:paraId="5121CA6C">
                  <w:pPr>
                    <w:jc w:val="center"/>
                    <w:rPr>
                      <w:rFonts w:ascii="Times New Roman" w:hAnsi="Times New Roman"/>
                      <w:color w:val="auto"/>
                      <w:szCs w:val="21"/>
                    </w:rPr>
                  </w:pPr>
                  <w:r>
                    <w:rPr>
                      <w:rFonts w:ascii="Times New Roman" w:hAnsi="Times New Roman"/>
                      <w:color w:val="auto"/>
                      <w:szCs w:val="21"/>
                    </w:rPr>
                    <w:t>SIDI</w:t>
                  </w:r>
                </w:p>
              </w:tc>
              <w:tc>
                <w:tcPr>
                  <w:tcW w:w="2226" w:type="dxa"/>
                  <w:tcBorders>
                    <w:tl2br w:val="nil"/>
                    <w:tr2bl w:val="nil"/>
                  </w:tcBorders>
                  <w:vAlign w:val="center"/>
                </w:tcPr>
                <w:p w14:paraId="185F853A">
                  <w:pPr>
                    <w:jc w:val="center"/>
                    <w:rPr>
                      <w:rFonts w:ascii="Times New Roman" w:hAnsi="Times New Roman"/>
                      <w:color w:val="auto"/>
                      <w:szCs w:val="21"/>
                    </w:rPr>
                  </w:pPr>
                  <w:r>
                    <w:rPr>
                      <w:rFonts w:ascii="Times New Roman" w:hAnsi="Times New Roman"/>
                      <w:color w:val="auto"/>
                      <w:szCs w:val="21"/>
                    </w:rPr>
                    <w:t>LSDI</w:t>
                  </w:r>
                </w:p>
              </w:tc>
            </w:tr>
            <w:tr w14:paraId="696AD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40" w:hRule="atLeast"/>
              </w:trPr>
              <w:tc>
                <w:tcPr>
                  <w:tcW w:w="1977" w:type="dxa"/>
                  <w:tcBorders>
                    <w:tl2br w:val="nil"/>
                    <w:tr2bl w:val="nil"/>
                  </w:tcBorders>
                  <w:noWrap/>
                  <w:vAlign w:val="center"/>
                </w:tcPr>
                <w:p w14:paraId="04AFCDDA">
                  <w:pPr>
                    <w:jc w:val="center"/>
                    <w:rPr>
                      <w:rFonts w:ascii="Times New Roman" w:hAnsi="Times New Roman"/>
                      <w:color w:val="auto"/>
                      <w:szCs w:val="21"/>
                    </w:rPr>
                  </w:pPr>
                  <w:r>
                    <w:rPr>
                      <w:rFonts w:ascii="Times New Roman" w:hAnsi="Times New Roman"/>
                      <w:color w:val="auto"/>
                      <w:szCs w:val="21"/>
                    </w:rPr>
                    <w:t>1.402</w:t>
                  </w:r>
                </w:p>
              </w:tc>
              <w:tc>
                <w:tcPr>
                  <w:tcW w:w="1977" w:type="dxa"/>
                  <w:tcBorders>
                    <w:tl2br w:val="nil"/>
                    <w:tr2bl w:val="nil"/>
                  </w:tcBorders>
                  <w:noWrap/>
                  <w:vAlign w:val="center"/>
                </w:tcPr>
                <w:p w14:paraId="6778CB02">
                  <w:pPr>
                    <w:jc w:val="center"/>
                    <w:rPr>
                      <w:rFonts w:ascii="Times New Roman" w:hAnsi="Times New Roman"/>
                      <w:color w:val="auto"/>
                      <w:szCs w:val="21"/>
                    </w:rPr>
                  </w:pPr>
                  <w:r>
                    <w:rPr>
                      <w:rFonts w:ascii="Times New Roman" w:hAnsi="Times New Roman"/>
                      <w:color w:val="auto"/>
                      <w:szCs w:val="21"/>
                    </w:rPr>
                    <w:t>0.60</w:t>
                  </w:r>
                  <w:r>
                    <w:rPr>
                      <w:rFonts w:hint="eastAsia" w:ascii="Times New Roman" w:hAnsi="Times New Roman"/>
                      <w:color w:val="auto"/>
                      <w:szCs w:val="21"/>
                    </w:rPr>
                    <w:t>90</w:t>
                  </w:r>
                </w:p>
              </w:tc>
              <w:tc>
                <w:tcPr>
                  <w:tcW w:w="2226" w:type="dxa"/>
                  <w:tcBorders>
                    <w:tl2br w:val="nil"/>
                    <w:tr2bl w:val="nil"/>
                  </w:tcBorders>
                  <w:noWrap/>
                  <w:vAlign w:val="center"/>
                </w:tcPr>
                <w:p w14:paraId="2010E904">
                  <w:pPr>
                    <w:jc w:val="center"/>
                    <w:rPr>
                      <w:rFonts w:ascii="Times New Roman" w:hAnsi="Times New Roman"/>
                      <w:color w:val="auto"/>
                      <w:szCs w:val="21"/>
                    </w:rPr>
                  </w:pPr>
                  <w:r>
                    <w:rPr>
                      <w:rFonts w:ascii="Times New Roman" w:hAnsi="Times New Roman"/>
                      <w:color w:val="auto"/>
                      <w:szCs w:val="21"/>
                    </w:rPr>
                    <w:t>0.707</w:t>
                  </w:r>
                </w:p>
              </w:tc>
              <w:tc>
                <w:tcPr>
                  <w:tcW w:w="2226" w:type="dxa"/>
                  <w:tcBorders>
                    <w:tl2br w:val="nil"/>
                    <w:tr2bl w:val="nil"/>
                  </w:tcBorders>
                  <w:vAlign w:val="center"/>
                </w:tcPr>
                <w:p w14:paraId="43C7F766">
                  <w:pPr>
                    <w:jc w:val="center"/>
                    <w:rPr>
                      <w:rFonts w:ascii="Times New Roman" w:hAnsi="Times New Roman"/>
                      <w:color w:val="auto"/>
                      <w:szCs w:val="21"/>
                    </w:rPr>
                  </w:pPr>
                  <w:r>
                    <w:rPr>
                      <w:rFonts w:ascii="Times New Roman" w:hAnsi="Times New Roman"/>
                      <w:color w:val="auto"/>
                      <w:szCs w:val="21"/>
                    </w:rPr>
                    <w:t>0.60</w:t>
                  </w:r>
                  <w:r>
                    <w:rPr>
                      <w:rFonts w:hint="eastAsia" w:ascii="Times New Roman" w:hAnsi="Times New Roman"/>
                      <w:color w:val="auto"/>
                      <w:szCs w:val="21"/>
                    </w:rPr>
                    <w:t>89</w:t>
                  </w:r>
                </w:p>
              </w:tc>
            </w:tr>
          </w:tbl>
          <w:p w14:paraId="441468C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从两个多样性指数及均匀度指数来看，评价区景观多样性与异质性相对较高。这一特征源于评价区内植被类型较为丰富，形成了多样的景观生态体系，表明评价区景观生态系统具备一定的稳定性与抗干扰能力。</w:t>
            </w:r>
          </w:p>
          <w:bookmarkEnd w:id="87"/>
          <w:bookmarkEnd w:id="88"/>
          <w:p w14:paraId="5E03C40D">
            <w:pPr>
              <w:pStyle w:val="6"/>
              <w:numPr>
                <w:ilvl w:val="2"/>
                <w:numId w:val="0"/>
              </w:numPr>
              <w:adjustRightInd w:val="0"/>
              <w:snapToGrid w:val="0"/>
              <w:spacing w:line="440" w:lineRule="exact"/>
              <w:ind w:firstLine="482" w:firstLineChars="200"/>
              <w:rPr>
                <w:rFonts w:ascii="Times New Roman" w:hAnsi="Times New Roman"/>
                <w:color w:val="auto"/>
                <w:szCs w:val="24"/>
              </w:rPr>
            </w:pPr>
            <w:r>
              <w:rPr>
                <w:rFonts w:ascii="Times New Roman" w:hAnsi="Times New Roman"/>
                <w:color w:val="auto"/>
                <w:szCs w:val="24"/>
              </w:rPr>
              <w:t>（2）景观空间特征</w:t>
            </w:r>
          </w:p>
          <w:p w14:paraId="5184FDF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总体来看，评价区景观蔓延度指数（CONTAG）为50.5284，聚集度指数（AI）73.3895、连通度指数（COHESION）91.7644，聚集度与连通度均处于较高数值区间，说明区域各类景观斑块集聚排布态势明显，景观组分空间衔接顺畅；区域分割度（DIVISION）0.976，SPLIT破碎度指数41.6445，整体破碎化程度偏低。综合各项景观格局指数结果可知：评价区景观斑块集聚分布特征突出，景观空间割裂程度微弱、碎片化水平较低，整体景观连通性条件优良。</w:t>
            </w:r>
          </w:p>
          <w:p w14:paraId="760ECA82">
            <w:pPr>
              <w:ind w:firstLine="482"/>
              <w:jc w:val="center"/>
              <w:rPr>
                <w:rFonts w:ascii="Times New Roman" w:hAnsi="Times New Roman"/>
                <w:b/>
                <w:color w:val="auto"/>
                <w:kern w:val="11"/>
                <w:sz w:val="24"/>
                <w:szCs w:val="20"/>
              </w:rPr>
            </w:pPr>
            <w:r>
              <w:rPr>
                <w:rFonts w:hint="eastAsia" w:ascii="Times New Roman" w:hAnsi="Times New Roman"/>
                <w:b/>
                <w:color w:val="auto"/>
                <w:kern w:val="11"/>
                <w:sz w:val="24"/>
                <w:szCs w:val="20"/>
              </w:rPr>
              <w:t>表3-20  评价区景观空间格局指数</w:t>
            </w:r>
          </w:p>
          <w:tbl>
            <w:tblPr>
              <w:tblStyle w:val="2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571"/>
              <w:gridCol w:w="1762"/>
              <w:gridCol w:w="1762"/>
              <w:gridCol w:w="1762"/>
            </w:tblGrid>
            <w:tr w14:paraId="3722B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2" w:type="pct"/>
                  <w:tcBorders>
                    <w:tl2br w:val="nil"/>
                    <w:tr2bl w:val="nil"/>
                  </w:tcBorders>
                  <w:noWrap/>
                  <w:vAlign w:val="center"/>
                </w:tcPr>
                <w:p w14:paraId="307BD3C4">
                  <w:pPr>
                    <w:jc w:val="center"/>
                    <w:rPr>
                      <w:rFonts w:ascii="Times New Roman" w:hAnsi="Times New Roman"/>
                      <w:b/>
                      <w:bCs/>
                      <w:color w:val="auto"/>
                      <w:szCs w:val="21"/>
                    </w:rPr>
                  </w:pPr>
                  <w:r>
                    <w:rPr>
                      <w:rFonts w:hint="eastAsia" w:ascii="Times New Roman" w:hAnsi="Times New Roman"/>
                      <w:b/>
                      <w:bCs/>
                      <w:color w:val="auto"/>
                      <w:szCs w:val="21"/>
                    </w:rPr>
                    <w:t>蔓延度</w:t>
                  </w:r>
                </w:p>
              </w:tc>
              <w:tc>
                <w:tcPr>
                  <w:tcW w:w="932" w:type="pct"/>
                  <w:tcBorders>
                    <w:tl2br w:val="nil"/>
                    <w:tr2bl w:val="nil"/>
                  </w:tcBorders>
                  <w:noWrap/>
                  <w:vAlign w:val="center"/>
                </w:tcPr>
                <w:p w14:paraId="1977C778">
                  <w:pPr>
                    <w:jc w:val="center"/>
                    <w:rPr>
                      <w:rFonts w:ascii="Times New Roman" w:hAnsi="Times New Roman"/>
                      <w:b/>
                      <w:bCs/>
                      <w:color w:val="auto"/>
                      <w:szCs w:val="21"/>
                    </w:rPr>
                  </w:pPr>
                  <w:r>
                    <w:rPr>
                      <w:rFonts w:hint="eastAsia" w:ascii="Times New Roman" w:hAnsi="Times New Roman"/>
                      <w:b/>
                      <w:bCs/>
                      <w:color w:val="auto"/>
                      <w:szCs w:val="21"/>
                    </w:rPr>
                    <w:t>聚集度</w:t>
                  </w:r>
                </w:p>
              </w:tc>
              <w:tc>
                <w:tcPr>
                  <w:tcW w:w="1045" w:type="pct"/>
                  <w:tcBorders>
                    <w:tl2br w:val="nil"/>
                    <w:tr2bl w:val="nil"/>
                  </w:tcBorders>
                  <w:noWrap/>
                  <w:vAlign w:val="center"/>
                </w:tcPr>
                <w:p w14:paraId="232C0217">
                  <w:pPr>
                    <w:jc w:val="center"/>
                    <w:rPr>
                      <w:rFonts w:ascii="Times New Roman" w:hAnsi="Times New Roman"/>
                      <w:b/>
                      <w:bCs/>
                      <w:color w:val="auto"/>
                      <w:szCs w:val="21"/>
                    </w:rPr>
                  </w:pPr>
                  <w:r>
                    <w:rPr>
                      <w:rFonts w:hint="eastAsia" w:ascii="Times New Roman" w:hAnsi="Times New Roman"/>
                      <w:b/>
                      <w:bCs/>
                      <w:color w:val="auto"/>
                      <w:szCs w:val="21"/>
                    </w:rPr>
                    <w:t>连通度</w:t>
                  </w:r>
                </w:p>
              </w:tc>
              <w:tc>
                <w:tcPr>
                  <w:tcW w:w="1045" w:type="pct"/>
                  <w:tcBorders>
                    <w:tl2br w:val="nil"/>
                    <w:tr2bl w:val="nil"/>
                  </w:tcBorders>
                  <w:vAlign w:val="center"/>
                </w:tcPr>
                <w:p w14:paraId="6A58E85F">
                  <w:pPr>
                    <w:jc w:val="center"/>
                    <w:rPr>
                      <w:rFonts w:ascii="Times New Roman" w:hAnsi="Times New Roman"/>
                      <w:b/>
                      <w:bCs/>
                      <w:color w:val="auto"/>
                      <w:szCs w:val="21"/>
                    </w:rPr>
                  </w:pPr>
                  <w:r>
                    <w:rPr>
                      <w:rFonts w:hint="eastAsia" w:ascii="Times New Roman" w:hAnsi="Times New Roman"/>
                      <w:b/>
                      <w:bCs/>
                      <w:color w:val="auto"/>
                      <w:szCs w:val="21"/>
                    </w:rPr>
                    <w:t>分割度</w:t>
                  </w:r>
                </w:p>
              </w:tc>
              <w:tc>
                <w:tcPr>
                  <w:tcW w:w="1045" w:type="pct"/>
                  <w:tcBorders>
                    <w:tl2br w:val="nil"/>
                    <w:tr2bl w:val="nil"/>
                  </w:tcBorders>
                  <w:vAlign w:val="center"/>
                </w:tcPr>
                <w:p w14:paraId="6FD7714E">
                  <w:pPr>
                    <w:jc w:val="center"/>
                    <w:rPr>
                      <w:rFonts w:ascii="Times New Roman" w:hAnsi="Times New Roman"/>
                      <w:b/>
                      <w:bCs/>
                      <w:color w:val="auto"/>
                      <w:szCs w:val="21"/>
                    </w:rPr>
                  </w:pPr>
                  <w:r>
                    <w:rPr>
                      <w:rFonts w:hint="eastAsia" w:ascii="Times New Roman" w:hAnsi="Times New Roman"/>
                      <w:b/>
                      <w:bCs/>
                      <w:color w:val="auto"/>
                      <w:szCs w:val="21"/>
                    </w:rPr>
                    <w:t>破碎度</w:t>
                  </w:r>
                </w:p>
              </w:tc>
            </w:tr>
            <w:tr w14:paraId="0A9CD9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2" w:type="pct"/>
                  <w:tcBorders>
                    <w:tl2br w:val="nil"/>
                    <w:tr2bl w:val="nil"/>
                  </w:tcBorders>
                  <w:noWrap/>
                  <w:vAlign w:val="center"/>
                </w:tcPr>
                <w:p w14:paraId="4952B9F3">
                  <w:pPr>
                    <w:jc w:val="center"/>
                    <w:rPr>
                      <w:rFonts w:ascii="Times New Roman" w:hAnsi="Times New Roman"/>
                      <w:color w:val="auto"/>
                      <w:szCs w:val="21"/>
                    </w:rPr>
                  </w:pPr>
                  <w:r>
                    <w:rPr>
                      <w:rFonts w:hint="eastAsia" w:ascii="Times New Roman" w:hAnsi="Times New Roman"/>
                      <w:color w:val="auto"/>
                      <w:szCs w:val="21"/>
                    </w:rPr>
                    <w:t>CONTAG</w:t>
                  </w:r>
                </w:p>
              </w:tc>
              <w:tc>
                <w:tcPr>
                  <w:tcW w:w="932" w:type="pct"/>
                  <w:tcBorders>
                    <w:tl2br w:val="nil"/>
                    <w:tr2bl w:val="nil"/>
                  </w:tcBorders>
                  <w:noWrap/>
                  <w:vAlign w:val="center"/>
                </w:tcPr>
                <w:p w14:paraId="05B48688">
                  <w:pPr>
                    <w:jc w:val="center"/>
                    <w:rPr>
                      <w:rFonts w:ascii="Times New Roman" w:hAnsi="Times New Roman"/>
                      <w:color w:val="auto"/>
                      <w:szCs w:val="21"/>
                    </w:rPr>
                  </w:pPr>
                  <w:r>
                    <w:rPr>
                      <w:rFonts w:hint="eastAsia" w:ascii="Times New Roman" w:hAnsi="Times New Roman"/>
                      <w:color w:val="auto"/>
                      <w:szCs w:val="21"/>
                    </w:rPr>
                    <w:t>AI</w:t>
                  </w:r>
                </w:p>
              </w:tc>
              <w:tc>
                <w:tcPr>
                  <w:tcW w:w="1045" w:type="pct"/>
                  <w:tcBorders>
                    <w:tl2br w:val="nil"/>
                    <w:tr2bl w:val="nil"/>
                  </w:tcBorders>
                  <w:noWrap/>
                  <w:vAlign w:val="center"/>
                </w:tcPr>
                <w:p w14:paraId="7999CE6B">
                  <w:pPr>
                    <w:jc w:val="center"/>
                    <w:rPr>
                      <w:rFonts w:ascii="Times New Roman" w:hAnsi="Times New Roman"/>
                      <w:color w:val="auto"/>
                      <w:szCs w:val="21"/>
                    </w:rPr>
                  </w:pPr>
                  <w:r>
                    <w:rPr>
                      <w:rFonts w:hint="eastAsia" w:ascii="Times New Roman" w:hAnsi="Times New Roman"/>
                      <w:color w:val="auto"/>
                      <w:szCs w:val="21"/>
                    </w:rPr>
                    <w:t>COHESION</w:t>
                  </w:r>
                </w:p>
              </w:tc>
              <w:tc>
                <w:tcPr>
                  <w:tcW w:w="1045" w:type="pct"/>
                  <w:tcBorders>
                    <w:tl2br w:val="nil"/>
                    <w:tr2bl w:val="nil"/>
                  </w:tcBorders>
                  <w:vAlign w:val="center"/>
                </w:tcPr>
                <w:p w14:paraId="1C90D5DC">
                  <w:pPr>
                    <w:jc w:val="center"/>
                    <w:rPr>
                      <w:rFonts w:ascii="Times New Roman" w:hAnsi="Times New Roman"/>
                      <w:color w:val="auto"/>
                      <w:szCs w:val="21"/>
                    </w:rPr>
                  </w:pPr>
                  <w:r>
                    <w:rPr>
                      <w:rFonts w:hint="eastAsia" w:ascii="Times New Roman" w:hAnsi="Times New Roman"/>
                      <w:color w:val="auto"/>
                      <w:szCs w:val="21"/>
                    </w:rPr>
                    <w:t>DIVISION</w:t>
                  </w:r>
                </w:p>
              </w:tc>
              <w:tc>
                <w:tcPr>
                  <w:tcW w:w="1045" w:type="pct"/>
                  <w:tcBorders>
                    <w:tl2br w:val="nil"/>
                    <w:tr2bl w:val="nil"/>
                  </w:tcBorders>
                  <w:vAlign w:val="center"/>
                </w:tcPr>
                <w:p w14:paraId="7B691D7A">
                  <w:pPr>
                    <w:jc w:val="center"/>
                    <w:rPr>
                      <w:rFonts w:ascii="Times New Roman" w:hAnsi="Times New Roman"/>
                      <w:color w:val="auto"/>
                      <w:szCs w:val="21"/>
                    </w:rPr>
                  </w:pPr>
                  <w:r>
                    <w:rPr>
                      <w:rFonts w:hint="eastAsia" w:ascii="Times New Roman" w:hAnsi="Times New Roman"/>
                      <w:color w:val="auto"/>
                      <w:szCs w:val="21"/>
                    </w:rPr>
                    <w:t>SPLIT</w:t>
                  </w:r>
                </w:p>
              </w:tc>
            </w:tr>
            <w:tr w14:paraId="582434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0" w:type="dxa"/>
                  <w:tcBorders>
                    <w:tl2br w:val="nil"/>
                    <w:tr2bl w:val="nil"/>
                  </w:tcBorders>
                  <w:noWrap/>
                  <w:vAlign w:val="center"/>
                </w:tcPr>
                <w:p w14:paraId="3E46E62E">
                  <w:pPr>
                    <w:jc w:val="center"/>
                    <w:rPr>
                      <w:rFonts w:ascii="Times New Roman" w:hAnsi="Times New Roman"/>
                      <w:color w:val="auto"/>
                      <w:szCs w:val="21"/>
                    </w:rPr>
                  </w:pPr>
                  <w:r>
                    <w:rPr>
                      <w:rFonts w:ascii="Times New Roman" w:hAnsi="Times New Roman"/>
                      <w:color w:val="auto"/>
                      <w:szCs w:val="21"/>
                    </w:rPr>
                    <w:t>50.5284</w:t>
                  </w:r>
                </w:p>
              </w:tc>
              <w:tc>
                <w:tcPr>
                  <w:tcW w:w="1589" w:type="dxa"/>
                  <w:tcBorders>
                    <w:tl2br w:val="nil"/>
                    <w:tr2bl w:val="nil"/>
                  </w:tcBorders>
                  <w:noWrap/>
                  <w:vAlign w:val="center"/>
                </w:tcPr>
                <w:p w14:paraId="40F95791">
                  <w:pPr>
                    <w:jc w:val="center"/>
                    <w:rPr>
                      <w:rFonts w:ascii="Times New Roman" w:hAnsi="Times New Roman"/>
                      <w:color w:val="auto"/>
                      <w:szCs w:val="21"/>
                    </w:rPr>
                  </w:pPr>
                  <w:r>
                    <w:rPr>
                      <w:rFonts w:ascii="Times New Roman" w:hAnsi="Times New Roman"/>
                      <w:color w:val="auto"/>
                      <w:szCs w:val="21"/>
                    </w:rPr>
                    <w:t>73.3895</w:t>
                  </w:r>
                </w:p>
              </w:tc>
              <w:tc>
                <w:tcPr>
                  <w:tcW w:w="1781" w:type="dxa"/>
                  <w:tcBorders>
                    <w:tl2br w:val="nil"/>
                    <w:tr2bl w:val="nil"/>
                  </w:tcBorders>
                  <w:noWrap/>
                  <w:vAlign w:val="center"/>
                </w:tcPr>
                <w:p w14:paraId="38A11BE2">
                  <w:pPr>
                    <w:jc w:val="center"/>
                    <w:rPr>
                      <w:rFonts w:ascii="Times New Roman" w:hAnsi="Times New Roman"/>
                      <w:color w:val="auto"/>
                      <w:szCs w:val="21"/>
                    </w:rPr>
                  </w:pPr>
                  <w:r>
                    <w:rPr>
                      <w:rFonts w:ascii="Times New Roman" w:hAnsi="Times New Roman"/>
                      <w:color w:val="auto"/>
                      <w:szCs w:val="21"/>
                    </w:rPr>
                    <w:t>91.7644</w:t>
                  </w:r>
                </w:p>
              </w:tc>
              <w:tc>
                <w:tcPr>
                  <w:tcW w:w="1781" w:type="dxa"/>
                  <w:tcBorders>
                    <w:tl2br w:val="nil"/>
                    <w:tr2bl w:val="nil"/>
                  </w:tcBorders>
                  <w:vAlign w:val="center"/>
                </w:tcPr>
                <w:p w14:paraId="17B78E83">
                  <w:pPr>
                    <w:jc w:val="center"/>
                    <w:rPr>
                      <w:rFonts w:ascii="Times New Roman" w:hAnsi="Times New Roman"/>
                      <w:color w:val="auto"/>
                      <w:szCs w:val="21"/>
                    </w:rPr>
                  </w:pPr>
                  <w:r>
                    <w:rPr>
                      <w:rFonts w:ascii="Times New Roman" w:hAnsi="Times New Roman"/>
                      <w:color w:val="auto"/>
                      <w:szCs w:val="21"/>
                    </w:rPr>
                    <w:t>0.976</w:t>
                  </w:r>
                </w:p>
              </w:tc>
              <w:tc>
                <w:tcPr>
                  <w:tcW w:w="1781" w:type="dxa"/>
                  <w:tcBorders>
                    <w:tl2br w:val="nil"/>
                    <w:tr2bl w:val="nil"/>
                  </w:tcBorders>
                  <w:vAlign w:val="center"/>
                </w:tcPr>
                <w:p w14:paraId="77E2F028">
                  <w:pPr>
                    <w:jc w:val="center"/>
                    <w:rPr>
                      <w:rFonts w:ascii="Times New Roman" w:hAnsi="Times New Roman"/>
                      <w:color w:val="auto"/>
                      <w:szCs w:val="21"/>
                    </w:rPr>
                  </w:pPr>
                  <w:r>
                    <w:rPr>
                      <w:rFonts w:ascii="Times New Roman" w:hAnsi="Times New Roman"/>
                      <w:color w:val="auto"/>
                      <w:szCs w:val="21"/>
                    </w:rPr>
                    <w:t>41.6445</w:t>
                  </w:r>
                </w:p>
              </w:tc>
            </w:tr>
          </w:tbl>
          <w:p w14:paraId="7FEDCAEF">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3.2.5.2</w:t>
            </w:r>
            <w:r>
              <w:rPr>
                <w:rFonts w:ascii="Times New Roman" w:hAnsi="Times New Roman"/>
                <w:b/>
                <w:bCs/>
                <w:color w:val="auto"/>
                <w:sz w:val="24"/>
                <w:szCs w:val="24"/>
              </w:rPr>
              <w:t>生态系统现状</w:t>
            </w:r>
            <w:r>
              <w:rPr>
                <w:rFonts w:hint="eastAsia" w:ascii="Times New Roman" w:hAnsi="Times New Roman"/>
                <w:b/>
                <w:bCs/>
                <w:color w:val="auto"/>
                <w:sz w:val="24"/>
                <w:szCs w:val="24"/>
                <w:lang w:val="en"/>
              </w:rPr>
              <w:t>及其特征</w:t>
            </w:r>
          </w:p>
          <w:p w14:paraId="608F2876">
            <w:pPr>
              <w:keepNext/>
              <w:keepLines/>
              <w:widowControl/>
              <w:numPr>
                <w:ilvl w:val="3"/>
                <w:numId w:val="0"/>
              </w:numPr>
              <w:adjustRightInd w:val="0"/>
              <w:snapToGrid w:val="0"/>
              <w:spacing w:line="440" w:lineRule="exact"/>
              <w:ind w:firstLine="482" w:firstLineChars="200"/>
              <w:outlineLvl w:val="3"/>
              <w:rPr>
                <w:rFonts w:ascii="Times New Roman" w:hAnsi="Times New Roman"/>
                <w:b/>
                <w:bCs/>
                <w:color w:val="auto"/>
                <w:sz w:val="24"/>
                <w:szCs w:val="24"/>
              </w:rPr>
            </w:pPr>
            <w:r>
              <w:rPr>
                <w:rFonts w:hint="eastAsia" w:ascii="Times New Roman" w:hAnsi="Times New Roman"/>
                <w:b/>
                <w:bCs/>
                <w:color w:val="auto"/>
                <w:sz w:val="24"/>
                <w:szCs w:val="24"/>
              </w:rPr>
              <w:t>（1）</w:t>
            </w:r>
            <w:r>
              <w:rPr>
                <w:rFonts w:ascii="Times New Roman" w:hAnsi="Times New Roman"/>
                <w:b/>
                <w:bCs/>
                <w:color w:val="auto"/>
                <w:sz w:val="24"/>
                <w:szCs w:val="24"/>
              </w:rPr>
              <w:t>生态系统结构</w:t>
            </w:r>
          </w:p>
          <w:p w14:paraId="6F10179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按照《全国生态状况调查评估技术规范-生态系统遥感解译与野外核查》（HJ1166-2021），</w:t>
            </w:r>
            <w:r>
              <w:rPr>
                <w:rFonts w:ascii="Times New Roman" w:hAnsi="Times New Roman"/>
                <w:color w:val="auto"/>
                <w:sz w:val="24"/>
                <w:szCs w:val="24"/>
                <w:lang w:val="zh-TW" w:eastAsia="zh-TW"/>
              </w:rPr>
              <w:t>根据其系统类型的特征和稳定性，组成评价区的主要生态系统类型可分为</w:t>
            </w:r>
            <w:r>
              <w:rPr>
                <w:rFonts w:ascii="Times New Roman" w:hAnsi="Times New Roman"/>
                <w:color w:val="auto"/>
                <w:sz w:val="24"/>
                <w:szCs w:val="24"/>
              </w:rPr>
              <w:t>7</w:t>
            </w:r>
            <w:r>
              <w:rPr>
                <w:rFonts w:ascii="Times New Roman" w:hAnsi="Times New Roman"/>
                <w:color w:val="auto"/>
                <w:sz w:val="24"/>
                <w:szCs w:val="24"/>
                <w:lang w:val="zh-TW" w:eastAsia="zh-TW"/>
              </w:rPr>
              <w:t>个</w:t>
            </w:r>
            <w:r>
              <w:rPr>
                <w:rFonts w:ascii="Times New Roman" w:hAnsi="Times New Roman"/>
                <w:color w:val="auto"/>
                <w:sz w:val="24"/>
                <w:szCs w:val="24"/>
              </w:rPr>
              <w:t>一级分类，分别为森林生态系统</w:t>
            </w:r>
            <w:r>
              <w:rPr>
                <w:rFonts w:ascii="Times New Roman" w:hAnsi="Times New Roman"/>
                <w:color w:val="auto"/>
                <w:sz w:val="24"/>
                <w:szCs w:val="24"/>
                <w:lang w:val="zh-TW" w:eastAsia="zh-TW"/>
              </w:rPr>
              <w:t>、</w:t>
            </w:r>
            <w:r>
              <w:rPr>
                <w:rFonts w:ascii="Times New Roman" w:hAnsi="Times New Roman"/>
                <w:color w:val="auto"/>
                <w:sz w:val="24"/>
                <w:szCs w:val="24"/>
              </w:rPr>
              <w:t>灌丛生态系统、草地生态系统、湿地生态系统、农田生态系统和城镇生态系统</w:t>
            </w:r>
            <w:r>
              <w:rPr>
                <w:rFonts w:ascii="Times New Roman" w:hAnsi="Times New Roman"/>
                <w:color w:val="auto"/>
                <w:sz w:val="24"/>
                <w:szCs w:val="24"/>
                <w:lang w:val="zh-TW" w:eastAsia="zh-TW"/>
              </w:rPr>
              <w:t>。</w:t>
            </w:r>
            <w:r>
              <w:rPr>
                <w:rFonts w:ascii="Times New Roman" w:hAnsi="Times New Roman"/>
                <w:color w:val="auto"/>
                <w:sz w:val="24"/>
                <w:szCs w:val="24"/>
              </w:rPr>
              <w:t>各生态系统类型相互交织，按自有规律组合形成整个评价区的统一生态系统。生态系统质量的优劣取决于生态系统要素的性质与特征，以及生态系统的结构和时空格局的特征。在各种生态系统类别中，绿色植被构成了陆地生态系统的主体，是环境质量好坏最明显的指示物。原生性植被往往覆盖度高，群落结构完整，物种组成丰富多样，生物量高，更新潜力大，因此对环境质量的贡献也较大。一般来说，森林比灌丛有更为复杂的群落结构、更高的生物量，同样其生态潜力也较高，对环境质量的影响也更大。农田、城镇及其它人工配置群落，具有结构简单、种类单一、靠人工维持等特点，因此相对于自然植被来说，自身的稳定性与对外界干扰的抵抗力都较弱。</w:t>
            </w:r>
          </w:p>
          <w:p w14:paraId="57663587">
            <w:pPr>
              <w:snapToGrid w:val="0"/>
              <w:jc w:val="center"/>
              <w:rPr>
                <w:rFonts w:ascii="Times New Roman" w:hAnsi="Times New Roman"/>
                <w:b/>
                <w:bCs/>
                <w:color w:val="auto"/>
                <w:sz w:val="24"/>
                <w:szCs w:val="24"/>
              </w:rPr>
            </w:pPr>
            <w:r>
              <w:rPr>
                <w:rFonts w:ascii="Times New Roman" w:hAnsi="Times New Roman"/>
                <w:b/>
                <w:bCs/>
                <w:color w:val="auto"/>
                <w:sz w:val="24"/>
                <w:szCs w:val="24"/>
              </w:rPr>
              <w:t>表</w:t>
            </w:r>
            <w:r>
              <w:rPr>
                <w:rFonts w:hint="eastAsia" w:ascii="Times New Roman" w:hAnsi="Times New Roman"/>
                <w:b/>
                <w:bCs/>
                <w:color w:val="auto"/>
                <w:sz w:val="24"/>
                <w:szCs w:val="24"/>
              </w:rPr>
              <w:t>3-21</w:t>
            </w:r>
            <w:r>
              <w:rPr>
                <w:rFonts w:ascii="Times New Roman" w:hAnsi="Times New Roman"/>
                <w:b/>
                <w:bCs/>
                <w:color w:val="auto"/>
                <w:sz w:val="24"/>
                <w:szCs w:val="24"/>
              </w:rPr>
              <w:t xml:space="preserve">  评价区内各类生态系统分布现状</w:t>
            </w:r>
          </w:p>
          <w:tbl>
            <w:tblPr>
              <w:tblStyle w:val="27"/>
              <w:tblW w:w="8326" w:type="dxa"/>
              <w:tblInd w:w="9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1321"/>
              <w:gridCol w:w="955"/>
              <w:gridCol w:w="1250"/>
              <w:gridCol w:w="1492"/>
              <w:gridCol w:w="1734"/>
            </w:tblGrid>
            <w:tr w14:paraId="3B9E7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5" w:type="dxa"/>
                  <w:gridSpan w:val="2"/>
                  <w:tcBorders>
                    <w:tl2br w:val="nil"/>
                    <w:tr2bl w:val="nil"/>
                  </w:tcBorders>
                  <w:shd w:val="clear" w:color="auto" w:fill="auto"/>
                  <w:noWrap/>
                  <w:vAlign w:val="center"/>
                </w:tcPr>
                <w:p w14:paraId="07205A15">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生态系统类型</w:t>
                  </w:r>
                </w:p>
              </w:tc>
              <w:tc>
                <w:tcPr>
                  <w:tcW w:w="955" w:type="dxa"/>
                  <w:tcBorders>
                    <w:tl2br w:val="nil"/>
                    <w:tr2bl w:val="nil"/>
                  </w:tcBorders>
                  <w:shd w:val="clear" w:color="auto" w:fill="auto"/>
                  <w:noWrap/>
                  <w:vAlign w:val="center"/>
                </w:tcPr>
                <w:p w14:paraId="7F2C8987">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缀块数</w:t>
                  </w:r>
                </w:p>
              </w:tc>
              <w:tc>
                <w:tcPr>
                  <w:tcW w:w="1250" w:type="dxa"/>
                  <w:tcBorders>
                    <w:tl2br w:val="nil"/>
                    <w:tr2bl w:val="nil"/>
                  </w:tcBorders>
                  <w:shd w:val="clear" w:color="auto" w:fill="auto"/>
                  <w:noWrap/>
                  <w:vAlign w:val="center"/>
                </w:tcPr>
                <w:p w14:paraId="6AA4FF32">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缀块(%)</w:t>
                  </w:r>
                </w:p>
              </w:tc>
              <w:tc>
                <w:tcPr>
                  <w:tcW w:w="1492" w:type="dxa"/>
                  <w:tcBorders>
                    <w:tl2br w:val="nil"/>
                    <w:tr2bl w:val="nil"/>
                  </w:tcBorders>
                  <w:shd w:val="clear" w:color="auto" w:fill="auto"/>
                  <w:vAlign w:val="center"/>
                </w:tcPr>
                <w:p w14:paraId="56DF0471">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面积（hm</w:t>
                  </w:r>
                  <w:r>
                    <w:rPr>
                      <w:rFonts w:ascii="Times New Roman" w:hAnsi="Times New Roman"/>
                      <w:b/>
                      <w:bCs/>
                      <w:color w:val="auto"/>
                      <w:kern w:val="0"/>
                      <w:szCs w:val="21"/>
                      <w:vertAlign w:val="superscript"/>
                      <w:lang w:bidi="ar"/>
                    </w:rPr>
                    <w:t>2</w:t>
                  </w:r>
                  <w:r>
                    <w:rPr>
                      <w:rFonts w:ascii="Times New Roman" w:hAnsi="Times New Roman"/>
                      <w:b/>
                      <w:bCs/>
                      <w:color w:val="auto"/>
                      <w:kern w:val="0"/>
                      <w:szCs w:val="21"/>
                      <w:lang w:bidi="ar"/>
                    </w:rPr>
                    <w:t>）</w:t>
                  </w:r>
                </w:p>
              </w:tc>
              <w:tc>
                <w:tcPr>
                  <w:tcW w:w="1734" w:type="dxa"/>
                  <w:tcBorders>
                    <w:tl2br w:val="nil"/>
                    <w:tr2bl w:val="nil"/>
                  </w:tcBorders>
                  <w:shd w:val="clear" w:color="auto" w:fill="auto"/>
                  <w:vAlign w:val="center"/>
                </w:tcPr>
                <w:p w14:paraId="44BA56BD">
                  <w:pPr>
                    <w:widowControl/>
                    <w:adjustRightInd w:val="0"/>
                    <w:snapToGrid w:val="0"/>
                    <w:jc w:val="center"/>
                    <w:textAlignment w:val="center"/>
                    <w:rPr>
                      <w:rFonts w:ascii="Times New Roman" w:hAnsi="Times New Roman"/>
                      <w:b/>
                      <w:bCs/>
                      <w:color w:val="auto"/>
                      <w:kern w:val="0"/>
                      <w:szCs w:val="21"/>
                      <w:lang w:bidi="ar"/>
                    </w:rPr>
                  </w:pPr>
                  <w:r>
                    <w:rPr>
                      <w:rFonts w:ascii="Times New Roman" w:hAnsi="Times New Roman"/>
                      <w:b/>
                      <w:bCs/>
                      <w:color w:val="auto"/>
                      <w:kern w:val="0"/>
                      <w:szCs w:val="21"/>
                      <w:lang w:bidi="ar"/>
                    </w:rPr>
                    <w:t>占评价区总面积（%）</w:t>
                  </w:r>
                </w:p>
              </w:tc>
            </w:tr>
            <w:tr w14:paraId="67012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tcBorders>
                    <w:tl2br w:val="nil"/>
                    <w:tr2bl w:val="nil"/>
                  </w:tcBorders>
                  <w:shd w:val="clear" w:color="auto" w:fill="auto"/>
                  <w:noWrap/>
                  <w:vAlign w:val="center"/>
                </w:tcPr>
                <w:p w14:paraId="4A03642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森林生态系统</w:t>
                  </w:r>
                </w:p>
              </w:tc>
              <w:tc>
                <w:tcPr>
                  <w:tcW w:w="1321" w:type="dxa"/>
                  <w:tcBorders>
                    <w:tl2br w:val="nil"/>
                    <w:tr2bl w:val="nil"/>
                  </w:tcBorders>
                  <w:shd w:val="clear" w:color="auto" w:fill="auto"/>
                  <w:vAlign w:val="center"/>
                </w:tcPr>
                <w:p w14:paraId="7F26A20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针叶林</w:t>
                  </w:r>
                </w:p>
              </w:tc>
              <w:tc>
                <w:tcPr>
                  <w:tcW w:w="955" w:type="dxa"/>
                  <w:tcBorders>
                    <w:tl2br w:val="nil"/>
                    <w:tr2bl w:val="nil"/>
                  </w:tcBorders>
                  <w:shd w:val="clear" w:color="auto" w:fill="auto"/>
                  <w:noWrap/>
                  <w:vAlign w:val="center"/>
                </w:tcPr>
                <w:p w14:paraId="0821FF2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156</w:t>
                  </w:r>
                </w:p>
              </w:tc>
              <w:tc>
                <w:tcPr>
                  <w:tcW w:w="1250" w:type="dxa"/>
                  <w:tcBorders>
                    <w:tl2br w:val="nil"/>
                    <w:tr2bl w:val="nil"/>
                  </w:tcBorders>
                  <w:shd w:val="clear" w:color="auto" w:fill="auto"/>
                  <w:noWrap/>
                  <w:vAlign w:val="center"/>
                </w:tcPr>
                <w:p w14:paraId="1B45EEC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15.66 </w:t>
                  </w:r>
                </w:p>
              </w:tc>
              <w:tc>
                <w:tcPr>
                  <w:tcW w:w="1492" w:type="dxa"/>
                  <w:tcBorders>
                    <w:tl2br w:val="nil"/>
                    <w:tr2bl w:val="nil"/>
                  </w:tcBorders>
                  <w:shd w:val="clear" w:color="auto" w:fill="auto"/>
                  <w:noWrap/>
                  <w:vAlign w:val="center"/>
                </w:tcPr>
                <w:p w14:paraId="64E72FC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485.387 </w:t>
                  </w:r>
                </w:p>
              </w:tc>
              <w:tc>
                <w:tcPr>
                  <w:tcW w:w="1734" w:type="dxa"/>
                  <w:tcBorders>
                    <w:tl2br w:val="nil"/>
                    <w:tr2bl w:val="nil"/>
                  </w:tcBorders>
                  <w:shd w:val="clear" w:color="auto" w:fill="auto"/>
                  <w:noWrap/>
                  <w:vAlign w:val="center"/>
                </w:tcPr>
                <w:p w14:paraId="1421929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36.68 </w:t>
                  </w:r>
                </w:p>
              </w:tc>
            </w:tr>
            <w:tr w14:paraId="58C6D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tcBorders>
                    <w:tl2br w:val="nil"/>
                    <w:tr2bl w:val="nil"/>
                  </w:tcBorders>
                  <w:shd w:val="clear" w:color="auto" w:fill="auto"/>
                  <w:vAlign w:val="center"/>
                </w:tcPr>
                <w:p w14:paraId="3138000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灌丛生态系统</w:t>
                  </w:r>
                </w:p>
              </w:tc>
              <w:tc>
                <w:tcPr>
                  <w:tcW w:w="1321" w:type="dxa"/>
                  <w:tcBorders>
                    <w:tl2br w:val="nil"/>
                    <w:tr2bl w:val="nil"/>
                  </w:tcBorders>
                  <w:shd w:val="clear" w:color="auto" w:fill="auto"/>
                  <w:vAlign w:val="center"/>
                </w:tcPr>
                <w:p w14:paraId="4C65A37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阔叶灌丛</w:t>
                  </w:r>
                </w:p>
              </w:tc>
              <w:tc>
                <w:tcPr>
                  <w:tcW w:w="955" w:type="dxa"/>
                  <w:tcBorders>
                    <w:tl2br w:val="nil"/>
                    <w:tr2bl w:val="nil"/>
                  </w:tcBorders>
                  <w:shd w:val="clear" w:color="auto" w:fill="auto"/>
                  <w:noWrap/>
                  <w:vAlign w:val="center"/>
                </w:tcPr>
                <w:p w14:paraId="723D22C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138</w:t>
                  </w:r>
                </w:p>
              </w:tc>
              <w:tc>
                <w:tcPr>
                  <w:tcW w:w="1250" w:type="dxa"/>
                  <w:tcBorders>
                    <w:tl2br w:val="nil"/>
                    <w:tr2bl w:val="nil"/>
                  </w:tcBorders>
                  <w:shd w:val="clear" w:color="auto" w:fill="auto"/>
                  <w:noWrap/>
                  <w:vAlign w:val="center"/>
                </w:tcPr>
                <w:p w14:paraId="2E6B697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13.86 </w:t>
                  </w:r>
                </w:p>
              </w:tc>
              <w:tc>
                <w:tcPr>
                  <w:tcW w:w="1492" w:type="dxa"/>
                  <w:tcBorders>
                    <w:tl2br w:val="nil"/>
                    <w:tr2bl w:val="nil"/>
                  </w:tcBorders>
                  <w:shd w:val="clear" w:color="auto" w:fill="auto"/>
                  <w:noWrap/>
                  <w:vAlign w:val="center"/>
                </w:tcPr>
                <w:p w14:paraId="69B9867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210.959 </w:t>
                  </w:r>
                </w:p>
              </w:tc>
              <w:tc>
                <w:tcPr>
                  <w:tcW w:w="1734" w:type="dxa"/>
                  <w:tcBorders>
                    <w:tl2br w:val="nil"/>
                    <w:tr2bl w:val="nil"/>
                  </w:tcBorders>
                  <w:shd w:val="clear" w:color="auto" w:fill="auto"/>
                  <w:noWrap/>
                  <w:vAlign w:val="center"/>
                </w:tcPr>
                <w:p w14:paraId="0D678E3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15.94 </w:t>
                  </w:r>
                </w:p>
              </w:tc>
            </w:tr>
            <w:tr w14:paraId="20D27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tcBorders>
                    <w:tl2br w:val="nil"/>
                    <w:tr2bl w:val="nil"/>
                  </w:tcBorders>
                  <w:shd w:val="clear" w:color="auto" w:fill="auto"/>
                  <w:vAlign w:val="center"/>
                </w:tcPr>
                <w:p w14:paraId="5E7DDDE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草丛生态系统</w:t>
                  </w:r>
                </w:p>
              </w:tc>
              <w:tc>
                <w:tcPr>
                  <w:tcW w:w="1321" w:type="dxa"/>
                  <w:tcBorders>
                    <w:tl2br w:val="nil"/>
                    <w:tr2bl w:val="nil"/>
                  </w:tcBorders>
                  <w:shd w:val="clear" w:color="auto" w:fill="auto"/>
                  <w:vAlign w:val="center"/>
                </w:tcPr>
                <w:p w14:paraId="1DB61D1E">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草丛</w:t>
                  </w:r>
                </w:p>
              </w:tc>
              <w:tc>
                <w:tcPr>
                  <w:tcW w:w="955" w:type="dxa"/>
                  <w:tcBorders>
                    <w:tl2br w:val="nil"/>
                    <w:tr2bl w:val="nil"/>
                  </w:tcBorders>
                  <w:shd w:val="clear" w:color="auto" w:fill="auto"/>
                  <w:noWrap/>
                  <w:vAlign w:val="center"/>
                </w:tcPr>
                <w:p w14:paraId="6E87BE9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97</w:t>
                  </w:r>
                </w:p>
              </w:tc>
              <w:tc>
                <w:tcPr>
                  <w:tcW w:w="1250" w:type="dxa"/>
                  <w:tcBorders>
                    <w:tl2br w:val="nil"/>
                    <w:tr2bl w:val="nil"/>
                  </w:tcBorders>
                  <w:shd w:val="clear" w:color="auto" w:fill="auto"/>
                  <w:noWrap/>
                  <w:vAlign w:val="center"/>
                </w:tcPr>
                <w:p w14:paraId="68A7BDF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9.74 </w:t>
                  </w:r>
                </w:p>
              </w:tc>
              <w:tc>
                <w:tcPr>
                  <w:tcW w:w="1492" w:type="dxa"/>
                  <w:tcBorders>
                    <w:tl2br w:val="nil"/>
                    <w:tr2bl w:val="nil"/>
                  </w:tcBorders>
                  <w:shd w:val="clear" w:color="auto" w:fill="auto"/>
                  <w:noWrap/>
                  <w:vAlign w:val="center"/>
                </w:tcPr>
                <w:p w14:paraId="063054A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116.277 </w:t>
                  </w:r>
                </w:p>
              </w:tc>
              <w:tc>
                <w:tcPr>
                  <w:tcW w:w="1734" w:type="dxa"/>
                  <w:tcBorders>
                    <w:tl2br w:val="nil"/>
                    <w:tr2bl w:val="nil"/>
                  </w:tcBorders>
                  <w:shd w:val="clear" w:color="auto" w:fill="auto"/>
                  <w:noWrap/>
                  <w:vAlign w:val="center"/>
                </w:tcPr>
                <w:p w14:paraId="072B3D1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8.79 </w:t>
                  </w:r>
                </w:p>
              </w:tc>
            </w:tr>
            <w:tr w14:paraId="561E3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tcBorders>
                    <w:tl2br w:val="nil"/>
                    <w:tr2bl w:val="nil"/>
                  </w:tcBorders>
                  <w:shd w:val="clear" w:color="auto" w:fill="auto"/>
                  <w:vAlign w:val="center"/>
                </w:tcPr>
                <w:p w14:paraId="46587A0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农田生态系统</w:t>
                  </w:r>
                </w:p>
              </w:tc>
              <w:tc>
                <w:tcPr>
                  <w:tcW w:w="1321" w:type="dxa"/>
                  <w:tcBorders>
                    <w:tl2br w:val="nil"/>
                    <w:tr2bl w:val="nil"/>
                  </w:tcBorders>
                  <w:shd w:val="clear" w:color="auto" w:fill="auto"/>
                  <w:vAlign w:val="center"/>
                </w:tcPr>
                <w:p w14:paraId="4B4F72A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耕地</w:t>
                  </w:r>
                </w:p>
              </w:tc>
              <w:tc>
                <w:tcPr>
                  <w:tcW w:w="955" w:type="dxa"/>
                  <w:tcBorders>
                    <w:tl2br w:val="nil"/>
                    <w:tr2bl w:val="nil"/>
                  </w:tcBorders>
                  <w:shd w:val="clear" w:color="auto" w:fill="auto"/>
                  <w:noWrap/>
                  <w:vAlign w:val="center"/>
                </w:tcPr>
                <w:p w14:paraId="41ED7AE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325</w:t>
                  </w:r>
                </w:p>
              </w:tc>
              <w:tc>
                <w:tcPr>
                  <w:tcW w:w="1250" w:type="dxa"/>
                  <w:tcBorders>
                    <w:tl2br w:val="nil"/>
                    <w:tr2bl w:val="nil"/>
                  </w:tcBorders>
                  <w:shd w:val="clear" w:color="auto" w:fill="auto"/>
                  <w:noWrap/>
                  <w:vAlign w:val="center"/>
                </w:tcPr>
                <w:p w14:paraId="4E8FF54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32.63 </w:t>
                  </w:r>
                </w:p>
              </w:tc>
              <w:tc>
                <w:tcPr>
                  <w:tcW w:w="1492" w:type="dxa"/>
                  <w:tcBorders>
                    <w:tl2br w:val="nil"/>
                    <w:tr2bl w:val="nil"/>
                  </w:tcBorders>
                  <w:shd w:val="clear" w:color="auto" w:fill="auto"/>
                  <w:noWrap/>
                  <w:vAlign w:val="center"/>
                </w:tcPr>
                <w:p w14:paraId="03C0D7E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469.754 </w:t>
                  </w:r>
                </w:p>
              </w:tc>
              <w:tc>
                <w:tcPr>
                  <w:tcW w:w="1734" w:type="dxa"/>
                  <w:tcBorders>
                    <w:tl2br w:val="nil"/>
                    <w:tr2bl w:val="nil"/>
                  </w:tcBorders>
                  <w:shd w:val="clear" w:color="auto" w:fill="auto"/>
                  <w:noWrap/>
                  <w:vAlign w:val="center"/>
                </w:tcPr>
                <w:p w14:paraId="18281E4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35.50 </w:t>
                  </w:r>
                </w:p>
              </w:tc>
            </w:tr>
            <w:tr w14:paraId="39E32B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vMerge w:val="restart"/>
                  <w:tcBorders>
                    <w:tl2br w:val="nil"/>
                    <w:tr2bl w:val="nil"/>
                  </w:tcBorders>
                  <w:shd w:val="clear" w:color="auto" w:fill="auto"/>
                  <w:vAlign w:val="center"/>
                </w:tcPr>
                <w:p w14:paraId="6124319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城镇生态系统</w:t>
                  </w:r>
                </w:p>
              </w:tc>
              <w:tc>
                <w:tcPr>
                  <w:tcW w:w="1321" w:type="dxa"/>
                  <w:tcBorders>
                    <w:tl2br w:val="nil"/>
                    <w:tr2bl w:val="nil"/>
                  </w:tcBorders>
                  <w:shd w:val="clear" w:color="auto" w:fill="auto"/>
                  <w:vAlign w:val="center"/>
                </w:tcPr>
                <w:p w14:paraId="449002F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居住地</w:t>
                  </w:r>
                </w:p>
              </w:tc>
              <w:tc>
                <w:tcPr>
                  <w:tcW w:w="955" w:type="dxa"/>
                  <w:tcBorders>
                    <w:tl2br w:val="nil"/>
                    <w:tr2bl w:val="nil"/>
                  </w:tcBorders>
                  <w:shd w:val="clear" w:color="auto" w:fill="auto"/>
                  <w:noWrap/>
                  <w:vAlign w:val="center"/>
                </w:tcPr>
                <w:p w14:paraId="63CDA62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137</w:t>
                  </w:r>
                </w:p>
              </w:tc>
              <w:tc>
                <w:tcPr>
                  <w:tcW w:w="1250" w:type="dxa"/>
                  <w:tcBorders>
                    <w:tl2br w:val="nil"/>
                    <w:tr2bl w:val="nil"/>
                  </w:tcBorders>
                  <w:shd w:val="clear" w:color="auto" w:fill="auto"/>
                  <w:noWrap/>
                  <w:vAlign w:val="center"/>
                </w:tcPr>
                <w:p w14:paraId="636BEE6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13.76 </w:t>
                  </w:r>
                </w:p>
              </w:tc>
              <w:tc>
                <w:tcPr>
                  <w:tcW w:w="1492" w:type="dxa"/>
                  <w:tcBorders>
                    <w:tl2br w:val="nil"/>
                    <w:tr2bl w:val="nil"/>
                  </w:tcBorders>
                  <w:shd w:val="clear" w:color="auto" w:fill="auto"/>
                  <w:noWrap/>
                  <w:vAlign w:val="center"/>
                </w:tcPr>
                <w:p w14:paraId="3EA59CCA">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14.360 </w:t>
                  </w:r>
                </w:p>
              </w:tc>
              <w:tc>
                <w:tcPr>
                  <w:tcW w:w="1734" w:type="dxa"/>
                  <w:tcBorders>
                    <w:tl2br w:val="nil"/>
                    <w:tr2bl w:val="nil"/>
                  </w:tcBorders>
                  <w:shd w:val="clear" w:color="auto" w:fill="auto"/>
                  <w:noWrap/>
                  <w:vAlign w:val="center"/>
                </w:tcPr>
                <w:p w14:paraId="727CD42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1.09 </w:t>
                  </w:r>
                </w:p>
              </w:tc>
            </w:tr>
            <w:tr w14:paraId="16133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vMerge w:val="continue"/>
                  <w:tcBorders>
                    <w:tl2br w:val="nil"/>
                    <w:tr2bl w:val="nil"/>
                  </w:tcBorders>
                  <w:shd w:val="clear" w:color="auto" w:fill="auto"/>
                  <w:vAlign w:val="center"/>
                </w:tcPr>
                <w:p w14:paraId="5B1B6AB1">
                  <w:pPr>
                    <w:widowControl/>
                    <w:adjustRightInd w:val="0"/>
                    <w:snapToGrid w:val="0"/>
                    <w:jc w:val="center"/>
                    <w:textAlignment w:val="center"/>
                    <w:rPr>
                      <w:rFonts w:ascii="Times New Roman" w:hAnsi="Times New Roman"/>
                      <w:color w:val="auto"/>
                      <w:kern w:val="0"/>
                      <w:szCs w:val="21"/>
                      <w:lang w:bidi="ar"/>
                    </w:rPr>
                  </w:pPr>
                </w:p>
              </w:tc>
              <w:tc>
                <w:tcPr>
                  <w:tcW w:w="1321" w:type="dxa"/>
                  <w:tcBorders>
                    <w:tl2br w:val="nil"/>
                    <w:tr2bl w:val="nil"/>
                  </w:tcBorders>
                  <w:shd w:val="clear" w:color="auto" w:fill="auto"/>
                  <w:vAlign w:val="center"/>
                </w:tcPr>
                <w:p w14:paraId="45D8E3B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工矿交通</w:t>
                  </w:r>
                </w:p>
              </w:tc>
              <w:tc>
                <w:tcPr>
                  <w:tcW w:w="955" w:type="dxa"/>
                  <w:tcBorders>
                    <w:tl2br w:val="nil"/>
                    <w:tr2bl w:val="nil"/>
                  </w:tcBorders>
                  <w:shd w:val="clear" w:color="auto" w:fill="auto"/>
                  <w:noWrap/>
                  <w:vAlign w:val="center"/>
                </w:tcPr>
                <w:p w14:paraId="2CA4AE09">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82</w:t>
                  </w:r>
                </w:p>
              </w:tc>
              <w:tc>
                <w:tcPr>
                  <w:tcW w:w="1250" w:type="dxa"/>
                  <w:tcBorders>
                    <w:tl2br w:val="nil"/>
                    <w:tr2bl w:val="nil"/>
                  </w:tcBorders>
                  <w:shd w:val="clear" w:color="auto" w:fill="auto"/>
                  <w:noWrap/>
                  <w:vAlign w:val="center"/>
                </w:tcPr>
                <w:p w14:paraId="44B55ED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8.23 </w:t>
                  </w:r>
                </w:p>
              </w:tc>
              <w:tc>
                <w:tcPr>
                  <w:tcW w:w="1492" w:type="dxa"/>
                  <w:tcBorders>
                    <w:tl2br w:val="nil"/>
                    <w:tr2bl w:val="nil"/>
                  </w:tcBorders>
                  <w:shd w:val="clear" w:color="auto" w:fill="auto"/>
                  <w:noWrap/>
                  <w:vAlign w:val="center"/>
                </w:tcPr>
                <w:p w14:paraId="7D045A8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12.138 </w:t>
                  </w:r>
                </w:p>
              </w:tc>
              <w:tc>
                <w:tcPr>
                  <w:tcW w:w="1734" w:type="dxa"/>
                  <w:tcBorders>
                    <w:tl2br w:val="nil"/>
                    <w:tr2bl w:val="nil"/>
                  </w:tcBorders>
                  <w:shd w:val="clear" w:color="auto" w:fill="auto"/>
                  <w:noWrap/>
                  <w:vAlign w:val="center"/>
                </w:tcPr>
                <w:p w14:paraId="2B1314D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0.92 </w:t>
                  </w:r>
                </w:p>
              </w:tc>
            </w:tr>
            <w:tr w14:paraId="1EAC7A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74" w:type="dxa"/>
                  <w:tcBorders>
                    <w:tl2br w:val="nil"/>
                    <w:tr2bl w:val="nil"/>
                  </w:tcBorders>
                  <w:shd w:val="clear" w:color="auto" w:fill="auto"/>
                  <w:noWrap/>
                  <w:vAlign w:val="center"/>
                </w:tcPr>
                <w:p w14:paraId="7B26210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湿地生态系统</w:t>
                  </w:r>
                </w:p>
              </w:tc>
              <w:tc>
                <w:tcPr>
                  <w:tcW w:w="1321" w:type="dxa"/>
                  <w:tcBorders>
                    <w:tl2br w:val="nil"/>
                    <w:tr2bl w:val="nil"/>
                  </w:tcBorders>
                  <w:shd w:val="clear" w:color="auto" w:fill="auto"/>
                  <w:noWrap/>
                  <w:vAlign w:val="center"/>
                </w:tcPr>
                <w:p w14:paraId="00CD05C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河流</w:t>
                  </w:r>
                </w:p>
              </w:tc>
              <w:tc>
                <w:tcPr>
                  <w:tcW w:w="955" w:type="dxa"/>
                  <w:tcBorders>
                    <w:tl2br w:val="nil"/>
                    <w:tr2bl w:val="nil"/>
                  </w:tcBorders>
                  <w:shd w:val="clear" w:color="auto" w:fill="auto"/>
                  <w:noWrap/>
                  <w:vAlign w:val="center"/>
                </w:tcPr>
                <w:p w14:paraId="546236E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31</w:t>
                  </w:r>
                </w:p>
              </w:tc>
              <w:tc>
                <w:tcPr>
                  <w:tcW w:w="1250" w:type="dxa"/>
                  <w:tcBorders>
                    <w:tl2br w:val="nil"/>
                    <w:tr2bl w:val="nil"/>
                  </w:tcBorders>
                  <w:shd w:val="clear" w:color="auto" w:fill="auto"/>
                  <w:noWrap/>
                  <w:vAlign w:val="center"/>
                </w:tcPr>
                <w:p w14:paraId="56E0C61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3.11 </w:t>
                  </w:r>
                </w:p>
              </w:tc>
              <w:tc>
                <w:tcPr>
                  <w:tcW w:w="1492" w:type="dxa"/>
                  <w:tcBorders>
                    <w:tl2br w:val="nil"/>
                    <w:tr2bl w:val="nil"/>
                  </w:tcBorders>
                  <w:shd w:val="clear" w:color="auto" w:fill="auto"/>
                  <w:noWrap/>
                  <w:vAlign w:val="center"/>
                </w:tcPr>
                <w:p w14:paraId="081CFA17">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6.025 </w:t>
                  </w:r>
                </w:p>
              </w:tc>
              <w:tc>
                <w:tcPr>
                  <w:tcW w:w="1734" w:type="dxa"/>
                  <w:tcBorders>
                    <w:tl2br w:val="nil"/>
                    <w:tr2bl w:val="nil"/>
                  </w:tcBorders>
                  <w:shd w:val="clear" w:color="auto" w:fill="auto"/>
                  <w:noWrap/>
                  <w:vAlign w:val="center"/>
                </w:tcPr>
                <w:p w14:paraId="5AB2F6A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0.46 </w:t>
                  </w:r>
                </w:p>
              </w:tc>
            </w:tr>
            <w:tr w14:paraId="49E4D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5" w:type="dxa"/>
                  <w:gridSpan w:val="2"/>
                  <w:tcBorders>
                    <w:tl2br w:val="nil"/>
                    <w:tr2bl w:val="nil"/>
                  </w:tcBorders>
                  <w:shd w:val="clear" w:color="auto" w:fill="auto"/>
                  <w:vAlign w:val="center"/>
                </w:tcPr>
                <w:p w14:paraId="59D5C5D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其他</w:t>
                  </w:r>
                </w:p>
              </w:tc>
              <w:tc>
                <w:tcPr>
                  <w:tcW w:w="955" w:type="dxa"/>
                  <w:tcBorders>
                    <w:tl2br w:val="nil"/>
                    <w:tr2bl w:val="nil"/>
                  </w:tcBorders>
                  <w:shd w:val="clear" w:color="auto" w:fill="auto"/>
                  <w:noWrap/>
                  <w:vAlign w:val="center"/>
                </w:tcPr>
                <w:p w14:paraId="7914778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30</w:t>
                  </w:r>
                </w:p>
              </w:tc>
              <w:tc>
                <w:tcPr>
                  <w:tcW w:w="1250" w:type="dxa"/>
                  <w:tcBorders>
                    <w:tl2br w:val="nil"/>
                    <w:tr2bl w:val="nil"/>
                  </w:tcBorders>
                  <w:shd w:val="clear" w:color="auto" w:fill="auto"/>
                  <w:noWrap/>
                  <w:vAlign w:val="center"/>
                </w:tcPr>
                <w:p w14:paraId="2139E0B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3.01 </w:t>
                  </w:r>
                </w:p>
              </w:tc>
              <w:tc>
                <w:tcPr>
                  <w:tcW w:w="1492" w:type="dxa"/>
                  <w:tcBorders>
                    <w:tl2br w:val="nil"/>
                    <w:tr2bl w:val="nil"/>
                  </w:tcBorders>
                  <w:shd w:val="clear" w:color="auto" w:fill="auto"/>
                  <w:noWrap/>
                  <w:vAlign w:val="center"/>
                </w:tcPr>
                <w:p w14:paraId="446DA2C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8.272 </w:t>
                  </w:r>
                </w:p>
              </w:tc>
              <w:tc>
                <w:tcPr>
                  <w:tcW w:w="1734" w:type="dxa"/>
                  <w:tcBorders>
                    <w:tl2br w:val="nil"/>
                    <w:tr2bl w:val="nil"/>
                  </w:tcBorders>
                  <w:shd w:val="clear" w:color="auto" w:fill="auto"/>
                  <w:noWrap/>
                  <w:vAlign w:val="center"/>
                </w:tcPr>
                <w:p w14:paraId="3D0A297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0.63 </w:t>
                  </w:r>
                </w:p>
              </w:tc>
            </w:tr>
            <w:tr w14:paraId="5D05D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5" w:type="dxa"/>
                  <w:gridSpan w:val="2"/>
                  <w:tcBorders>
                    <w:tl2br w:val="nil"/>
                    <w:tr2bl w:val="nil"/>
                  </w:tcBorders>
                  <w:shd w:val="clear" w:color="auto" w:fill="auto"/>
                  <w:vAlign w:val="center"/>
                </w:tcPr>
                <w:p w14:paraId="6B3F4CD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合计</w:t>
                  </w:r>
                </w:p>
              </w:tc>
              <w:tc>
                <w:tcPr>
                  <w:tcW w:w="955" w:type="dxa"/>
                  <w:tcBorders>
                    <w:tl2br w:val="nil"/>
                    <w:tr2bl w:val="nil"/>
                  </w:tcBorders>
                  <w:shd w:val="clear" w:color="auto" w:fill="auto"/>
                  <w:noWrap/>
                  <w:vAlign w:val="center"/>
                </w:tcPr>
                <w:p w14:paraId="7672DF70">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996</w:t>
                  </w:r>
                </w:p>
              </w:tc>
              <w:tc>
                <w:tcPr>
                  <w:tcW w:w="1250" w:type="dxa"/>
                  <w:tcBorders>
                    <w:tl2br w:val="nil"/>
                    <w:tr2bl w:val="nil"/>
                  </w:tcBorders>
                  <w:shd w:val="clear" w:color="auto" w:fill="auto"/>
                  <w:noWrap/>
                  <w:vAlign w:val="center"/>
                </w:tcPr>
                <w:p w14:paraId="2FF2D316">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100.00 </w:t>
                  </w:r>
                </w:p>
              </w:tc>
              <w:tc>
                <w:tcPr>
                  <w:tcW w:w="1492" w:type="dxa"/>
                  <w:tcBorders>
                    <w:tl2br w:val="nil"/>
                    <w:tr2bl w:val="nil"/>
                  </w:tcBorders>
                  <w:shd w:val="clear" w:color="auto" w:fill="auto"/>
                  <w:noWrap/>
                  <w:vAlign w:val="center"/>
                </w:tcPr>
                <w:p w14:paraId="1198AF2A">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1323.172 </w:t>
                  </w:r>
                </w:p>
              </w:tc>
              <w:tc>
                <w:tcPr>
                  <w:tcW w:w="1734" w:type="dxa"/>
                  <w:tcBorders>
                    <w:tl2br w:val="nil"/>
                    <w:tr2bl w:val="nil"/>
                  </w:tcBorders>
                  <w:shd w:val="clear" w:color="auto" w:fill="auto"/>
                  <w:noWrap/>
                  <w:vAlign w:val="center"/>
                </w:tcPr>
                <w:p w14:paraId="29848C44">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 xml:space="preserve">100.00 </w:t>
                  </w:r>
                </w:p>
              </w:tc>
            </w:tr>
          </w:tbl>
          <w:p w14:paraId="43B29377">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本次评价区总面积1323.172hm²，共计划分996个生态斑块，各类生态系统斑块数量、斑块占比、分布面积差异明显，区域生态空间结构特征清晰；整体以森林、灌丛、草丛、湿地构成的自然生态系统为基础，农田、城镇建设等人工生态系统镶嵌分布其间。</w:t>
            </w:r>
          </w:p>
          <w:p w14:paraId="34D01579">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hint="eastAsia" w:ascii="Times New Roman" w:hAnsi="Times New Roman"/>
                <w:color w:val="auto"/>
                <w:kern w:val="0"/>
                <w:sz w:val="24"/>
                <w:szCs w:val="24"/>
                <w:lang w:bidi="ar"/>
              </w:rPr>
              <w:t>1）</w:t>
            </w:r>
            <w:r>
              <w:rPr>
                <w:rFonts w:ascii="Times New Roman" w:hAnsi="Times New Roman"/>
                <w:color w:val="auto"/>
                <w:kern w:val="0"/>
                <w:sz w:val="24"/>
                <w:szCs w:val="24"/>
                <w:lang w:bidi="ar"/>
              </w:rPr>
              <w:t>森林生态系统仅有针叶林一种类型，总面积485.387hm²，占评价区总面积36.68%，斑块数量156个，斑块占比15.66%，是评价区内面积占比最高的生态系统，整体连片性较好，作为区域核心原生植被，发挥着水源涵养、水土保持、野生动植物栖息庇护等重要生态服务功能。</w:t>
            </w:r>
          </w:p>
          <w:p w14:paraId="2DD4833F">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hint="eastAsia" w:ascii="Times New Roman" w:hAnsi="Times New Roman"/>
                <w:color w:val="auto"/>
                <w:kern w:val="0"/>
                <w:sz w:val="24"/>
                <w:szCs w:val="24"/>
                <w:lang w:bidi="ar"/>
              </w:rPr>
              <w:t>2）</w:t>
            </w:r>
            <w:r>
              <w:rPr>
                <w:rFonts w:ascii="Times New Roman" w:hAnsi="Times New Roman"/>
                <w:color w:val="auto"/>
                <w:kern w:val="0"/>
                <w:sz w:val="24"/>
                <w:szCs w:val="24"/>
                <w:lang w:bidi="ar"/>
              </w:rPr>
              <w:t>农田生态系统仅包含耕地类型，总面积469.754hm²，占评价区总面积35.50%，斑块数量325个，斑块占比32.63%，为全区斑块数量最多的生态类型，零散交错分布于自然植被间隙，是评价区最主要的人工农业生态基底。</w:t>
            </w:r>
          </w:p>
          <w:p w14:paraId="4CBBDBE2">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3</w:t>
            </w:r>
            <w:r>
              <w:rPr>
                <w:rFonts w:hint="eastAsia" w:ascii="Times New Roman" w:hAnsi="Times New Roman"/>
                <w:color w:val="auto"/>
                <w:kern w:val="0"/>
                <w:sz w:val="24"/>
                <w:szCs w:val="24"/>
                <w:lang w:bidi="ar"/>
              </w:rPr>
              <w:t>）</w:t>
            </w:r>
            <w:r>
              <w:rPr>
                <w:rFonts w:ascii="Times New Roman" w:hAnsi="Times New Roman"/>
                <w:color w:val="auto"/>
                <w:kern w:val="0"/>
                <w:sz w:val="24"/>
                <w:szCs w:val="24"/>
                <w:lang w:bidi="ar"/>
              </w:rPr>
              <w:t>灌丛生态系统全部为阔叶灌丛，总面积210.959hm²，占评价区总面积15.94%，斑块数量138个，斑块占比13.86%，为区域第二大自然生态系统，常与针叶林交错镶嵌发育，共同构筑区域灌木植被景观。</w:t>
            </w:r>
          </w:p>
          <w:p w14:paraId="5DEF3854">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4</w:t>
            </w:r>
            <w:r>
              <w:rPr>
                <w:rFonts w:hint="eastAsia" w:ascii="Times New Roman" w:hAnsi="Times New Roman"/>
                <w:color w:val="auto"/>
                <w:kern w:val="0"/>
                <w:sz w:val="24"/>
                <w:szCs w:val="24"/>
                <w:lang w:bidi="ar"/>
              </w:rPr>
              <w:t>）</w:t>
            </w:r>
            <w:r>
              <w:rPr>
                <w:rFonts w:ascii="Times New Roman" w:hAnsi="Times New Roman"/>
                <w:color w:val="auto"/>
                <w:kern w:val="0"/>
                <w:sz w:val="24"/>
                <w:szCs w:val="24"/>
                <w:lang w:bidi="ar"/>
              </w:rPr>
              <w:t>草丛生态系统仅由草丛构成，总面积116.277hm²，占评价区总面积8.79%，斑块数量97个，斑块占比9.74%，属于区域典型草本自然生态系统，分布广泛，可为各类陆生野生动物提供开阔觅食与栖息生境。</w:t>
            </w:r>
          </w:p>
          <w:p w14:paraId="3D50D671">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5</w:t>
            </w:r>
            <w:r>
              <w:rPr>
                <w:rFonts w:hint="eastAsia" w:ascii="Times New Roman" w:hAnsi="Times New Roman"/>
                <w:color w:val="auto"/>
                <w:kern w:val="0"/>
                <w:sz w:val="24"/>
                <w:szCs w:val="24"/>
                <w:lang w:bidi="ar"/>
              </w:rPr>
              <w:t>）</w:t>
            </w:r>
            <w:r>
              <w:rPr>
                <w:rFonts w:ascii="Times New Roman" w:hAnsi="Times New Roman"/>
                <w:color w:val="auto"/>
                <w:kern w:val="0"/>
                <w:sz w:val="24"/>
                <w:szCs w:val="24"/>
                <w:lang w:bidi="ar"/>
              </w:rPr>
              <w:t>城镇生态系统包含居住地、工矿交通两类用地，合计总面积26.498hm²，占评价区总面积2.01%。其中居住地面积14.360hm²，占比1.09%，斑块137个，斑块占比13.76%；工矿交通用地面积12.138hm²，占比0.92%，斑块82个，斑块占比8.23%。各类建设斑块体量小、空间细碎，零散穿插在农田及自然植被当中。</w:t>
            </w:r>
          </w:p>
          <w:p w14:paraId="613F846A">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6</w:t>
            </w:r>
            <w:r>
              <w:rPr>
                <w:rFonts w:hint="eastAsia" w:ascii="Times New Roman" w:hAnsi="Times New Roman"/>
                <w:color w:val="auto"/>
                <w:kern w:val="0"/>
                <w:sz w:val="24"/>
                <w:szCs w:val="24"/>
                <w:lang w:bidi="ar"/>
              </w:rPr>
              <w:t>）</w:t>
            </w:r>
            <w:r>
              <w:rPr>
                <w:rFonts w:ascii="Times New Roman" w:hAnsi="Times New Roman"/>
                <w:color w:val="auto"/>
                <w:kern w:val="0"/>
                <w:sz w:val="24"/>
                <w:szCs w:val="24"/>
                <w:lang w:bidi="ar"/>
              </w:rPr>
              <w:t>湿地生态系统仅有河流类型，无湖泊分布，总面积6.025hm²，占评价区总面积0.46%；共计31个斑块，斑块占比3.11%，水系依托地形呈线性延展、零星分布，维系区域水文连通性，是重要的水域生态廊道。</w:t>
            </w:r>
          </w:p>
          <w:p w14:paraId="5CC7CEC4">
            <w:pPr>
              <w:keepNext/>
              <w:keepLines/>
              <w:widowControl/>
              <w:numPr>
                <w:ilvl w:val="3"/>
                <w:numId w:val="0"/>
              </w:numPr>
              <w:adjustRightInd w:val="0"/>
              <w:snapToGrid w:val="0"/>
              <w:spacing w:line="440" w:lineRule="exact"/>
              <w:ind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7</w:t>
            </w:r>
            <w:r>
              <w:rPr>
                <w:rFonts w:hint="eastAsia" w:ascii="Times New Roman" w:hAnsi="Times New Roman"/>
                <w:color w:val="auto"/>
                <w:kern w:val="0"/>
                <w:sz w:val="24"/>
                <w:szCs w:val="24"/>
                <w:lang w:bidi="ar"/>
              </w:rPr>
              <w:t>）</w:t>
            </w:r>
            <w:r>
              <w:rPr>
                <w:rFonts w:ascii="Times New Roman" w:hAnsi="Times New Roman"/>
                <w:color w:val="auto"/>
                <w:kern w:val="0"/>
                <w:sz w:val="24"/>
                <w:szCs w:val="24"/>
                <w:lang w:bidi="ar"/>
              </w:rPr>
              <w:t>其他生态系统总面积8.272hm²，占评价区总面积0.63%，斑块数量30个，斑块占比3.01%，在评价区内各处零星散布，不存在集中连片分布区域。</w:t>
            </w:r>
          </w:p>
          <w:p w14:paraId="7854237F">
            <w:pPr>
              <w:adjustRightInd w:val="0"/>
              <w:snapToGrid w:val="0"/>
              <w:spacing w:line="440" w:lineRule="exact"/>
              <w:ind w:right="210" w:rightChars="100" w:firstLine="480" w:firstLineChars="200"/>
              <w:rPr>
                <w:rFonts w:ascii="Times New Roman" w:hAnsi="Times New Roman"/>
                <w:color w:val="auto"/>
                <w:kern w:val="0"/>
                <w:sz w:val="24"/>
                <w:szCs w:val="24"/>
                <w:lang w:bidi="ar"/>
              </w:rPr>
            </w:pPr>
            <w:r>
              <w:rPr>
                <w:rFonts w:ascii="Times New Roman" w:hAnsi="Times New Roman"/>
                <w:color w:val="auto"/>
                <w:kern w:val="0"/>
                <w:sz w:val="24"/>
                <w:szCs w:val="24"/>
                <w:lang w:bidi="ar"/>
              </w:rPr>
              <w:t>整体来看，评价区生态系统以森林、灌丛、草丛、湿地自然生态系统为主体，农田、城镇人工生态系统次之；森林、灌丛、草丛三类陆生自然植被占据较大空间范围，农田斑块数量繁多、细碎穿插于自然植被之间，城乡建设、工矿交通斑块碎片化程度较高。区域整体以原生自然植被为生态基底，人为开发扰动程度适中，生态涵养空间充裕。</w:t>
            </w:r>
          </w:p>
          <w:p w14:paraId="4EE2A75D">
            <w:pPr>
              <w:keepNext/>
              <w:keepLines/>
              <w:widowControl/>
              <w:numPr>
                <w:ilvl w:val="3"/>
                <w:numId w:val="0"/>
              </w:numPr>
              <w:adjustRightInd w:val="0"/>
              <w:snapToGrid w:val="0"/>
              <w:spacing w:line="440" w:lineRule="exact"/>
              <w:ind w:firstLine="482" w:firstLineChars="200"/>
              <w:outlineLvl w:val="3"/>
              <w:rPr>
                <w:rFonts w:ascii="Times New Roman" w:hAnsi="Times New Roman"/>
                <w:b/>
                <w:bCs/>
                <w:color w:val="auto"/>
                <w:sz w:val="24"/>
                <w:szCs w:val="24"/>
                <w:highlight w:val="none"/>
              </w:rPr>
            </w:pPr>
            <w:r>
              <w:rPr>
                <w:rFonts w:hint="eastAsia" w:ascii="Times New Roman" w:hAnsi="Times New Roman"/>
                <w:b/>
                <w:bCs/>
                <w:color w:val="auto"/>
                <w:sz w:val="24"/>
                <w:szCs w:val="24"/>
              </w:rPr>
              <w:t>（2）</w:t>
            </w:r>
            <w:r>
              <w:rPr>
                <w:rFonts w:ascii="Times New Roman" w:hAnsi="Times New Roman"/>
                <w:b/>
                <w:bCs/>
                <w:color w:val="auto"/>
                <w:sz w:val="24"/>
                <w:szCs w:val="24"/>
                <w:highlight w:val="none"/>
              </w:rPr>
              <w:t>生态系统生产力、生物量</w:t>
            </w:r>
          </w:p>
          <w:p w14:paraId="683B67BC">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bCs/>
                <w:color w:val="auto"/>
                <w:sz w:val="24"/>
                <w:szCs w:val="24"/>
                <w:highlight w:val="none"/>
              </w:rPr>
              <w:t>区域生态系统生产力的评价指标主要是其植被生产力。植被生产力指各类土地上的植被生长量，单位用“吨/年（t/a）”</w:t>
            </w:r>
            <w:r>
              <w:rPr>
                <w:rFonts w:ascii="Times New Roman" w:hAnsi="Times New Roman"/>
                <w:color w:val="auto"/>
                <w:sz w:val="24"/>
                <w:szCs w:val="24"/>
              </w:rPr>
              <w:t>表示。</w:t>
            </w:r>
          </w:p>
          <w:p w14:paraId="4A07860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参照“我国森林植被的生物量和净生产量”（方精云、刘国华、徐嵩林，1996，生态学报，16（5）），“中国不同气候带各类型森林的生物量和净第一性生产力”（李高飞，任海，2004，热带地理，24（4）），以及《生物圈第一性生产力》（H.里思，R.H.惠特克，2001）的相关文献，对我国各地带主要植被类型生产量的计算方法，计算评价区各植被类型（生态系统）的生物生产力。</w:t>
            </w:r>
          </w:p>
          <w:p w14:paraId="1DAE194F">
            <w:pPr>
              <w:adjustRightInd w:val="0"/>
              <w:snapToGrid w:val="0"/>
              <w:jc w:val="center"/>
              <w:rPr>
                <w:rFonts w:ascii="Times New Roman" w:hAnsi="Times New Roman"/>
                <w:b/>
                <w:bCs/>
                <w:color w:val="auto"/>
                <w:sz w:val="24"/>
                <w:szCs w:val="36"/>
              </w:rPr>
            </w:pPr>
            <w:r>
              <w:rPr>
                <w:rFonts w:ascii="Times New Roman" w:hAnsi="Times New Roman"/>
                <w:b/>
                <w:bCs/>
                <w:color w:val="auto"/>
                <w:sz w:val="24"/>
                <w:szCs w:val="36"/>
              </w:rPr>
              <w:t>表</w:t>
            </w:r>
            <w:r>
              <w:rPr>
                <w:rFonts w:hint="eastAsia" w:ascii="Times New Roman" w:hAnsi="Times New Roman"/>
                <w:b/>
                <w:bCs/>
                <w:color w:val="auto"/>
                <w:sz w:val="24"/>
                <w:szCs w:val="36"/>
              </w:rPr>
              <w:t>3-22</w:t>
            </w:r>
            <w:r>
              <w:rPr>
                <w:rFonts w:ascii="Times New Roman" w:hAnsi="Times New Roman"/>
                <w:b/>
                <w:bCs/>
                <w:color w:val="auto"/>
                <w:sz w:val="24"/>
                <w:szCs w:val="36"/>
              </w:rPr>
              <w:t xml:space="preserve">  评价区生态系统生产力统计一览表</w:t>
            </w:r>
          </w:p>
          <w:tbl>
            <w:tblPr>
              <w:tblStyle w:val="27"/>
              <w:tblW w:w="950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636"/>
              <w:gridCol w:w="1"/>
              <w:gridCol w:w="2"/>
              <w:gridCol w:w="1084"/>
              <w:gridCol w:w="1"/>
              <w:gridCol w:w="2"/>
              <w:gridCol w:w="960"/>
              <w:gridCol w:w="1"/>
              <w:gridCol w:w="3"/>
              <w:gridCol w:w="933"/>
              <w:gridCol w:w="1"/>
              <w:gridCol w:w="3"/>
              <w:gridCol w:w="982"/>
              <w:gridCol w:w="1"/>
              <w:gridCol w:w="4"/>
              <w:gridCol w:w="1082"/>
              <w:gridCol w:w="1"/>
              <w:gridCol w:w="4"/>
              <w:gridCol w:w="989"/>
              <w:gridCol w:w="1"/>
              <w:gridCol w:w="4"/>
              <w:gridCol w:w="951"/>
              <w:gridCol w:w="1"/>
              <w:gridCol w:w="4"/>
              <w:gridCol w:w="1080"/>
            </w:tblGrid>
            <w:tr w14:paraId="34D2E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68" w:type="pct"/>
                <w:trHeight w:val="300" w:hRule="atLeast"/>
              </w:trPr>
              <w:tc>
                <w:tcPr>
                  <w:tcW w:w="742" w:type="pct"/>
                  <w:gridSpan w:val="3"/>
                  <w:tcBorders>
                    <w:tl2br w:val="nil"/>
                    <w:tr2bl w:val="nil"/>
                  </w:tcBorders>
                  <w:shd w:val="clear" w:color="auto" w:fill="auto"/>
                  <w:vAlign w:val="center"/>
                </w:tcPr>
                <w:p w14:paraId="3B0D9FDA">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生态系统</w:t>
                  </w:r>
                </w:p>
              </w:tc>
              <w:tc>
                <w:tcPr>
                  <w:tcW w:w="572" w:type="pct"/>
                  <w:gridSpan w:val="3"/>
                  <w:vMerge w:val="restart"/>
                  <w:tcBorders>
                    <w:tl2br w:val="nil"/>
                    <w:tr2bl w:val="nil"/>
                  </w:tcBorders>
                  <w:shd w:val="clear" w:color="auto" w:fill="auto"/>
                  <w:vAlign w:val="center"/>
                </w:tcPr>
                <w:p w14:paraId="14BA31DC">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平均生产力（</w:t>
                  </w:r>
                  <w:r>
                    <w:rPr>
                      <w:rFonts w:ascii="Times New Roman" w:hAnsi="Times New Roman"/>
                      <w:b/>
                      <w:bCs/>
                      <w:color w:val="auto"/>
                      <w:kern w:val="0"/>
                      <w:sz w:val="18"/>
                      <w:szCs w:val="18"/>
                    </w:rPr>
                    <w:t>t/hm²·a</w:t>
                  </w:r>
                  <w:r>
                    <w:rPr>
                      <w:rFonts w:hint="eastAsia" w:ascii="Times New Roman" w:hAnsi="Times New Roman"/>
                      <w:b/>
                      <w:bCs/>
                      <w:color w:val="auto"/>
                      <w:kern w:val="0"/>
                      <w:sz w:val="18"/>
                      <w:szCs w:val="18"/>
                    </w:rPr>
                    <w:t>）</w:t>
                  </w:r>
                </w:p>
              </w:tc>
              <w:tc>
                <w:tcPr>
                  <w:tcW w:w="507" w:type="pct"/>
                  <w:gridSpan w:val="3"/>
                  <w:vMerge w:val="restart"/>
                  <w:tcBorders>
                    <w:tl2br w:val="nil"/>
                    <w:tr2bl w:val="nil"/>
                  </w:tcBorders>
                  <w:shd w:val="clear" w:color="auto" w:fill="auto"/>
                  <w:vAlign w:val="center"/>
                </w:tcPr>
                <w:p w14:paraId="46177939">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平均生物量（</w:t>
                  </w:r>
                  <w:r>
                    <w:rPr>
                      <w:rFonts w:ascii="Times New Roman" w:hAnsi="Times New Roman"/>
                      <w:b/>
                      <w:bCs/>
                      <w:color w:val="auto"/>
                      <w:kern w:val="0"/>
                      <w:sz w:val="18"/>
                      <w:szCs w:val="18"/>
                    </w:rPr>
                    <w:t>t/hm²</w:t>
                  </w:r>
                  <w:r>
                    <w:rPr>
                      <w:rFonts w:hint="eastAsia" w:ascii="Times New Roman" w:hAnsi="Times New Roman"/>
                      <w:b/>
                      <w:bCs/>
                      <w:color w:val="auto"/>
                      <w:kern w:val="0"/>
                      <w:sz w:val="18"/>
                      <w:szCs w:val="18"/>
                    </w:rPr>
                    <w:t>）</w:t>
                  </w:r>
                </w:p>
              </w:tc>
              <w:tc>
                <w:tcPr>
                  <w:tcW w:w="493" w:type="pct"/>
                  <w:gridSpan w:val="3"/>
                  <w:vMerge w:val="restart"/>
                  <w:tcBorders>
                    <w:tl2br w:val="nil"/>
                    <w:tr2bl w:val="nil"/>
                  </w:tcBorders>
                  <w:shd w:val="clear" w:color="auto" w:fill="auto"/>
                  <w:vAlign w:val="center"/>
                </w:tcPr>
                <w:p w14:paraId="0D92514F">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面积（</w:t>
                  </w:r>
                  <w:r>
                    <w:rPr>
                      <w:rFonts w:ascii="Times New Roman" w:hAnsi="Times New Roman"/>
                      <w:b/>
                      <w:bCs/>
                      <w:color w:val="auto"/>
                      <w:kern w:val="0"/>
                      <w:sz w:val="18"/>
                      <w:szCs w:val="18"/>
                    </w:rPr>
                    <w:t>hm²</w:t>
                  </w:r>
                  <w:r>
                    <w:rPr>
                      <w:rFonts w:hint="eastAsia" w:ascii="Times New Roman" w:hAnsi="Times New Roman"/>
                      <w:b/>
                      <w:bCs/>
                      <w:color w:val="auto"/>
                      <w:kern w:val="0"/>
                      <w:sz w:val="18"/>
                      <w:szCs w:val="18"/>
                    </w:rPr>
                    <w:t>）</w:t>
                  </w:r>
                </w:p>
              </w:tc>
              <w:tc>
                <w:tcPr>
                  <w:tcW w:w="519" w:type="pct"/>
                  <w:gridSpan w:val="3"/>
                  <w:vMerge w:val="restart"/>
                  <w:tcBorders>
                    <w:tl2br w:val="nil"/>
                    <w:tr2bl w:val="nil"/>
                  </w:tcBorders>
                  <w:shd w:val="clear" w:color="auto" w:fill="auto"/>
                  <w:vAlign w:val="center"/>
                </w:tcPr>
                <w:p w14:paraId="4145EFC2">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生产力（</w:t>
                  </w:r>
                  <w:r>
                    <w:rPr>
                      <w:rFonts w:ascii="Times New Roman" w:hAnsi="Times New Roman"/>
                      <w:b/>
                      <w:bCs/>
                      <w:color w:val="auto"/>
                      <w:kern w:val="0"/>
                      <w:sz w:val="18"/>
                      <w:szCs w:val="18"/>
                    </w:rPr>
                    <w:t>t/a</w:t>
                  </w:r>
                  <w:r>
                    <w:rPr>
                      <w:rFonts w:hint="eastAsia" w:ascii="Times New Roman" w:hAnsi="Times New Roman"/>
                      <w:b/>
                      <w:bCs/>
                      <w:color w:val="auto"/>
                      <w:kern w:val="0"/>
                      <w:sz w:val="18"/>
                      <w:szCs w:val="18"/>
                    </w:rPr>
                    <w:t>）</w:t>
                  </w:r>
                </w:p>
              </w:tc>
              <w:tc>
                <w:tcPr>
                  <w:tcW w:w="572" w:type="pct"/>
                  <w:gridSpan w:val="3"/>
                  <w:vMerge w:val="restart"/>
                  <w:tcBorders>
                    <w:tl2br w:val="nil"/>
                    <w:tr2bl w:val="nil"/>
                  </w:tcBorders>
                  <w:shd w:val="clear" w:color="auto" w:fill="auto"/>
                  <w:vAlign w:val="center"/>
                </w:tcPr>
                <w:p w14:paraId="330BB7D3">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占总生产力的比例（</w:t>
                  </w:r>
                  <w:r>
                    <w:rPr>
                      <w:rFonts w:ascii="Times New Roman" w:hAnsi="Times New Roman"/>
                      <w:b/>
                      <w:bCs/>
                      <w:color w:val="auto"/>
                      <w:kern w:val="0"/>
                      <w:sz w:val="18"/>
                      <w:szCs w:val="18"/>
                    </w:rPr>
                    <w:t>%</w:t>
                  </w:r>
                  <w:r>
                    <w:rPr>
                      <w:rFonts w:hint="eastAsia" w:ascii="Times New Roman" w:hAnsi="Times New Roman"/>
                      <w:b/>
                      <w:bCs/>
                      <w:color w:val="auto"/>
                      <w:kern w:val="0"/>
                      <w:sz w:val="18"/>
                      <w:szCs w:val="18"/>
                    </w:rPr>
                    <w:t>）</w:t>
                  </w:r>
                </w:p>
              </w:tc>
              <w:tc>
                <w:tcPr>
                  <w:tcW w:w="523" w:type="pct"/>
                  <w:gridSpan w:val="3"/>
                  <w:vMerge w:val="restart"/>
                  <w:tcBorders>
                    <w:tl2br w:val="nil"/>
                    <w:tr2bl w:val="nil"/>
                  </w:tcBorders>
                  <w:shd w:val="clear" w:color="auto" w:fill="auto"/>
                  <w:vAlign w:val="center"/>
                </w:tcPr>
                <w:p w14:paraId="6397E507">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生物量（</w:t>
                  </w:r>
                  <w:r>
                    <w:rPr>
                      <w:rFonts w:ascii="Times New Roman" w:hAnsi="Times New Roman"/>
                      <w:b/>
                      <w:bCs/>
                      <w:color w:val="auto"/>
                      <w:kern w:val="0"/>
                      <w:sz w:val="18"/>
                      <w:szCs w:val="18"/>
                    </w:rPr>
                    <w:t>t</w:t>
                  </w:r>
                  <w:r>
                    <w:rPr>
                      <w:rFonts w:hint="eastAsia" w:ascii="Times New Roman" w:hAnsi="Times New Roman"/>
                      <w:b/>
                      <w:bCs/>
                      <w:color w:val="auto"/>
                      <w:kern w:val="0"/>
                      <w:sz w:val="18"/>
                      <w:szCs w:val="18"/>
                    </w:rPr>
                    <w:t>）</w:t>
                  </w:r>
                </w:p>
              </w:tc>
              <w:tc>
                <w:tcPr>
                  <w:tcW w:w="503" w:type="pct"/>
                  <w:gridSpan w:val="3"/>
                  <w:vMerge w:val="restart"/>
                  <w:tcBorders>
                    <w:tl2br w:val="nil"/>
                    <w:tr2bl w:val="nil"/>
                  </w:tcBorders>
                  <w:shd w:val="clear" w:color="auto" w:fill="auto"/>
                  <w:vAlign w:val="center"/>
                </w:tcPr>
                <w:p w14:paraId="553A3367">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占总生物量的比例（</w:t>
                  </w:r>
                  <w:r>
                    <w:rPr>
                      <w:rFonts w:ascii="Times New Roman" w:hAnsi="Times New Roman"/>
                      <w:b/>
                      <w:bCs/>
                      <w:color w:val="auto"/>
                      <w:kern w:val="0"/>
                      <w:sz w:val="18"/>
                      <w:szCs w:val="18"/>
                    </w:rPr>
                    <w:t>%</w:t>
                  </w:r>
                  <w:r>
                    <w:rPr>
                      <w:rFonts w:hint="eastAsia" w:ascii="Times New Roman" w:hAnsi="Times New Roman"/>
                      <w:b/>
                      <w:bCs/>
                      <w:color w:val="auto"/>
                      <w:kern w:val="0"/>
                      <w:sz w:val="18"/>
                      <w:szCs w:val="18"/>
                    </w:rPr>
                    <w:t>）</w:t>
                  </w:r>
                </w:p>
              </w:tc>
            </w:tr>
            <w:tr w14:paraId="7F9D7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300" w:hRule="atLeast"/>
              </w:trPr>
              <w:tc>
                <w:tcPr>
                  <w:tcW w:w="407" w:type="pct"/>
                  <w:tcBorders>
                    <w:tl2br w:val="nil"/>
                    <w:tr2bl w:val="nil"/>
                  </w:tcBorders>
                  <w:shd w:val="clear" w:color="auto" w:fill="auto"/>
                  <w:vAlign w:val="center"/>
                </w:tcPr>
                <w:p w14:paraId="1AB0F5EE">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一级类</w:t>
                  </w:r>
                </w:p>
              </w:tc>
              <w:tc>
                <w:tcPr>
                  <w:tcW w:w="335" w:type="pct"/>
                  <w:tcBorders>
                    <w:tl2br w:val="nil"/>
                    <w:tr2bl w:val="nil"/>
                  </w:tcBorders>
                  <w:shd w:val="clear" w:color="auto" w:fill="auto"/>
                  <w:vAlign w:val="center"/>
                </w:tcPr>
                <w:p w14:paraId="11D76C5A">
                  <w:pPr>
                    <w:adjustRightInd w:val="0"/>
                    <w:snapToGrid w:val="0"/>
                    <w:jc w:val="center"/>
                    <w:rPr>
                      <w:rFonts w:ascii="Times New Roman" w:hAnsi="Times New Roman"/>
                      <w:b/>
                      <w:bCs/>
                      <w:color w:val="auto"/>
                      <w:kern w:val="0"/>
                      <w:sz w:val="18"/>
                      <w:szCs w:val="18"/>
                    </w:rPr>
                  </w:pPr>
                  <w:r>
                    <w:rPr>
                      <w:rFonts w:hint="eastAsia" w:ascii="Times New Roman" w:hAnsi="Times New Roman"/>
                      <w:b/>
                      <w:bCs/>
                      <w:color w:val="auto"/>
                      <w:kern w:val="0"/>
                      <w:sz w:val="18"/>
                      <w:szCs w:val="18"/>
                    </w:rPr>
                    <w:t>二级类</w:t>
                  </w:r>
                </w:p>
              </w:tc>
              <w:tc>
                <w:tcPr>
                  <w:tcW w:w="572" w:type="pct"/>
                  <w:gridSpan w:val="3"/>
                  <w:vMerge w:val="continue"/>
                  <w:tcBorders>
                    <w:tl2br w:val="nil"/>
                    <w:tr2bl w:val="nil"/>
                  </w:tcBorders>
                  <w:shd w:val="clear" w:color="auto" w:fill="auto"/>
                  <w:vAlign w:val="center"/>
                </w:tcPr>
                <w:p w14:paraId="106477B7">
                  <w:pPr>
                    <w:adjustRightInd w:val="0"/>
                    <w:snapToGrid w:val="0"/>
                    <w:jc w:val="center"/>
                    <w:rPr>
                      <w:rFonts w:ascii="Times New Roman" w:hAnsi="Times New Roman"/>
                      <w:b/>
                      <w:bCs/>
                      <w:color w:val="auto"/>
                      <w:kern w:val="0"/>
                      <w:sz w:val="18"/>
                      <w:szCs w:val="18"/>
                    </w:rPr>
                  </w:pPr>
                </w:p>
              </w:tc>
              <w:tc>
                <w:tcPr>
                  <w:tcW w:w="507" w:type="pct"/>
                  <w:gridSpan w:val="3"/>
                  <w:vMerge w:val="continue"/>
                  <w:tcBorders>
                    <w:tl2br w:val="nil"/>
                    <w:tr2bl w:val="nil"/>
                  </w:tcBorders>
                  <w:shd w:val="clear" w:color="auto" w:fill="auto"/>
                  <w:vAlign w:val="center"/>
                </w:tcPr>
                <w:p w14:paraId="795151BD">
                  <w:pPr>
                    <w:adjustRightInd w:val="0"/>
                    <w:snapToGrid w:val="0"/>
                    <w:jc w:val="center"/>
                    <w:rPr>
                      <w:rFonts w:ascii="Times New Roman" w:hAnsi="Times New Roman"/>
                      <w:b/>
                      <w:bCs/>
                      <w:color w:val="auto"/>
                      <w:kern w:val="0"/>
                      <w:sz w:val="18"/>
                      <w:szCs w:val="18"/>
                    </w:rPr>
                  </w:pPr>
                </w:p>
              </w:tc>
              <w:tc>
                <w:tcPr>
                  <w:tcW w:w="493" w:type="pct"/>
                  <w:gridSpan w:val="3"/>
                  <w:vMerge w:val="continue"/>
                  <w:tcBorders>
                    <w:tl2br w:val="nil"/>
                    <w:tr2bl w:val="nil"/>
                  </w:tcBorders>
                  <w:shd w:val="clear" w:color="auto" w:fill="auto"/>
                  <w:vAlign w:val="center"/>
                </w:tcPr>
                <w:p w14:paraId="3FB9AA95">
                  <w:pPr>
                    <w:adjustRightInd w:val="0"/>
                    <w:snapToGrid w:val="0"/>
                    <w:jc w:val="center"/>
                    <w:rPr>
                      <w:rFonts w:ascii="Times New Roman" w:hAnsi="Times New Roman"/>
                      <w:b/>
                      <w:bCs/>
                      <w:color w:val="auto"/>
                      <w:kern w:val="0"/>
                      <w:sz w:val="18"/>
                      <w:szCs w:val="18"/>
                    </w:rPr>
                  </w:pPr>
                </w:p>
              </w:tc>
              <w:tc>
                <w:tcPr>
                  <w:tcW w:w="519" w:type="pct"/>
                  <w:gridSpan w:val="3"/>
                  <w:vMerge w:val="continue"/>
                  <w:tcBorders>
                    <w:tl2br w:val="nil"/>
                    <w:tr2bl w:val="nil"/>
                  </w:tcBorders>
                  <w:shd w:val="clear" w:color="auto" w:fill="auto"/>
                  <w:vAlign w:val="center"/>
                </w:tcPr>
                <w:p w14:paraId="50D1F7C3">
                  <w:pPr>
                    <w:adjustRightInd w:val="0"/>
                    <w:snapToGrid w:val="0"/>
                    <w:jc w:val="center"/>
                    <w:rPr>
                      <w:rFonts w:ascii="Times New Roman" w:hAnsi="Times New Roman"/>
                      <w:b/>
                      <w:bCs/>
                      <w:color w:val="auto"/>
                      <w:kern w:val="0"/>
                      <w:sz w:val="18"/>
                      <w:szCs w:val="18"/>
                    </w:rPr>
                  </w:pPr>
                </w:p>
              </w:tc>
              <w:tc>
                <w:tcPr>
                  <w:tcW w:w="572" w:type="pct"/>
                  <w:gridSpan w:val="3"/>
                  <w:vMerge w:val="continue"/>
                  <w:tcBorders>
                    <w:tl2br w:val="nil"/>
                    <w:tr2bl w:val="nil"/>
                  </w:tcBorders>
                  <w:shd w:val="clear" w:color="auto" w:fill="auto"/>
                  <w:vAlign w:val="center"/>
                </w:tcPr>
                <w:p w14:paraId="221AC151">
                  <w:pPr>
                    <w:adjustRightInd w:val="0"/>
                    <w:snapToGrid w:val="0"/>
                    <w:jc w:val="center"/>
                    <w:rPr>
                      <w:rFonts w:ascii="Times New Roman" w:hAnsi="Times New Roman"/>
                      <w:b/>
                      <w:bCs/>
                      <w:color w:val="auto"/>
                      <w:kern w:val="0"/>
                      <w:sz w:val="18"/>
                      <w:szCs w:val="18"/>
                    </w:rPr>
                  </w:pPr>
                </w:p>
              </w:tc>
              <w:tc>
                <w:tcPr>
                  <w:tcW w:w="523" w:type="pct"/>
                  <w:gridSpan w:val="3"/>
                  <w:vMerge w:val="continue"/>
                  <w:tcBorders>
                    <w:tl2br w:val="nil"/>
                    <w:tr2bl w:val="nil"/>
                  </w:tcBorders>
                  <w:shd w:val="clear" w:color="auto" w:fill="auto"/>
                  <w:vAlign w:val="center"/>
                </w:tcPr>
                <w:p w14:paraId="77771338">
                  <w:pPr>
                    <w:adjustRightInd w:val="0"/>
                    <w:snapToGrid w:val="0"/>
                    <w:jc w:val="center"/>
                    <w:rPr>
                      <w:rFonts w:ascii="Times New Roman" w:hAnsi="Times New Roman"/>
                      <w:b/>
                      <w:bCs/>
                      <w:color w:val="auto"/>
                      <w:kern w:val="0"/>
                      <w:sz w:val="18"/>
                      <w:szCs w:val="18"/>
                    </w:rPr>
                  </w:pPr>
                </w:p>
              </w:tc>
              <w:tc>
                <w:tcPr>
                  <w:tcW w:w="503" w:type="pct"/>
                  <w:gridSpan w:val="3"/>
                  <w:vMerge w:val="continue"/>
                  <w:tcBorders>
                    <w:tl2br w:val="nil"/>
                    <w:tr2bl w:val="nil"/>
                  </w:tcBorders>
                  <w:shd w:val="clear" w:color="auto" w:fill="auto"/>
                  <w:vAlign w:val="center"/>
                </w:tcPr>
                <w:p w14:paraId="2E294088">
                  <w:pPr>
                    <w:adjustRightInd w:val="0"/>
                    <w:snapToGrid w:val="0"/>
                    <w:jc w:val="center"/>
                    <w:rPr>
                      <w:rFonts w:ascii="Times New Roman" w:hAnsi="Times New Roman"/>
                      <w:b/>
                      <w:bCs/>
                      <w:color w:val="auto"/>
                      <w:kern w:val="0"/>
                      <w:sz w:val="18"/>
                      <w:szCs w:val="18"/>
                    </w:rPr>
                  </w:pPr>
                </w:p>
              </w:tc>
            </w:tr>
            <w:tr w14:paraId="12BC7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465" w:hRule="atLeast"/>
              </w:trPr>
              <w:tc>
                <w:tcPr>
                  <w:tcW w:w="407" w:type="pct"/>
                  <w:tcBorders>
                    <w:tl2br w:val="nil"/>
                    <w:tr2bl w:val="nil"/>
                  </w:tcBorders>
                  <w:shd w:val="clear" w:color="auto" w:fill="auto"/>
                  <w:vAlign w:val="center"/>
                </w:tcPr>
                <w:p w14:paraId="580C6BDE">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森林生态系统</w:t>
                  </w:r>
                </w:p>
              </w:tc>
              <w:tc>
                <w:tcPr>
                  <w:tcW w:w="335" w:type="pct"/>
                  <w:tcBorders>
                    <w:tl2br w:val="nil"/>
                    <w:tr2bl w:val="nil"/>
                  </w:tcBorders>
                  <w:shd w:val="clear" w:color="auto" w:fill="auto"/>
                  <w:vAlign w:val="center"/>
                </w:tcPr>
                <w:p w14:paraId="6F9307AD">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针叶林</w:t>
                  </w:r>
                </w:p>
              </w:tc>
              <w:tc>
                <w:tcPr>
                  <w:tcW w:w="572" w:type="pct"/>
                  <w:gridSpan w:val="3"/>
                  <w:tcBorders>
                    <w:tl2br w:val="nil"/>
                    <w:tr2bl w:val="nil"/>
                  </w:tcBorders>
                  <w:shd w:val="clear" w:color="auto" w:fill="auto"/>
                  <w:vAlign w:val="center"/>
                </w:tcPr>
                <w:p w14:paraId="769A647E">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10.47</w:t>
                  </w:r>
                </w:p>
              </w:tc>
              <w:tc>
                <w:tcPr>
                  <w:tcW w:w="507" w:type="pct"/>
                  <w:gridSpan w:val="3"/>
                  <w:tcBorders>
                    <w:tl2br w:val="nil"/>
                    <w:tr2bl w:val="nil"/>
                  </w:tcBorders>
                  <w:shd w:val="clear" w:color="auto" w:fill="auto"/>
                  <w:vAlign w:val="center"/>
                </w:tcPr>
                <w:p w14:paraId="1C0E1E4D">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81.16</w:t>
                  </w:r>
                </w:p>
              </w:tc>
              <w:tc>
                <w:tcPr>
                  <w:tcW w:w="493" w:type="pct"/>
                  <w:gridSpan w:val="3"/>
                  <w:tcBorders>
                    <w:tl2br w:val="nil"/>
                    <w:tr2bl w:val="nil"/>
                  </w:tcBorders>
                  <w:shd w:val="clear" w:color="auto" w:fill="auto"/>
                  <w:vAlign w:val="center"/>
                </w:tcPr>
                <w:p w14:paraId="64AD326F">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485.387 </w:t>
                  </w:r>
                </w:p>
              </w:tc>
              <w:tc>
                <w:tcPr>
                  <w:tcW w:w="519" w:type="pct"/>
                  <w:gridSpan w:val="3"/>
                  <w:tcBorders>
                    <w:tl2br w:val="nil"/>
                    <w:tr2bl w:val="nil"/>
                  </w:tcBorders>
                  <w:shd w:val="clear" w:color="auto" w:fill="auto"/>
                  <w:vAlign w:val="center"/>
                </w:tcPr>
                <w:p w14:paraId="6374AA95">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5082.002 </w:t>
                  </w:r>
                </w:p>
              </w:tc>
              <w:tc>
                <w:tcPr>
                  <w:tcW w:w="572" w:type="pct"/>
                  <w:gridSpan w:val="3"/>
                  <w:tcBorders>
                    <w:tl2br w:val="nil"/>
                    <w:tr2bl w:val="nil"/>
                  </w:tcBorders>
                  <w:shd w:val="clear" w:color="auto" w:fill="auto"/>
                  <w:vAlign w:val="center"/>
                </w:tcPr>
                <w:p w14:paraId="0DC1034E">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46.581 </w:t>
                  </w:r>
                </w:p>
              </w:tc>
              <w:tc>
                <w:tcPr>
                  <w:tcW w:w="523" w:type="pct"/>
                  <w:gridSpan w:val="3"/>
                  <w:tcBorders>
                    <w:tl2br w:val="nil"/>
                    <w:tr2bl w:val="nil"/>
                  </w:tcBorders>
                  <w:shd w:val="clear" w:color="auto" w:fill="auto"/>
                  <w:vAlign w:val="center"/>
                </w:tcPr>
                <w:p w14:paraId="40A86D66">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39394.009 </w:t>
                  </w:r>
                </w:p>
              </w:tc>
              <w:tc>
                <w:tcPr>
                  <w:tcW w:w="503" w:type="pct"/>
                  <w:gridSpan w:val="3"/>
                  <w:tcBorders>
                    <w:tl2br w:val="nil"/>
                    <w:tr2bl w:val="nil"/>
                  </w:tcBorders>
                  <w:shd w:val="clear" w:color="auto" w:fill="auto"/>
                  <w:vAlign w:val="center"/>
                </w:tcPr>
                <w:p w14:paraId="1879C663">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61.180 </w:t>
                  </w:r>
                </w:p>
              </w:tc>
            </w:tr>
            <w:tr w14:paraId="22AC2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465" w:hRule="atLeast"/>
              </w:trPr>
              <w:tc>
                <w:tcPr>
                  <w:tcW w:w="407" w:type="pct"/>
                  <w:tcBorders>
                    <w:tl2br w:val="nil"/>
                    <w:tr2bl w:val="nil"/>
                  </w:tcBorders>
                  <w:shd w:val="clear" w:color="auto" w:fill="auto"/>
                  <w:vAlign w:val="center"/>
                </w:tcPr>
                <w:p w14:paraId="647E0D5E">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灌丛生态系统</w:t>
                  </w:r>
                </w:p>
              </w:tc>
              <w:tc>
                <w:tcPr>
                  <w:tcW w:w="335" w:type="pct"/>
                  <w:tcBorders>
                    <w:tl2br w:val="nil"/>
                    <w:tr2bl w:val="nil"/>
                  </w:tcBorders>
                  <w:shd w:val="clear" w:color="auto" w:fill="auto"/>
                  <w:vAlign w:val="center"/>
                </w:tcPr>
                <w:p w14:paraId="52D3AB76">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阔叶灌丛</w:t>
                  </w:r>
                </w:p>
              </w:tc>
              <w:tc>
                <w:tcPr>
                  <w:tcW w:w="572" w:type="pct"/>
                  <w:gridSpan w:val="3"/>
                  <w:tcBorders>
                    <w:tl2br w:val="nil"/>
                    <w:tr2bl w:val="nil"/>
                  </w:tcBorders>
                  <w:shd w:val="clear" w:color="auto" w:fill="auto"/>
                  <w:vAlign w:val="center"/>
                </w:tcPr>
                <w:p w14:paraId="1D659F51">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9.4</w:t>
                  </w:r>
                </w:p>
              </w:tc>
              <w:tc>
                <w:tcPr>
                  <w:tcW w:w="507" w:type="pct"/>
                  <w:gridSpan w:val="3"/>
                  <w:tcBorders>
                    <w:tl2br w:val="nil"/>
                    <w:tr2bl w:val="nil"/>
                  </w:tcBorders>
                  <w:shd w:val="clear" w:color="auto" w:fill="auto"/>
                  <w:vAlign w:val="center"/>
                </w:tcPr>
                <w:p w14:paraId="5E9DAAE9">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68.559</w:t>
                  </w:r>
                </w:p>
              </w:tc>
              <w:tc>
                <w:tcPr>
                  <w:tcW w:w="493" w:type="pct"/>
                  <w:gridSpan w:val="3"/>
                  <w:tcBorders>
                    <w:tl2br w:val="nil"/>
                    <w:tr2bl w:val="nil"/>
                  </w:tcBorders>
                  <w:shd w:val="clear" w:color="auto" w:fill="auto"/>
                  <w:vAlign w:val="center"/>
                </w:tcPr>
                <w:p w14:paraId="61B2873B">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210.959 </w:t>
                  </w:r>
                </w:p>
              </w:tc>
              <w:tc>
                <w:tcPr>
                  <w:tcW w:w="519" w:type="pct"/>
                  <w:gridSpan w:val="3"/>
                  <w:tcBorders>
                    <w:tl2br w:val="nil"/>
                    <w:tr2bl w:val="nil"/>
                  </w:tcBorders>
                  <w:shd w:val="clear" w:color="auto" w:fill="auto"/>
                  <w:vAlign w:val="center"/>
                </w:tcPr>
                <w:p w14:paraId="18FAD36E">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1983.015 </w:t>
                  </w:r>
                </w:p>
              </w:tc>
              <w:tc>
                <w:tcPr>
                  <w:tcW w:w="572" w:type="pct"/>
                  <w:gridSpan w:val="3"/>
                  <w:tcBorders>
                    <w:tl2br w:val="nil"/>
                    <w:tr2bl w:val="nil"/>
                  </w:tcBorders>
                  <w:shd w:val="clear" w:color="auto" w:fill="auto"/>
                  <w:vAlign w:val="center"/>
                </w:tcPr>
                <w:p w14:paraId="698DD323">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18.176 </w:t>
                  </w:r>
                </w:p>
              </w:tc>
              <w:tc>
                <w:tcPr>
                  <w:tcW w:w="523" w:type="pct"/>
                  <w:gridSpan w:val="3"/>
                  <w:tcBorders>
                    <w:tl2br w:val="nil"/>
                    <w:tr2bl w:val="nil"/>
                  </w:tcBorders>
                  <w:shd w:val="clear" w:color="auto" w:fill="auto"/>
                  <w:vAlign w:val="center"/>
                </w:tcPr>
                <w:p w14:paraId="00E9DE0E">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14463.138 </w:t>
                  </w:r>
                </w:p>
              </w:tc>
              <w:tc>
                <w:tcPr>
                  <w:tcW w:w="503" w:type="pct"/>
                  <w:gridSpan w:val="3"/>
                  <w:tcBorders>
                    <w:tl2br w:val="nil"/>
                    <w:tr2bl w:val="nil"/>
                  </w:tcBorders>
                  <w:shd w:val="clear" w:color="auto" w:fill="auto"/>
                  <w:vAlign w:val="center"/>
                </w:tcPr>
                <w:p w14:paraId="26F867A0">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22.462 </w:t>
                  </w:r>
                </w:p>
              </w:tc>
            </w:tr>
            <w:tr w14:paraId="6D6AF6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465" w:hRule="atLeast"/>
              </w:trPr>
              <w:tc>
                <w:tcPr>
                  <w:tcW w:w="407" w:type="pct"/>
                  <w:tcBorders>
                    <w:tl2br w:val="nil"/>
                    <w:tr2bl w:val="nil"/>
                  </w:tcBorders>
                  <w:shd w:val="clear" w:color="auto" w:fill="auto"/>
                  <w:vAlign w:val="center"/>
                </w:tcPr>
                <w:p w14:paraId="40C27767">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草丛生态系统</w:t>
                  </w:r>
                </w:p>
              </w:tc>
              <w:tc>
                <w:tcPr>
                  <w:tcW w:w="335" w:type="pct"/>
                  <w:tcBorders>
                    <w:tl2br w:val="nil"/>
                    <w:tr2bl w:val="nil"/>
                  </w:tcBorders>
                  <w:shd w:val="clear" w:color="auto" w:fill="auto"/>
                  <w:vAlign w:val="center"/>
                </w:tcPr>
                <w:p w14:paraId="7F6B76F4">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草丛</w:t>
                  </w:r>
                </w:p>
              </w:tc>
              <w:tc>
                <w:tcPr>
                  <w:tcW w:w="572" w:type="pct"/>
                  <w:gridSpan w:val="3"/>
                  <w:tcBorders>
                    <w:tl2br w:val="nil"/>
                    <w:tr2bl w:val="nil"/>
                  </w:tcBorders>
                  <w:shd w:val="clear" w:color="auto" w:fill="auto"/>
                  <w:vAlign w:val="center"/>
                </w:tcPr>
                <w:p w14:paraId="58BF7091">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6.6</w:t>
                  </w:r>
                </w:p>
              </w:tc>
              <w:tc>
                <w:tcPr>
                  <w:tcW w:w="507" w:type="pct"/>
                  <w:gridSpan w:val="3"/>
                  <w:tcBorders>
                    <w:tl2br w:val="nil"/>
                    <w:tr2bl w:val="nil"/>
                  </w:tcBorders>
                  <w:shd w:val="clear" w:color="auto" w:fill="auto"/>
                  <w:vAlign w:val="center"/>
                </w:tcPr>
                <w:p w14:paraId="434E4351">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18.69</w:t>
                  </w:r>
                </w:p>
              </w:tc>
              <w:tc>
                <w:tcPr>
                  <w:tcW w:w="493" w:type="pct"/>
                  <w:gridSpan w:val="3"/>
                  <w:tcBorders>
                    <w:tl2br w:val="nil"/>
                    <w:tr2bl w:val="nil"/>
                  </w:tcBorders>
                  <w:shd w:val="clear" w:color="auto" w:fill="auto"/>
                  <w:vAlign w:val="center"/>
                </w:tcPr>
                <w:p w14:paraId="2C794FB2">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116.277 </w:t>
                  </w:r>
                </w:p>
              </w:tc>
              <w:tc>
                <w:tcPr>
                  <w:tcW w:w="519" w:type="pct"/>
                  <w:gridSpan w:val="3"/>
                  <w:tcBorders>
                    <w:tl2br w:val="nil"/>
                    <w:tr2bl w:val="nil"/>
                  </w:tcBorders>
                  <w:shd w:val="clear" w:color="auto" w:fill="auto"/>
                  <w:vAlign w:val="center"/>
                </w:tcPr>
                <w:p w14:paraId="44F32E44">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767.428 </w:t>
                  </w:r>
                </w:p>
              </w:tc>
              <w:tc>
                <w:tcPr>
                  <w:tcW w:w="572" w:type="pct"/>
                  <w:gridSpan w:val="3"/>
                  <w:tcBorders>
                    <w:tl2br w:val="nil"/>
                    <w:tr2bl w:val="nil"/>
                  </w:tcBorders>
                  <w:shd w:val="clear" w:color="auto" w:fill="auto"/>
                  <w:vAlign w:val="center"/>
                </w:tcPr>
                <w:p w14:paraId="4042AEEF">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7.034 </w:t>
                  </w:r>
                </w:p>
              </w:tc>
              <w:tc>
                <w:tcPr>
                  <w:tcW w:w="523" w:type="pct"/>
                  <w:gridSpan w:val="3"/>
                  <w:tcBorders>
                    <w:tl2br w:val="nil"/>
                    <w:tr2bl w:val="nil"/>
                  </w:tcBorders>
                  <w:shd w:val="clear" w:color="auto" w:fill="auto"/>
                  <w:vAlign w:val="center"/>
                </w:tcPr>
                <w:p w14:paraId="593DE48F">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2173.217 </w:t>
                  </w:r>
                </w:p>
              </w:tc>
              <w:tc>
                <w:tcPr>
                  <w:tcW w:w="503" w:type="pct"/>
                  <w:gridSpan w:val="3"/>
                  <w:tcBorders>
                    <w:tl2br w:val="nil"/>
                    <w:tr2bl w:val="nil"/>
                  </w:tcBorders>
                  <w:shd w:val="clear" w:color="auto" w:fill="auto"/>
                  <w:vAlign w:val="center"/>
                </w:tcPr>
                <w:p w14:paraId="367624B5">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3.375 </w:t>
                  </w:r>
                </w:p>
              </w:tc>
            </w:tr>
            <w:tr w14:paraId="02B90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300" w:hRule="atLeast"/>
              </w:trPr>
              <w:tc>
                <w:tcPr>
                  <w:tcW w:w="407" w:type="pct"/>
                  <w:tcBorders>
                    <w:tl2br w:val="nil"/>
                    <w:tr2bl w:val="nil"/>
                  </w:tcBorders>
                  <w:shd w:val="clear" w:color="auto" w:fill="auto"/>
                  <w:vAlign w:val="center"/>
                </w:tcPr>
                <w:p w14:paraId="3B85B977">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农田生态系统</w:t>
                  </w:r>
                </w:p>
              </w:tc>
              <w:tc>
                <w:tcPr>
                  <w:tcW w:w="335" w:type="pct"/>
                  <w:tcBorders>
                    <w:tl2br w:val="nil"/>
                    <w:tr2bl w:val="nil"/>
                  </w:tcBorders>
                  <w:shd w:val="clear" w:color="auto" w:fill="auto"/>
                  <w:vAlign w:val="center"/>
                </w:tcPr>
                <w:p w14:paraId="1428DEAD">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耕地</w:t>
                  </w:r>
                </w:p>
              </w:tc>
              <w:tc>
                <w:tcPr>
                  <w:tcW w:w="572" w:type="pct"/>
                  <w:gridSpan w:val="3"/>
                  <w:tcBorders>
                    <w:tl2br w:val="nil"/>
                    <w:tr2bl w:val="nil"/>
                  </w:tcBorders>
                  <w:shd w:val="clear" w:color="auto" w:fill="auto"/>
                  <w:vAlign w:val="center"/>
                </w:tcPr>
                <w:p w14:paraId="7EF36185">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6.5</w:t>
                  </w:r>
                </w:p>
              </w:tc>
              <w:tc>
                <w:tcPr>
                  <w:tcW w:w="507" w:type="pct"/>
                  <w:gridSpan w:val="3"/>
                  <w:tcBorders>
                    <w:tl2br w:val="nil"/>
                    <w:tr2bl w:val="nil"/>
                  </w:tcBorders>
                  <w:shd w:val="clear" w:color="auto" w:fill="auto"/>
                  <w:vAlign w:val="center"/>
                </w:tcPr>
                <w:p w14:paraId="59F120E1">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17.58</w:t>
                  </w:r>
                </w:p>
              </w:tc>
              <w:tc>
                <w:tcPr>
                  <w:tcW w:w="493" w:type="pct"/>
                  <w:gridSpan w:val="3"/>
                  <w:tcBorders>
                    <w:tl2br w:val="nil"/>
                    <w:tr2bl w:val="nil"/>
                  </w:tcBorders>
                  <w:shd w:val="clear" w:color="auto" w:fill="auto"/>
                  <w:vAlign w:val="center"/>
                </w:tcPr>
                <w:p w14:paraId="1287316E">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469.754 </w:t>
                  </w:r>
                </w:p>
              </w:tc>
              <w:tc>
                <w:tcPr>
                  <w:tcW w:w="519" w:type="pct"/>
                  <w:gridSpan w:val="3"/>
                  <w:tcBorders>
                    <w:tl2br w:val="nil"/>
                    <w:tr2bl w:val="nil"/>
                  </w:tcBorders>
                  <w:shd w:val="clear" w:color="auto" w:fill="auto"/>
                  <w:vAlign w:val="center"/>
                </w:tcPr>
                <w:p w14:paraId="67800CB2">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3053.401 </w:t>
                  </w:r>
                </w:p>
              </w:tc>
              <w:tc>
                <w:tcPr>
                  <w:tcW w:w="572" w:type="pct"/>
                  <w:gridSpan w:val="3"/>
                  <w:tcBorders>
                    <w:tl2br w:val="nil"/>
                    <w:tr2bl w:val="nil"/>
                  </w:tcBorders>
                  <w:shd w:val="clear" w:color="auto" w:fill="auto"/>
                  <w:vAlign w:val="center"/>
                </w:tcPr>
                <w:p w14:paraId="3673EA4C">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27.987 </w:t>
                  </w:r>
                </w:p>
              </w:tc>
              <w:tc>
                <w:tcPr>
                  <w:tcW w:w="523" w:type="pct"/>
                  <w:gridSpan w:val="3"/>
                  <w:tcBorders>
                    <w:tl2br w:val="nil"/>
                    <w:tr2bl w:val="nil"/>
                  </w:tcBorders>
                  <w:shd w:val="clear" w:color="auto" w:fill="auto"/>
                  <w:vAlign w:val="center"/>
                </w:tcPr>
                <w:p w14:paraId="17F03317">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8258.275 </w:t>
                  </w:r>
                </w:p>
              </w:tc>
              <w:tc>
                <w:tcPr>
                  <w:tcW w:w="503" w:type="pct"/>
                  <w:gridSpan w:val="3"/>
                  <w:tcBorders>
                    <w:tl2br w:val="nil"/>
                    <w:tr2bl w:val="nil"/>
                  </w:tcBorders>
                  <w:shd w:val="clear" w:color="auto" w:fill="auto"/>
                  <w:vAlign w:val="center"/>
                </w:tcPr>
                <w:p w14:paraId="74E4A5C9">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12.825 </w:t>
                  </w:r>
                </w:p>
              </w:tc>
            </w:tr>
            <w:tr w14:paraId="05EDB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568" w:type="pct"/>
                <w:trHeight w:val="465" w:hRule="atLeast"/>
              </w:trPr>
              <w:tc>
                <w:tcPr>
                  <w:tcW w:w="407" w:type="pct"/>
                  <w:tcBorders>
                    <w:tl2br w:val="nil"/>
                    <w:tr2bl w:val="nil"/>
                  </w:tcBorders>
                  <w:shd w:val="clear" w:color="auto" w:fill="auto"/>
                  <w:vAlign w:val="center"/>
                </w:tcPr>
                <w:p w14:paraId="0F099F65">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湿地生态系统</w:t>
                  </w:r>
                </w:p>
              </w:tc>
              <w:tc>
                <w:tcPr>
                  <w:tcW w:w="335" w:type="pct"/>
                  <w:tcBorders>
                    <w:tl2br w:val="nil"/>
                    <w:tr2bl w:val="nil"/>
                  </w:tcBorders>
                  <w:shd w:val="clear" w:color="auto" w:fill="auto"/>
                  <w:vAlign w:val="center"/>
                </w:tcPr>
                <w:p w14:paraId="7F3490B3">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河流</w:t>
                  </w:r>
                </w:p>
              </w:tc>
              <w:tc>
                <w:tcPr>
                  <w:tcW w:w="572" w:type="pct"/>
                  <w:gridSpan w:val="3"/>
                  <w:tcBorders>
                    <w:tl2br w:val="nil"/>
                    <w:tr2bl w:val="nil"/>
                  </w:tcBorders>
                  <w:shd w:val="clear" w:color="auto" w:fill="auto"/>
                  <w:vAlign w:val="center"/>
                </w:tcPr>
                <w:p w14:paraId="1EA01DE9">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4</w:t>
                  </w:r>
                </w:p>
              </w:tc>
              <w:tc>
                <w:tcPr>
                  <w:tcW w:w="507" w:type="pct"/>
                  <w:gridSpan w:val="3"/>
                  <w:tcBorders>
                    <w:tl2br w:val="nil"/>
                    <w:tr2bl w:val="nil"/>
                  </w:tcBorders>
                  <w:shd w:val="clear" w:color="auto" w:fill="auto"/>
                  <w:vAlign w:val="center"/>
                </w:tcPr>
                <w:p w14:paraId="7FA84949">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16.88</w:t>
                  </w:r>
                </w:p>
              </w:tc>
              <w:tc>
                <w:tcPr>
                  <w:tcW w:w="493" w:type="pct"/>
                  <w:gridSpan w:val="3"/>
                  <w:tcBorders>
                    <w:tl2br w:val="nil"/>
                    <w:tr2bl w:val="nil"/>
                  </w:tcBorders>
                  <w:shd w:val="clear" w:color="auto" w:fill="auto"/>
                  <w:vAlign w:val="center"/>
                </w:tcPr>
                <w:p w14:paraId="761066F5">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6.025 </w:t>
                  </w:r>
                </w:p>
              </w:tc>
              <w:tc>
                <w:tcPr>
                  <w:tcW w:w="519" w:type="pct"/>
                  <w:gridSpan w:val="3"/>
                  <w:tcBorders>
                    <w:tl2br w:val="nil"/>
                    <w:tr2bl w:val="nil"/>
                  </w:tcBorders>
                  <w:shd w:val="clear" w:color="auto" w:fill="auto"/>
                  <w:vAlign w:val="center"/>
                </w:tcPr>
                <w:p w14:paraId="6E4AC581">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24.100 </w:t>
                  </w:r>
                </w:p>
              </w:tc>
              <w:tc>
                <w:tcPr>
                  <w:tcW w:w="572" w:type="pct"/>
                  <w:gridSpan w:val="3"/>
                  <w:tcBorders>
                    <w:tl2br w:val="nil"/>
                    <w:tr2bl w:val="nil"/>
                  </w:tcBorders>
                  <w:shd w:val="clear" w:color="auto" w:fill="auto"/>
                  <w:vAlign w:val="center"/>
                </w:tcPr>
                <w:p w14:paraId="4587D37C">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0.221 </w:t>
                  </w:r>
                </w:p>
              </w:tc>
              <w:tc>
                <w:tcPr>
                  <w:tcW w:w="523" w:type="pct"/>
                  <w:gridSpan w:val="3"/>
                  <w:tcBorders>
                    <w:tl2br w:val="nil"/>
                    <w:tr2bl w:val="nil"/>
                  </w:tcBorders>
                  <w:shd w:val="clear" w:color="auto" w:fill="auto"/>
                  <w:vAlign w:val="center"/>
                </w:tcPr>
                <w:p w14:paraId="06C90C00">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101.702 </w:t>
                  </w:r>
                </w:p>
              </w:tc>
              <w:tc>
                <w:tcPr>
                  <w:tcW w:w="503" w:type="pct"/>
                  <w:gridSpan w:val="3"/>
                  <w:tcBorders>
                    <w:tl2br w:val="nil"/>
                    <w:tr2bl w:val="nil"/>
                  </w:tcBorders>
                  <w:shd w:val="clear" w:color="auto" w:fill="auto"/>
                  <w:vAlign w:val="center"/>
                </w:tcPr>
                <w:p w14:paraId="69DE0835">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0.158 </w:t>
                  </w:r>
                </w:p>
              </w:tc>
            </w:tr>
            <w:tr w14:paraId="571E99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42" w:type="pct"/>
                  <w:gridSpan w:val="4"/>
                  <w:tcBorders>
                    <w:tl2br w:val="nil"/>
                    <w:tr2bl w:val="nil"/>
                  </w:tcBorders>
                  <w:shd w:val="clear" w:color="auto" w:fill="auto"/>
                  <w:vAlign w:val="center"/>
                </w:tcPr>
                <w:p w14:paraId="0BF3A646">
                  <w:pPr>
                    <w:adjustRightInd w:val="0"/>
                    <w:snapToGrid w:val="0"/>
                    <w:jc w:val="center"/>
                    <w:rPr>
                      <w:rFonts w:ascii="Times New Roman" w:hAnsi="Times New Roman"/>
                      <w:color w:val="auto"/>
                      <w:kern w:val="0"/>
                      <w:sz w:val="18"/>
                      <w:szCs w:val="18"/>
                    </w:rPr>
                  </w:pPr>
                  <w:r>
                    <w:rPr>
                      <w:rFonts w:hint="eastAsia" w:ascii="Times New Roman" w:hAnsi="Times New Roman"/>
                      <w:color w:val="auto"/>
                      <w:kern w:val="0"/>
                      <w:sz w:val="18"/>
                      <w:szCs w:val="18"/>
                    </w:rPr>
                    <w:t>合计</w:t>
                  </w:r>
                </w:p>
              </w:tc>
              <w:tc>
                <w:tcPr>
                  <w:tcW w:w="572" w:type="pct"/>
                  <w:gridSpan w:val="3"/>
                  <w:tcBorders>
                    <w:tl2br w:val="nil"/>
                    <w:tr2bl w:val="nil"/>
                  </w:tcBorders>
                  <w:shd w:val="clear" w:color="auto" w:fill="auto"/>
                  <w:vAlign w:val="center"/>
                </w:tcPr>
                <w:p w14:paraId="1D3E7551">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w:t>
                  </w:r>
                </w:p>
              </w:tc>
              <w:tc>
                <w:tcPr>
                  <w:tcW w:w="507" w:type="pct"/>
                  <w:gridSpan w:val="3"/>
                  <w:tcBorders>
                    <w:tl2br w:val="nil"/>
                    <w:tr2bl w:val="nil"/>
                  </w:tcBorders>
                  <w:shd w:val="clear" w:color="auto" w:fill="auto"/>
                  <w:vAlign w:val="center"/>
                </w:tcPr>
                <w:p w14:paraId="00276C83">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w:t>
                  </w:r>
                </w:p>
              </w:tc>
              <w:tc>
                <w:tcPr>
                  <w:tcW w:w="493" w:type="pct"/>
                  <w:gridSpan w:val="3"/>
                  <w:tcBorders>
                    <w:tl2br w:val="nil"/>
                    <w:tr2bl w:val="nil"/>
                  </w:tcBorders>
                  <w:shd w:val="clear" w:color="auto" w:fill="auto"/>
                  <w:vAlign w:val="center"/>
                </w:tcPr>
                <w:p w14:paraId="037A8707">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w:t>
                  </w:r>
                </w:p>
              </w:tc>
              <w:tc>
                <w:tcPr>
                  <w:tcW w:w="519" w:type="pct"/>
                  <w:gridSpan w:val="3"/>
                  <w:tcBorders>
                    <w:tl2br w:val="nil"/>
                    <w:tr2bl w:val="nil"/>
                  </w:tcBorders>
                  <w:shd w:val="clear" w:color="auto" w:fill="auto"/>
                  <w:vAlign w:val="center"/>
                </w:tcPr>
                <w:p w14:paraId="0E9ADC2F">
                  <w:pPr>
                    <w:adjustRightInd w:val="0"/>
                    <w:snapToGrid w:val="0"/>
                    <w:jc w:val="center"/>
                    <w:rPr>
                      <w:rFonts w:ascii="Times New Roman" w:hAnsi="Times New Roman"/>
                      <w:color w:val="auto"/>
                      <w:kern w:val="0"/>
                      <w:sz w:val="18"/>
                      <w:szCs w:val="18"/>
                    </w:rPr>
                  </w:pPr>
                  <w:r>
                    <w:rPr>
                      <w:rFonts w:ascii="Times New Roman" w:hAnsi="Times New Roman"/>
                      <w:color w:val="auto"/>
                      <w:kern w:val="0"/>
                      <w:sz w:val="18"/>
                      <w:szCs w:val="18"/>
                    </w:rPr>
                    <w:t xml:space="preserve">10909.950 </w:t>
                  </w:r>
                </w:p>
              </w:tc>
              <w:tc>
                <w:tcPr>
                  <w:tcW w:w="572" w:type="pct"/>
                  <w:gridSpan w:val="3"/>
                  <w:tcBorders>
                    <w:tl2br w:val="nil"/>
                    <w:tr2bl w:val="nil"/>
                  </w:tcBorders>
                  <w:shd w:val="clear" w:color="auto" w:fill="auto"/>
                  <w:vAlign w:val="center"/>
                </w:tcPr>
                <w:p w14:paraId="65FDA13E">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10909.946 </w:t>
                  </w:r>
                </w:p>
              </w:tc>
              <w:tc>
                <w:tcPr>
                  <w:tcW w:w="523" w:type="pct"/>
                  <w:gridSpan w:val="3"/>
                  <w:tcBorders>
                    <w:tl2br w:val="nil"/>
                    <w:tr2bl w:val="nil"/>
                  </w:tcBorders>
                  <w:shd w:val="clear" w:color="auto" w:fill="auto"/>
                  <w:vAlign w:val="center"/>
                </w:tcPr>
                <w:p w14:paraId="4E1FBAF3">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100.000 </w:t>
                  </w:r>
                </w:p>
              </w:tc>
              <w:tc>
                <w:tcPr>
                  <w:tcW w:w="503" w:type="pct"/>
                  <w:gridSpan w:val="3"/>
                  <w:tcBorders>
                    <w:tl2br w:val="nil"/>
                    <w:tr2bl w:val="nil"/>
                  </w:tcBorders>
                  <w:shd w:val="clear" w:color="auto" w:fill="auto"/>
                  <w:vAlign w:val="center"/>
                </w:tcPr>
                <w:p w14:paraId="3253E255">
                  <w:pPr>
                    <w:adjustRightInd w:val="0"/>
                    <w:snapToGrid w:val="0"/>
                    <w:jc w:val="center"/>
                    <w:rPr>
                      <w:rFonts w:ascii="Times New Roman" w:hAnsi="Times New Roman"/>
                      <w:color w:val="auto"/>
                      <w:kern w:val="0"/>
                      <w:sz w:val="18"/>
                      <w:szCs w:val="18"/>
                    </w:rPr>
                  </w:pPr>
                  <w:r>
                    <w:rPr>
                      <w:rFonts w:ascii="Times New Roman" w:hAnsi="Times New Roman" w:eastAsia="等线"/>
                      <w:color w:val="auto"/>
                      <w:sz w:val="18"/>
                      <w:szCs w:val="18"/>
                    </w:rPr>
                    <w:t xml:space="preserve">64390.341 </w:t>
                  </w:r>
                </w:p>
              </w:tc>
              <w:tc>
                <w:tcPr>
                  <w:tcW w:w="568" w:type="pct"/>
                  <w:tcBorders>
                    <w:tl2br w:val="nil"/>
                    <w:tr2bl w:val="nil"/>
                  </w:tcBorders>
                  <w:shd w:val="clear" w:color="auto" w:fill="auto"/>
                  <w:vAlign w:val="center"/>
                </w:tcPr>
                <w:p w14:paraId="585BA2C6">
                  <w:pPr>
                    <w:widowControl/>
                    <w:jc w:val="left"/>
                    <w:rPr>
                      <w:color w:val="auto"/>
                    </w:rPr>
                  </w:pPr>
                  <w:r>
                    <w:rPr>
                      <w:rFonts w:ascii="Times New Roman" w:hAnsi="Times New Roman" w:eastAsia="等线"/>
                      <w:color w:val="auto"/>
                      <w:sz w:val="18"/>
                      <w:szCs w:val="18"/>
                    </w:rPr>
                    <w:t xml:space="preserve">100.000 </w:t>
                  </w:r>
                </w:p>
              </w:tc>
            </w:tr>
          </w:tbl>
          <w:p w14:paraId="4BF33C9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评价区总生产力约为10909.946t/a，总生物量64390.341t。年生物生产力最高的前三位依次是</w:t>
            </w:r>
            <w:r>
              <w:rPr>
                <w:rFonts w:hint="eastAsia" w:ascii="Times New Roman" w:hAnsi="Times New Roman"/>
                <w:color w:val="auto"/>
                <w:sz w:val="24"/>
                <w:szCs w:val="24"/>
              </w:rPr>
              <w:t>森林生态系统—针叶林</w:t>
            </w:r>
            <w:r>
              <w:rPr>
                <w:rFonts w:ascii="Times New Roman" w:hAnsi="Times New Roman"/>
                <w:color w:val="auto"/>
                <w:sz w:val="24"/>
                <w:szCs w:val="24"/>
              </w:rPr>
              <w:t>、</w:t>
            </w:r>
            <w:r>
              <w:rPr>
                <w:rFonts w:hint="eastAsia" w:ascii="Times New Roman" w:hAnsi="Times New Roman"/>
                <w:color w:val="auto"/>
                <w:sz w:val="24"/>
                <w:szCs w:val="24"/>
              </w:rPr>
              <w:t>灌丛生态系统—</w:t>
            </w:r>
            <w:r>
              <w:rPr>
                <w:rFonts w:ascii="Times New Roman" w:hAnsi="Times New Roman"/>
                <w:color w:val="auto"/>
                <w:sz w:val="24"/>
                <w:szCs w:val="24"/>
              </w:rPr>
              <w:t>阔叶灌丛、</w:t>
            </w:r>
            <w:r>
              <w:rPr>
                <w:rFonts w:hint="eastAsia" w:ascii="Times New Roman" w:hAnsi="Times New Roman"/>
                <w:color w:val="auto"/>
                <w:sz w:val="24"/>
                <w:szCs w:val="24"/>
              </w:rPr>
              <w:t>农田生态系统—</w:t>
            </w:r>
            <w:r>
              <w:rPr>
                <w:rFonts w:ascii="Times New Roman" w:hAnsi="Times New Roman"/>
                <w:color w:val="auto"/>
                <w:sz w:val="24"/>
                <w:szCs w:val="24"/>
              </w:rPr>
              <w:t>。</w:t>
            </w:r>
          </w:p>
          <w:p w14:paraId="4D68EB3D">
            <w:pPr>
              <w:keepNext/>
              <w:keepLines/>
              <w:widowControl/>
              <w:numPr>
                <w:ilvl w:val="3"/>
                <w:numId w:val="0"/>
              </w:numPr>
              <w:adjustRightInd w:val="0"/>
              <w:snapToGrid w:val="0"/>
              <w:spacing w:line="440" w:lineRule="exact"/>
              <w:ind w:firstLine="482" w:firstLineChars="200"/>
              <w:outlineLvl w:val="3"/>
              <w:rPr>
                <w:rFonts w:ascii="Times New Roman" w:hAnsi="Times New Roman"/>
                <w:b/>
                <w:bCs/>
                <w:color w:val="auto"/>
                <w:sz w:val="24"/>
                <w:szCs w:val="24"/>
              </w:rPr>
            </w:pPr>
            <w:r>
              <w:rPr>
                <w:rFonts w:ascii="Times New Roman" w:hAnsi="Times New Roman"/>
                <w:b/>
                <w:bCs/>
                <w:color w:val="auto"/>
                <w:sz w:val="24"/>
                <w:szCs w:val="24"/>
              </w:rPr>
              <w:t>（3）植被覆盖度</w:t>
            </w:r>
          </w:p>
          <w:p w14:paraId="4D155056">
            <w:pPr>
              <w:adjustRightInd w:val="0"/>
              <w:snapToGrid w:val="0"/>
              <w:spacing w:line="440" w:lineRule="exact"/>
              <w:ind w:firstLine="460" w:firstLineChars="200"/>
              <w:rPr>
                <w:rFonts w:ascii="Times New Roman" w:hAnsi="Times New Roman"/>
                <w:color w:val="auto"/>
                <w:sz w:val="24"/>
                <w:szCs w:val="24"/>
              </w:rPr>
            </w:pPr>
            <w:r>
              <w:rPr>
                <w:rFonts w:ascii="Times New Roman" w:hAnsi="Times New Roman"/>
                <w:color w:val="auto"/>
                <w:spacing w:val="-5"/>
                <w:sz w:val="24"/>
                <w:szCs w:val="24"/>
              </w:rPr>
              <w:t>采用植被覆盖度指标定量分析评价范围内植被现状。通过</w:t>
            </w:r>
            <w:r>
              <w:rPr>
                <w:rFonts w:ascii="Times New Roman" w:hAnsi="Times New Roman"/>
                <w:color w:val="auto"/>
                <w:spacing w:val="-6"/>
                <w:sz w:val="24"/>
                <w:szCs w:val="24"/>
              </w:rPr>
              <w:t>遥感手段，采用归</w:t>
            </w:r>
            <w:r>
              <w:rPr>
                <w:rFonts w:ascii="Times New Roman" w:hAnsi="Times New Roman"/>
                <w:color w:val="auto"/>
                <w:spacing w:val="-4"/>
                <w:sz w:val="24"/>
                <w:szCs w:val="24"/>
              </w:rPr>
              <w:t>一化植被指数（NDVI）方法，对评价区的植被覆盖度进行分析</w:t>
            </w:r>
            <w:r>
              <w:rPr>
                <w:rFonts w:ascii="Times New Roman" w:hAnsi="Times New Roman"/>
                <w:color w:val="auto"/>
                <w:spacing w:val="-5"/>
                <w:sz w:val="24"/>
                <w:szCs w:val="24"/>
              </w:rPr>
              <w:t>。NDVI</w:t>
            </w:r>
            <w:r>
              <w:rPr>
                <w:rFonts w:hint="eastAsia" w:ascii="Times New Roman" w:hAnsi="Times New Roman"/>
                <w:color w:val="auto"/>
                <w:spacing w:val="-5"/>
                <w:sz w:val="24"/>
                <w:szCs w:val="24"/>
              </w:rPr>
              <w:t>计算公式</w:t>
            </w:r>
            <w:r>
              <w:rPr>
                <w:rFonts w:ascii="Times New Roman" w:hAnsi="Times New Roman"/>
                <w:color w:val="auto"/>
                <w:spacing w:val="-13"/>
                <w:sz w:val="24"/>
                <w:szCs w:val="24"/>
              </w:rPr>
              <w:t>如下：</w:t>
            </w:r>
          </w:p>
          <w:p w14:paraId="45B7D087">
            <w:pPr>
              <w:adjustRightInd w:val="0"/>
              <w:snapToGrid w:val="0"/>
              <w:spacing w:line="440" w:lineRule="exact"/>
              <w:ind w:firstLine="480" w:firstLineChars="200"/>
              <w:jc w:val="center"/>
              <w:rPr>
                <w:rFonts w:ascii="Times New Roman" w:hAnsi="Times New Roman"/>
                <w:color w:val="auto"/>
                <w:sz w:val="24"/>
                <w:szCs w:val="24"/>
              </w:rPr>
            </w:pPr>
            <w:r>
              <w:rPr>
                <w:rFonts w:ascii="Times New Roman" w:hAnsi="Times New Roman"/>
                <w:color w:val="auto"/>
                <w:sz w:val="24"/>
                <w:szCs w:val="24"/>
              </w:rPr>
              <w:t>NDVI=(NIR-R)/(NIR+R)</w:t>
            </w:r>
          </w:p>
          <w:p w14:paraId="37C7AA5A">
            <w:pPr>
              <w:adjustRightInd w:val="0"/>
              <w:snapToGrid w:val="0"/>
              <w:spacing w:line="440" w:lineRule="exact"/>
              <w:ind w:firstLine="472" w:firstLineChars="200"/>
              <w:rPr>
                <w:rFonts w:ascii="Times New Roman" w:hAnsi="Times New Roman"/>
                <w:color w:val="auto"/>
                <w:sz w:val="24"/>
                <w:szCs w:val="24"/>
              </w:rPr>
            </w:pPr>
            <w:r>
              <w:rPr>
                <w:rFonts w:ascii="Times New Roman" w:hAnsi="Times New Roman"/>
                <w:color w:val="auto"/>
                <w:spacing w:val="-2"/>
                <w:sz w:val="24"/>
                <w:szCs w:val="24"/>
              </w:rPr>
              <w:t>其中：NIR为近红外波段，R为红波段。</w:t>
            </w:r>
          </w:p>
          <w:p w14:paraId="01DF1A56">
            <w:pPr>
              <w:adjustRightInd w:val="0"/>
              <w:snapToGrid w:val="0"/>
              <w:spacing w:line="440" w:lineRule="exact"/>
              <w:ind w:firstLine="472" w:firstLineChars="200"/>
              <w:rPr>
                <w:rFonts w:ascii="Times New Roman" w:hAnsi="Times New Roman"/>
                <w:color w:val="auto"/>
                <w:sz w:val="24"/>
                <w:szCs w:val="24"/>
              </w:rPr>
            </w:pPr>
            <w:r>
              <w:rPr>
                <w:rFonts w:ascii="Times New Roman" w:hAnsi="Times New Roman"/>
                <w:color w:val="auto"/>
                <w:spacing w:val="-2"/>
                <w:sz w:val="24"/>
                <w:szCs w:val="24"/>
              </w:rPr>
              <w:t>基于NDVI，采用像元二分模型计算植被覆盖度，</w:t>
            </w:r>
            <w:r>
              <w:rPr>
                <w:rFonts w:ascii="Times New Roman" w:hAnsi="Times New Roman"/>
                <w:color w:val="auto"/>
                <w:spacing w:val="-3"/>
                <w:sz w:val="24"/>
                <w:szCs w:val="24"/>
              </w:rPr>
              <w:t>公式如下：</w:t>
            </w:r>
          </w:p>
          <w:p w14:paraId="67020E56">
            <w:pPr>
              <w:adjustRightInd w:val="0"/>
              <w:snapToGrid w:val="0"/>
              <w:spacing w:line="440" w:lineRule="exact"/>
              <w:ind w:firstLine="480" w:firstLineChars="200"/>
              <w:jc w:val="center"/>
              <w:rPr>
                <w:rFonts w:ascii="Times New Roman" w:hAnsi="Times New Roman"/>
                <w:color w:val="auto"/>
                <w:sz w:val="24"/>
                <w:szCs w:val="24"/>
              </w:rPr>
            </w:pPr>
            <w:r>
              <w:rPr>
                <w:rFonts w:ascii="Times New Roman" w:hAnsi="Times New Roman"/>
                <w:color w:val="auto"/>
                <w:sz w:val="24"/>
                <w:szCs w:val="24"/>
              </w:rPr>
              <w:t>FVC=(NDVI-NDVIs)/(NDVIv</w:t>
            </w:r>
            <w:r>
              <w:rPr>
                <w:rFonts w:ascii="Times New Roman" w:hAnsi="Times New Roman"/>
                <w:color w:val="auto"/>
                <w:spacing w:val="-1"/>
                <w:sz w:val="24"/>
                <w:szCs w:val="24"/>
              </w:rPr>
              <w:t>-NDVIs)</w:t>
            </w:r>
          </w:p>
          <w:p w14:paraId="54ECE2D1">
            <w:pPr>
              <w:adjustRightInd w:val="0"/>
              <w:snapToGrid w:val="0"/>
              <w:spacing w:line="440" w:lineRule="exact"/>
              <w:ind w:firstLine="468" w:firstLineChars="200"/>
              <w:rPr>
                <w:rFonts w:ascii="Times New Roman" w:hAnsi="Times New Roman"/>
                <w:color w:val="auto"/>
                <w:spacing w:val="7"/>
                <w:sz w:val="24"/>
                <w:szCs w:val="24"/>
              </w:rPr>
            </w:pPr>
            <w:r>
              <w:rPr>
                <w:rFonts w:ascii="Times New Roman" w:hAnsi="Times New Roman"/>
                <w:color w:val="auto"/>
                <w:spacing w:val="-3"/>
                <w:sz w:val="24"/>
                <w:szCs w:val="24"/>
              </w:rPr>
              <w:t>式中：FVC—所计算像元的植被覆盖度；</w:t>
            </w:r>
          </w:p>
          <w:p w14:paraId="1EC65A26">
            <w:pPr>
              <w:adjustRightInd w:val="0"/>
              <w:snapToGrid w:val="0"/>
              <w:spacing w:line="440" w:lineRule="exact"/>
              <w:ind w:firstLine="476" w:firstLineChars="200"/>
              <w:rPr>
                <w:rFonts w:ascii="Times New Roman" w:hAnsi="Times New Roman"/>
                <w:color w:val="auto"/>
                <w:sz w:val="24"/>
                <w:szCs w:val="24"/>
              </w:rPr>
            </w:pPr>
            <w:r>
              <w:rPr>
                <w:rFonts w:ascii="Times New Roman" w:hAnsi="Times New Roman"/>
                <w:i/>
                <w:iCs/>
                <w:color w:val="auto"/>
                <w:spacing w:val="-1"/>
                <w:sz w:val="24"/>
                <w:szCs w:val="24"/>
              </w:rPr>
              <w:t>NDVI</w:t>
            </w:r>
            <w:r>
              <w:rPr>
                <w:rFonts w:ascii="Times New Roman" w:hAnsi="Times New Roman"/>
                <w:color w:val="auto"/>
                <w:spacing w:val="-1"/>
                <w:sz w:val="24"/>
                <w:szCs w:val="24"/>
              </w:rPr>
              <w:t>—所计算像元的</w:t>
            </w:r>
            <w:r>
              <w:rPr>
                <w:rFonts w:ascii="Times New Roman" w:hAnsi="Times New Roman"/>
                <w:i/>
                <w:iCs/>
                <w:color w:val="auto"/>
                <w:spacing w:val="-1"/>
                <w:sz w:val="24"/>
                <w:szCs w:val="24"/>
              </w:rPr>
              <w:t>NDVI</w:t>
            </w:r>
            <w:r>
              <w:rPr>
                <w:rFonts w:ascii="Times New Roman" w:hAnsi="Times New Roman"/>
                <w:color w:val="auto"/>
                <w:spacing w:val="-1"/>
                <w:sz w:val="24"/>
                <w:szCs w:val="24"/>
              </w:rPr>
              <w:t>值；</w:t>
            </w:r>
          </w:p>
          <w:p w14:paraId="3A7D1EB3">
            <w:pPr>
              <w:adjustRightInd w:val="0"/>
              <w:snapToGrid w:val="0"/>
              <w:spacing w:line="440" w:lineRule="exact"/>
              <w:ind w:firstLine="476" w:firstLineChars="200"/>
              <w:rPr>
                <w:rFonts w:ascii="Times New Roman" w:hAnsi="Times New Roman"/>
                <w:color w:val="auto"/>
                <w:sz w:val="24"/>
                <w:szCs w:val="24"/>
              </w:rPr>
            </w:pPr>
            <w:r>
              <w:rPr>
                <w:rFonts w:ascii="Times New Roman" w:hAnsi="Times New Roman"/>
                <w:i/>
                <w:iCs/>
                <w:color w:val="auto"/>
                <w:spacing w:val="-1"/>
                <w:sz w:val="24"/>
                <w:szCs w:val="24"/>
              </w:rPr>
              <w:t>NDVIv</w:t>
            </w:r>
            <w:r>
              <w:rPr>
                <w:rFonts w:ascii="Times New Roman" w:hAnsi="Times New Roman"/>
                <w:color w:val="auto"/>
                <w:spacing w:val="-1"/>
                <w:sz w:val="24"/>
                <w:szCs w:val="24"/>
              </w:rPr>
              <w:t>—纯植物像元的</w:t>
            </w:r>
            <w:r>
              <w:rPr>
                <w:rFonts w:ascii="Times New Roman" w:hAnsi="Times New Roman"/>
                <w:i/>
                <w:iCs/>
                <w:color w:val="auto"/>
                <w:spacing w:val="-1"/>
                <w:sz w:val="24"/>
                <w:szCs w:val="24"/>
              </w:rPr>
              <w:t>NDVI</w:t>
            </w:r>
            <w:r>
              <w:rPr>
                <w:rFonts w:ascii="Times New Roman" w:hAnsi="Times New Roman"/>
                <w:color w:val="auto"/>
                <w:spacing w:val="-1"/>
                <w:sz w:val="24"/>
                <w:szCs w:val="24"/>
              </w:rPr>
              <w:t>值；</w:t>
            </w:r>
          </w:p>
          <w:p w14:paraId="6D0F8A0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i/>
                <w:iCs/>
                <w:color w:val="auto"/>
                <w:sz w:val="24"/>
                <w:szCs w:val="24"/>
              </w:rPr>
              <w:t>NDVIs</w:t>
            </w:r>
            <w:r>
              <w:rPr>
                <w:rFonts w:ascii="Times New Roman" w:hAnsi="Times New Roman"/>
                <w:color w:val="auto"/>
                <w:sz w:val="24"/>
                <w:szCs w:val="24"/>
              </w:rPr>
              <w:t>—完全无植被覆盖像元的</w:t>
            </w:r>
            <w:r>
              <w:rPr>
                <w:rFonts w:ascii="Times New Roman" w:hAnsi="Times New Roman"/>
                <w:i/>
                <w:iCs/>
                <w:color w:val="auto"/>
                <w:sz w:val="24"/>
                <w:szCs w:val="24"/>
              </w:rPr>
              <w:t>NDVI</w:t>
            </w:r>
            <w:r>
              <w:rPr>
                <w:rFonts w:ascii="Times New Roman" w:hAnsi="Times New Roman"/>
                <w:color w:val="auto"/>
                <w:sz w:val="24"/>
                <w:szCs w:val="24"/>
              </w:rPr>
              <w:t>值。</w:t>
            </w:r>
          </w:p>
          <w:p w14:paraId="082EEF96">
            <w:pPr>
              <w:adjustRightInd w:val="0"/>
              <w:snapToGrid w:val="0"/>
              <w:spacing w:line="440" w:lineRule="exact"/>
              <w:ind w:firstLine="472" w:firstLineChars="200"/>
              <w:rPr>
                <w:rFonts w:ascii="Times New Roman" w:hAnsi="Times New Roman"/>
                <w:color w:val="auto"/>
                <w:spacing w:val="-2"/>
                <w:sz w:val="24"/>
                <w:szCs w:val="24"/>
              </w:rPr>
            </w:pPr>
            <w:r>
              <w:rPr>
                <w:rFonts w:ascii="Times New Roman" w:hAnsi="Times New Roman"/>
                <w:color w:val="auto"/>
                <w:spacing w:val="-2"/>
                <w:sz w:val="24"/>
                <w:szCs w:val="24"/>
              </w:rPr>
              <w:t>本次计算采用的遥感影像数据经过辐射校正、几何校正、辐射定标和大气校正。采用ENVI软件平台计算FVC，并用GIS软件制作评价范围内植被覆盖度空间分布图。</w:t>
            </w:r>
          </w:p>
          <w:p w14:paraId="0BA9F415">
            <w:pPr>
              <w:adjustRightInd w:val="0"/>
              <w:snapToGrid w:val="0"/>
              <w:spacing w:line="440" w:lineRule="exact"/>
              <w:ind w:firstLine="472" w:firstLineChars="200"/>
              <w:rPr>
                <w:rFonts w:ascii="Times New Roman" w:hAnsi="Times New Roman"/>
                <w:color w:val="auto"/>
                <w:spacing w:val="-2"/>
                <w:sz w:val="24"/>
                <w:szCs w:val="24"/>
              </w:rPr>
            </w:pPr>
            <w:r>
              <w:rPr>
                <w:rFonts w:ascii="Times New Roman" w:hAnsi="Times New Roman"/>
                <w:color w:val="auto"/>
                <w:spacing w:val="-2"/>
                <w:sz w:val="24"/>
                <w:szCs w:val="24"/>
              </w:rPr>
              <w:t>基于植被覆盖度（FVC）栅格数据开展分区统计分析，评价区植被覆盖度以中低覆盖度（20%~40%）为主，分布面积570.704hm²，占评价区总面积43.13%；其次为中覆盖度（40%~60%），面积502.980hm²，占比38.01%；中高覆盖度（60%~80%）面积 234.905hm²，占比17.75%；高覆盖度（≥80%）、低覆盖度（0~20%）分布面积均很小，占比分别仅0.62%、0.49%。对评价区植被覆盖度开展全域空间均值计算，区域平均植被覆盖度整体处于中等层级，评价区各植被覆盖度等级面积及占比统计详见</w:t>
            </w:r>
            <w:r>
              <w:rPr>
                <w:rFonts w:hint="eastAsia" w:ascii="Times New Roman" w:hAnsi="Times New Roman"/>
                <w:color w:val="auto"/>
                <w:spacing w:val="-2"/>
                <w:sz w:val="24"/>
                <w:szCs w:val="24"/>
              </w:rPr>
              <w:t>下表</w:t>
            </w:r>
            <w:r>
              <w:rPr>
                <w:rFonts w:ascii="Times New Roman" w:hAnsi="Times New Roman"/>
                <w:color w:val="auto"/>
                <w:spacing w:val="-2"/>
                <w:sz w:val="24"/>
                <w:szCs w:val="24"/>
              </w:rPr>
              <w:t>。</w:t>
            </w:r>
          </w:p>
          <w:p w14:paraId="12059203">
            <w:pPr>
              <w:adjustRightInd w:val="0"/>
              <w:snapToGrid w:val="0"/>
              <w:jc w:val="center"/>
              <w:rPr>
                <w:rFonts w:ascii="Times New Roman" w:hAnsi="Times New Roman"/>
                <w:b/>
                <w:bCs/>
                <w:color w:val="auto"/>
                <w:sz w:val="24"/>
                <w:szCs w:val="36"/>
              </w:rPr>
            </w:pPr>
            <w:r>
              <w:rPr>
                <w:rFonts w:ascii="Times New Roman" w:hAnsi="Times New Roman"/>
                <w:b/>
                <w:bCs/>
                <w:color w:val="auto"/>
                <w:sz w:val="24"/>
                <w:szCs w:val="36"/>
              </w:rPr>
              <w:t>表</w:t>
            </w:r>
            <w:r>
              <w:rPr>
                <w:rFonts w:hint="eastAsia" w:ascii="Times New Roman" w:hAnsi="Times New Roman"/>
                <w:b/>
                <w:bCs/>
                <w:color w:val="auto"/>
                <w:sz w:val="24"/>
                <w:szCs w:val="36"/>
              </w:rPr>
              <w:t>3-23</w:t>
            </w:r>
            <w:r>
              <w:rPr>
                <w:rFonts w:ascii="Times New Roman" w:hAnsi="Times New Roman"/>
                <w:b/>
                <w:bCs/>
                <w:color w:val="auto"/>
                <w:sz w:val="24"/>
                <w:szCs w:val="36"/>
              </w:rPr>
              <w:t xml:space="preserve">  评价区FVC统计一览表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69"/>
              <w:gridCol w:w="2763"/>
              <w:gridCol w:w="2494"/>
            </w:tblGrid>
            <w:tr w14:paraId="7E500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7ABF4265">
                  <w:pPr>
                    <w:widowControl/>
                    <w:adjustRightInd w:val="0"/>
                    <w:snapToGrid w:val="0"/>
                    <w:jc w:val="center"/>
                    <w:textAlignment w:val="center"/>
                    <w:rPr>
                      <w:rFonts w:ascii="Times New Roman" w:hAnsi="Times New Roman"/>
                      <w:b/>
                      <w:bCs/>
                      <w:color w:val="auto"/>
                      <w:kern w:val="0"/>
                      <w:szCs w:val="21"/>
                      <w:lang w:bidi="ar"/>
                    </w:rPr>
                  </w:pPr>
                  <w:r>
                    <w:rPr>
                      <w:rFonts w:hint="eastAsia" w:ascii="Times New Roman" w:hAnsi="Times New Roman"/>
                      <w:b/>
                      <w:bCs/>
                      <w:color w:val="auto"/>
                      <w:kern w:val="0"/>
                      <w:szCs w:val="21"/>
                      <w:lang w:bidi="ar"/>
                    </w:rPr>
                    <w:t>植被覆盖度等级</w:t>
                  </w:r>
                </w:p>
              </w:tc>
              <w:tc>
                <w:tcPr>
                  <w:tcW w:w="2793" w:type="dxa"/>
                  <w:tcBorders>
                    <w:tl2br w:val="nil"/>
                    <w:tr2bl w:val="nil"/>
                  </w:tcBorders>
                  <w:shd w:val="clear" w:color="auto" w:fill="auto"/>
                  <w:vAlign w:val="center"/>
                </w:tcPr>
                <w:p w14:paraId="16631D92">
                  <w:pPr>
                    <w:widowControl/>
                    <w:adjustRightInd w:val="0"/>
                    <w:snapToGrid w:val="0"/>
                    <w:jc w:val="center"/>
                    <w:textAlignment w:val="center"/>
                    <w:rPr>
                      <w:rFonts w:ascii="Times New Roman" w:hAnsi="Times New Roman"/>
                      <w:b/>
                      <w:bCs/>
                      <w:color w:val="auto"/>
                      <w:kern w:val="0"/>
                      <w:szCs w:val="21"/>
                    </w:rPr>
                  </w:pPr>
                  <w:r>
                    <w:rPr>
                      <w:rFonts w:hint="eastAsia" w:ascii="宋体" w:hAnsi="宋体" w:cs="宋体"/>
                      <w:b/>
                      <w:bCs/>
                      <w:color w:val="auto"/>
                      <w:kern w:val="0"/>
                      <w:szCs w:val="21"/>
                      <w:lang w:bidi="ar"/>
                    </w:rPr>
                    <w:t>评价区分布面积（</w:t>
                  </w:r>
                  <w:r>
                    <w:rPr>
                      <w:rFonts w:ascii="Times New Roman" w:hAnsi="Times New Roman"/>
                      <w:b/>
                      <w:bCs/>
                      <w:color w:val="auto"/>
                      <w:kern w:val="0"/>
                      <w:szCs w:val="21"/>
                      <w:lang w:bidi="ar"/>
                    </w:rPr>
                    <w:t>hm²</w:t>
                  </w:r>
                  <w:r>
                    <w:rPr>
                      <w:rFonts w:hint="eastAsia" w:ascii="宋体" w:hAnsi="宋体" w:cs="宋体"/>
                      <w:b/>
                      <w:bCs/>
                      <w:color w:val="auto"/>
                      <w:kern w:val="0"/>
                      <w:szCs w:val="21"/>
                      <w:lang w:bidi="ar"/>
                    </w:rPr>
                    <w:t>）</w:t>
                  </w:r>
                </w:p>
              </w:tc>
              <w:tc>
                <w:tcPr>
                  <w:tcW w:w="2521" w:type="dxa"/>
                  <w:tcBorders>
                    <w:tl2br w:val="nil"/>
                    <w:tr2bl w:val="nil"/>
                  </w:tcBorders>
                  <w:shd w:val="clear" w:color="auto" w:fill="auto"/>
                  <w:vAlign w:val="center"/>
                </w:tcPr>
                <w:p w14:paraId="73722DB2">
                  <w:pPr>
                    <w:widowControl/>
                    <w:adjustRightInd w:val="0"/>
                    <w:snapToGrid w:val="0"/>
                    <w:jc w:val="center"/>
                    <w:textAlignment w:val="center"/>
                    <w:rPr>
                      <w:rFonts w:ascii="Times New Roman" w:hAnsi="Times New Roman"/>
                      <w:b/>
                      <w:bCs/>
                      <w:color w:val="auto"/>
                      <w:kern w:val="0"/>
                      <w:szCs w:val="21"/>
                    </w:rPr>
                  </w:pPr>
                  <w:r>
                    <w:rPr>
                      <w:rFonts w:hint="eastAsia" w:ascii="宋体" w:hAnsi="宋体" w:cs="宋体"/>
                      <w:b/>
                      <w:bCs/>
                      <w:color w:val="auto"/>
                      <w:kern w:val="0"/>
                      <w:szCs w:val="21"/>
                      <w:lang w:bidi="ar"/>
                    </w:rPr>
                    <w:t>占评价区面积比例</w:t>
                  </w:r>
                  <w:r>
                    <w:rPr>
                      <w:rFonts w:ascii="Times New Roman" w:hAnsi="Times New Roman"/>
                      <w:b/>
                      <w:bCs/>
                      <w:color w:val="auto"/>
                      <w:kern w:val="0"/>
                      <w:szCs w:val="21"/>
                      <w:lang w:bidi="ar"/>
                    </w:rPr>
                    <w:t>%</w:t>
                  </w:r>
                </w:p>
              </w:tc>
            </w:tr>
            <w:tr w14:paraId="2A8DB6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5F1D860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≥80</w:t>
                  </w:r>
                  <w:r>
                    <w:rPr>
                      <w:rFonts w:hint="eastAsia" w:ascii="Times New Roman" w:hAnsi="Times New Roman"/>
                      <w:color w:val="auto"/>
                      <w:kern w:val="0"/>
                      <w:szCs w:val="21"/>
                      <w:lang w:bidi="ar"/>
                    </w:rPr>
                    <w:t>（高覆盖度）</w:t>
                  </w:r>
                </w:p>
              </w:tc>
              <w:tc>
                <w:tcPr>
                  <w:tcW w:w="2793" w:type="dxa"/>
                  <w:tcBorders>
                    <w:tl2br w:val="nil"/>
                    <w:tr2bl w:val="nil"/>
                  </w:tcBorders>
                  <w:shd w:val="clear" w:color="auto" w:fill="auto"/>
                  <w:vAlign w:val="center"/>
                </w:tcPr>
                <w:p w14:paraId="0AAC5AC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8.146</w:t>
                  </w:r>
                </w:p>
              </w:tc>
              <w:tc>
                <w:tcPr>
                  <w:tcW w:w="2521" w:type="dxa"/>
                  <w:tcBorders>
                    <w:tl2br w:val="nil"/>
                    <w:tr2bl w:val="nil"/>
                  </w:tcBorders>
                  <w:shd w:val="clear" w:color="auto" w:fill="auto"/>
                  <w:vAlign w:val="center"/>
                </w:tcPr>
                <w:p w14:paraId="1123EED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0.62</w:t>
                  </w:r>
                </w:p>
              </w:tc>
            </w:tr>
            <w:tr w14:paraId="6CB1B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19974A7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60-80</w:t>
                  </w:r>
                  <w:r>
                    <w:rPr>
                      <w:rFonts w:hint="eastAsia" w:ascii="Times New Roman" w:hAnsi="Times New Roman"/>
                      <w:color w:val="auto"/>
                      <w:kern w:val="0"/>
                      <w:szCs w:val="21"/>
                      <w:lang w:bidi="ar"/>
                    </w:rPr>
                    <w:t>（中高覆盖度）</w:t>
                  </w:r>
                </w:p>
              </w:tc>
              <w:tc>
                <w:tcPr>
                  <w:tcW w:w="2793" w:type="dxa"/>
                  <w:tcBorders>
                    <w:tl2br w:val="nil"/>
                    <w:tr2bl w:val="nil"/>
                  </w:tcBorders>
                  <w:shd w:val="clear" w:color="auto" w:fill="auto"/>
                  <w:vAlign w:val="center"/>
                </w:tcPr>
                <w:p w14:paraId="5C0F99CE">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234.905</w:t>
                  </w:r>
                </w:p>
              </w:tc>
              <w:tc>
                <w:tcPr>
                  <w:tcW w:w="2521" w:type="dxa"/>
                  <w:tcBorders>
                    <w:tl2br w:val="nil"/>
                    <w:tr2bl w:val="nil"/>
                  </w:tcBorders>
                  <w:shd w:val="clear" w:color="auto" w:fill="auto"/>
                  <w:vAlign w:val="center"/>
                </w:tcPr>
                <w:p w14:paraId="5D8C5BF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17.75</w:t>
                  </w:r>
                </w:p>
              </w:tc>
            </w:tr>
            <w:tr w14:paraId="3E2FB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79F243D2">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40-60</w:t>
                  </w:r>
                  <w:r>
                    <w:rPr>
                      <w:rFonts w:hint="eastAsia" w:ascii="Times New Roman" w:hAnsi="Times New Roman"/>
                      <w:color w:val="auto"/>
                      <w:kern w:val="0"/>
                      <w:szCs w:val="21"/>
                      <w:lang w:bidi="ar"/>
                    </w:rPr>
                    <w:t>（中覆盖度）</w:t>
                  </w:r>
                </w:p>
              </w:tc>
              <w:tc>
                <w:tcPr>
                  <w:tcW w:w="2793" w:type="dxa"/>
                  <w:tcBorders>
                    <w:tl2br w:val="nil"/>
                    <w:tr2bl w:val="nil"/>
                  </w:tcBorders>
                  <w:shd w:val="clear" w:color="auto" w:fill="auto"/>
                  <w:vAlign w:val="center"/>
                </w:tcPr>
                <w:p w14:paraId="5E20BEB5">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502.980</w:t>
                  </w:r>
                </w:p>
              </w:tc>
              <w:tc>
                <w:tcPr>
                  <w:tcW w:w="2521" w:type="dxa"/>
                  <w:tcBorders>
                    <w:tl2br w:val="nil"/>
                    <w:tr2bl w:val="nil"/>
                  </w:tcBorders>
                  <w:shd w:val="clear" w:color="auto" w:fill="auto"/>
                  <w:vAlign w:val="center"/>
                </w:tcPr>
                <w:p w14:paraId="2941037E">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38.01</w:t>
                  </w:r>
                </w:p>
              </w:tc>
            </w:tr>
            <w:tr w14:paraId="5051C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4745F588">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20-40</w:t>
                  </w:r>
                  <w:r>
                    <w:rPr>
                      <w:rFonts w:hint="eastAsia" w:ascii="Times New Roman" w:hAnsi="Times New Roman"/>
                      <w:color w:val="auto"/>
                      <w:kern w:val="0"/>
                      <w:szCs w:val="21"/>
                      <w:lang w:bidi="ar"/>
                    </w:rPr>
                    <w:t>（中低覆盖度）</w:t>
                  </w:r>
                </w:p>
              </w:tc>
              <w:tc>
                <w:tcPr>
                  <w:tcW w:w="2793" w:type="dxa"/>
                  <w:tcBorders>
                    <w:tl2br w:val="nil"/>
                    <w:tr2bl w:val="nil"/>
                  </w:tcBorders>
                  <w:shd w:val="clear" w:color="auto" w:fill="auto"/>
                  <w:vAlign w:val="center"/>
                </w:tcPr>
                <w:p w14:paraId="61E9441C">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570.704</w:t>
                  </w:r>
                </w:p>
              </w:tc>
              <w:tc>
                <w:tcPr>
                  <w:tcW w:w="2521" w:type="dxa"/>
                  <w:tcBorders>
                    <w:tl2br w:val="nil"/>
                    <w:tr2bl w:val="nil"/>
                  </w:tcBorders>
                  <w:shd w:val="clear" w:color="auto" w:fill="auto"/>
                  <w:vAlign w:val="center"/>
                </w:tcPr>
                <w:p w14:paraId="4CE6E0FB">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43.13</w:t>
                  </w:r>
                </w:p>
              </w:tc>
            </w:tr>
            <w:tr w14:paraId="38CAE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6D06861E">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0-20</w:t>
                  </w:r>
                  <w:r>
                    <w:rPr>
                      <w:rFonts w:hint="eastAsia" w:ascii="Times New Roman" w:hAnsi="Times New Roman"/>
                      <w:color w:val="auto"/>
                      <w:kern w:val="0"/>
                      <w:szCs w:val="21"/>
                      <w:lang w:bidi="ar"/>
                    </w:rPr>
                    <w:t>（低覆盖度）</w:t>
                  </w:r>
                </w:p>
              </w:tc>
              <w:tc>
                <w:tcPr>
                  <w:tcW w:w="2793" w:type="dxa"/>
                  <w:tcBorders>
                    <w:tl2br w:val="nil"/>
                    <w:tr2bl w:val="nil"/>
                  </w:tcBorders>
                  <w:shd w:val="clear" w:color="auto" w:fill="auto"/>
                  <w:vAlign w:val="center"/>
                </w:tcPr>
                <w:p w14:paraId="2E542CE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6.438</w:t>
                  </w:r>
                </w:p>
              </w:tc>
              <w:tc>
                <w:tcPr>
                  <w:tcW w:w="2521" w:type="dxa"/>
                  <w:tcBorders>
                    <w:tl2br w:val="nil"/>
                    <w:tr2bl w:val="nil"/>
                  </w:tcBorders>
                  <w:shd w:val="clear" w:color="auto" w:fill="auto"/>
                  <w:vAlign w:val="center"/>
                </w:tcPr>
                <w:p w14:paraId="6E4A7081">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0.49</w:t>
                  </w:r>
                </w:p>
              </w:tc>
            </w:tr>
            <w:tr w14:paraId="528CEF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5B977CA6">
                  <w:pPr>
                    <w:widowControl/>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合计</w:t>
                  </w:r>
                </w:p>
              </w:tc>
              <w:tc>
                <w:tcPr>
                  <w:tcW w:w="2793" w:type="dxa"/>
                  <w:tcBorders>
                    <w:tl2br w:val="nil"/>
                    <w:tr2bl w:val="nil"/>
                  </w:tcBorders>
                  <w:shd w:val="clear" w:color="auto" w:fill="auto"/>
                  <w:vAlign w:val="center"/>
                </w:tcPr>
                <w:p w14:paraId="5D95D08F">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1323.172</w:t>
                  </w:r>
                </w:p>
              </w:tc>
              <w:tc>
                <w:tcPr>
                  <w:tcW w:w="2521" w:type="dxa"/>
                  <w:tcBorders>
                    <w:tl2br w:val="nil"/>
                    <w:tr2bl w:val="nil"/>
                  </w:tcBorders>
                  <w:shd w:val="clear" w:color="auto" w:fill="auto"/>
                  <w:vAlign w:val="center"/>
                </w:tcPr>
                <w:p w14:paraId="576ED923">
                  <w:pPr>
                    <w:widowControl/>
                    <w:adjustRightInd w:val="0"/>
                    <w:snapToGrid w:val="0"/>
                    <w:jc w:val="center"/>
                    <w:textAlignment w:val="center"/>
                    <w:rPr>
                      <w:rFonts w:ascii="Times New Roman" w:hAnsi="Times New Roman"/>
                      <w:color w:val="auto"/>
                      <w:kern w:val="0"/>
                      <w:szCs w:val="21"/>
                      <w:lang w:bidi="ar"/>
                    </w:rPr>
                  </w:pPr>
                  <w:r>
                    <w:rPr>
                      <w:rFonts w:ascii="Times New Roman" w:hAnsi="Times New Roman"/>
                      <w:color w:val="auto"/>
                      <w:kern w:val="0"/>
                      <w:szCs w:val="21"/>
                      <w:lang w:bidi="ar"/>
                    </w:rPr>
                    <w:t>100.00</w:t>
                  </w:r>
                </w:p>
              </w:tc>
            </w:tr>
          </w:tbl>
          <w:p w14:paraId="03D58E83">
            <w:pPr>
              <w:keepNext/>
              <w:keepLines/>
              <w:widowControl/>
              <w:adjustRightInd w:val="0"/>
              <w:snapToGrid w:val="0"/>
              <w:spacing w:line="440" w:lineRule="exact"/>
              <w:outlineLvl w:val="2"/>
              <w:rPr>
                <w:rFonts w:ascii="Times New Roman" w:hAnsi="Times New Roman"/>
                <w:b/>
                <w:bCs/>
                <w:color w:val="auto"/>
                <w:sz w:val="24"/>
                <w:szCs w:val="24"/>
              </w:rPr>
            </w:pPr>
            <w:r>
              <w:rPr>
                <w:rFonts w:hint="eastAsia" w:ascii="Times New Roman" w:hAnsi="Times New Roman"/>
                <w:b/>
                <w:bCs/>
                <w:color w:val="auto"/>
                <w:sz w:val="24"/>
                <w:szCs w:val="24"/>
              </w:rPr>
              <w:t>3.2.6</w:t>
            </w:r>
            <w:r>
              <w:rPr>
                <w:rFonts w:ascii="Times New Roman" w:hAnsi="Times New Roman"/>
                <w:b/>
                <w:bCs/>
                <w:color w:val="auto"/>
                <w:sz w:val="24"/>
                <w:szCs w:val="24"/>
              </w:rPr>
              <w:t>生物多样性现状</w:t>
            </w:r>
          </w:p>
          <w:p w14:paraId="32C8E632">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（1）生态系统类型多样性</w:t>
            </w:r>
          </w:p>
          <w:p w14:paraId="6033E541">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评价区内共分布8种生态系统类型，较为多样。</w:t>
            </w:r>
          </w:p>
          <w:p w14:paraId="41EEC754">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hint="eastAsia" w:ascii="Times New Roman" w:hAnsi="Times New Roman"/>
                <w:color w:val="auto"/>
                <w:sz w:val="24"/>
                <w:szCs w:val="24"/>
              </w:rPr>
              <w:t>（2）</w:t>
            </w:r>
            <w:r>
              <w:rPr>
                <w:rFonts w:ascii="Times New Roman" w:hAnsi="Times New Roman"/>
                <w:color w:val="auto"/>
                <w:sz w:val="24"/>
                <w:szCs w:val="24"/>
              </w:rPr>
              <w:t>物种丰富度</w:t>
            </w:r>
          </w:p>
          <w:p w14:paraId="0061BDC2">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评价区维管植物</w:t>
            </w:r>
            <w:r>
              <w:rPr>
                <w:rFonts w:ascii="Times New Roman" w:hAnsi="Times New Roman"/>
                <w:color w:val="auto"/>
                <w:sz w:val="24"/>
                <w:szCs w:val="24"/>
                <w:lang w:val="zh-CN"/>
              </w:rPr>
              <w:t>469种（包含种下等级），隶属于</w:t>
            </w:r>
            <w:r>
              <w:rPr>
                <w:rFonts w:ascii="Times New Roman" w:hAnsi="Times New Roman"/>
                <w:color w:val="auto"/>
                <w:sz w:val="24"/>
                <w:szCs w:val="24"/>
              </w:rPr>
              <w:t>102</w:t>
            </w:r>
            <w:r>
              <w:rPr>
                <w:rFonts w:ascii="Times New Roman" w:hAnsi="Times New Roman"/>
                <w:color w:val="auto"/>
                <w:sz w:val="24"/>
                <w:szCs w:val="24"/>
                <w:lang w:val="zh-CN"/>
              </w:rPr>
              <w:t>科、</w:t>
            </w:r>
            <w:r>
              <w:rPr>
                <w:rFonts w:ascii="Times New Roman" w:hAnsi="Times New Roman"/>
                <w:color w:val="auto"/>
                <w:sz w:val="24"/>
                <w:szCs w:val="24"/>
              </w:rPr>
              <w:t>335</w:t>
            </w:r>
            <w:r>
              <w:rPr>
                <w:rFonts w:ascii="Times New Roman" w:hAnsi="Times New Roman"/>
                <w:color w:val="auto"/>
                <w:sz w:val="24"/>
                <w:szCs w:val="24"/>
                <w:lang w:val="zh-CN"/>
              </w:rPr>
              <w:t>属。其中蕨类植物有</w:t>
            </w:r>
            <w:r>
              <w:rPr>
                <w:rFonts w:ascii="Times New Roman" w:hAnsi="Times New Roman"/>
                <w:color w:val="auto"/>
                <w:sz w:val="24"/>
                <w:szCs w:val="24"/>
              </w:rPr>
              <w:t>11</w:t>
            </w:r>
            <w:r>
              <w:rPr>
                <w:rFonts w:ascii="Times New Roman" w:hAnsi="Times New Roman"/>
                <w:color w:val="auto"/>
                <w:sz w:val="24"/>
                <w:szCs w:val="24"/>
                <w:lang w:val="zh-CN"/>
              </w:rPr>
              <w:t>科、</w:t>
            </w:r>
            <w:r>
              <w:rPr>
                <w:rFonts w:ascii="Times New Roman" w:hAnsi="Times New Roman"/>
                <w:color w:val="auto"/>
                <w:sz w:val="24"/>
                <w:szCs w:val="24"/>
              </w:rPr>
              <w:t>15</w:t>
            </w:r>
            <w:r>
              <w:rPr>
                <w:rFonts w:ascii="Times New Roman" w:hAnsi="Times New Roman"/>
                <w:color w:val="auto"/>
                <w:sz w:val="24"/>
                <w:szCs w:val="24"/>
                <w:lang w:val="zh-CN"/>
              </w:rPr>
              <w:t>属、</w:t>
            </w:r>
            <w:r>
              <w:rPr>
                <w:rFonts w:ascii="Times New Roman" w:hAnsi="Times New Roman"/>
                <w:color w:val="auto"/>
                <w:sz w:val="24"/>
                <w:szCs w:val="24"/>
              </w:rPr>
              <w:t>19</w:t>
            </w:r>
            <w:r>
              <w:rPr>
                <w:rFonts w:ascii="Times New Roman" w:hAnsi="Times New Roman"/>
                <w:color w:val="auto"/>
                <w:sz w:val="24"/>
                <w:szCs w:val="24"/>
                <w:lang w:val="zh-CN"/>
              </w:rPr>
              <w:t>种；裸子植物有3科、4属、5种；被子植物有</w:t>
            </w:r>
            <w:r>
              <w:rPr>
                <w:rFonts w:ascii="Times New Roman" w:hAnsi="Times New Roman"/>
                <w:color w:val="auto"/>
                <w:sz w:val="24"/>
                <w:szCs w:val="24"/>
              </w:rPr>
              <w:t>88</w:t>
            </w:r>
            <w:r>
              <w:rPr>
                <w:rFonts w:ascii="Times New Roman" w:hAnsi="Times New Roman"/>
                <w:color w:val="auto"/>
                <w:sz w:val="24"/>
                <w:szCs w:val="24"/>
                <w:lang w:val="zh-CN"/>
              </w:rPr>
              <w:t>科、316属、445种。</w:t>
            </w:r>
            <w:r>
              <w:rPr>
                <w:rFonts w:hint="eastAsia" w:ascii="Times New Roman" w:hAnsi="Times New Roman"/>
                <w:color w:val="auto"/>
                <w:sz w:val="24"/>
                <w:szCs w:val="24"/>
                <w:lang w:val="zh-CN"/>
              </w:rPr>
              <w:t>陆生脊椎动物7</w:t>
            </w:r>
            <w:r>
              <w:rPr>
                <w:rFonts w:ascii="Times New Roman" w:hAnsi="Times New Roman"/>
                <w:color w:val="auto"/>
                <w:sz w:val="24"/>
                <w:szCs w:val="24"/>
                <w:lang w:val="zh-CN"/>
              </w:rPr>
              <w:t>2</w:t>
            </w:r>
            <w:r>
              <w:rPr>
                <w:rFonts w:hint="eastAsia" w:ascii="Times New Roman" w:hAnsi="Times New Roman"/>
                <w:color w:val="auto"/>
                <w:sz w:val="24"/>
                <w:szCs w:val="24"/>
                <w:lang w:val="zh-CN"/>
              </w:rPr>
              <w:t>种，</w:t>
            </w:r>
            <w:r>
              <w:rPr>
                <w:rFonts w:ascii="Times New Roman" w:hAnsi="Times New Roman"/>
                <w:color w:val="auto"/>
                <w:sz w:val="24"/>
                <w:szCs w:val="24"/>
              </w:rPr>
              <w:t>其中两栖类</w:t>
            </w:r>
            <w:r>
              <w:rPr>
                <w:rFonts w:hint="eastAsia" w:ascii="Times New Roman" w:hAnsi="Times New Roman"/>
                <w:color w:val="auto"/>
                <w:sz w:val="24"/>
                <w:szCs w:val="24"/>
              </w:rPr>
              <w:t>6</w:t>
            </w:r>
            <w:r>
              <w:rPr>
                <w:rFonts w:ascii="Times New Roman" w:hAnsi="Times New Roman"/>
                <w:color w:val="auto"/>
                <w:sz w:val="24"/>
                <w:szCs w:val="24"/>
              </w:rPr>
              <w:t>种；爬行类</w:t>
            </w:r>
            <w:r>
              <w:rPr>
                <w:rFonts w:hint="eastAsia" w:ascii="Times New Roman" w:hAnsi="Times New Roman"/>
                <w:color w:val="auto"/>
                <w:sz w:val="24"/>
                <w:szCs w:val="24"/>
              </w:rPr>
              <w:t>5</w:t>
            </w:r>
            <w:r>
              <w:rPr>
                <w:rFonts w:ascii="Times New Roman" w:hAnsi="Times New Roman"/>
                <w:color w:val="auto"/>
                <w:sz w:val="24"/>
                <w:szCs w:val="24"/>
              </w:rPr>
              <w:t>种；鸟类51种；哺乳类</w:t>
            </w:r>
            <w:r>
              <w:rPr>
                <w:rFonts w:hint="eastAsia" w:ascii="Times New Roman" w:hAnsi="Times New Roman"/>
                <w:color w:val="auto"/>
                <w:sz w:val="24"/>
                <w:szCs w:val="24"/>
                <w:lang w:val="en-US" w:eastAsia="zh-CN"/>
              </w:rPr>
              <w:t>10</w:t>
            </w:r>
            <w:r>
              <w:rPr>
                <w:rFonts w:ascii="Times New Roman" w:hAnsi="Times New Roman"/>
                <w:color w:val="auto"/>
                <w:sz w:val="24"/>
                <w:szCs w:val="24"/>
              </w:rPr>
              <w:t>种。就评价区面积来说，物种较为多样。</w:t>
            </w:r>
          </w:p>
          <w:p w14:paraId="40B95F98">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hint="eastAsia" w:ascii="Times New Roman" w:hAnsi="Times New Roman"/>
                <w:color w:val="auto"/>
                <w:sz w:val="24"/>
                <w:szCs w:val="24"/>
              </w:rPr>
              <w:t>（3）</w:t>
            </w:r>
            <w:r>
              <w:rPr>
                <w:rFonts w:ascii="Times New Roman" w:hAnsi="Times New Roman"/>
                <w:color w:val="auto"/>
                <w:sz w:val="24"/>
                <w:szCs w:val="24"/>
              </w:rPr>
              <w:t>生物群落多样性</w:t>
            </w:r>
          </w:p>
          <w:p w14:paraId="229512D4">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评价区内生态系统天然植物群落分布有3个群落，整体来说由于评价区呈条带化分布，生物群落并不丰富。</w:t>
            </w:r>
          </w:p>
          <w:p w14:paraId="4C001140">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hint="eastAsia" w:ascii="Times New Roman" w:hAnsi="Times New Roman"/>
                <w:color w:val="auto"/>
                <w:sz w:val="24"/>
                <w:szCs w:val="24"/>
              </w:rPr>
              <w:t>（4）</w:t>
            </w:r>
            <w:r>
              <w:rPr>
                <w:rFonts w:ascii="Times New Roman" w:hAnsi="Times New Roman"/>
                <w:color w:val="auto"/>
                <w:sz w:val="24"/>
                <w:szCs w:val="24"/>
              </w:rPr>
              <w:t>遗传多样性</w:t>
            </w:r>
          </w:p>
          <w:p w14:paraId="39A2B3F8">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本次评价主要采用形态学水平进行评价区内遗传多样性评价。评价区共调查到陆生维管束469种，陆生脊椎动物72</w:t>
            </w:r>
            <w:r>
              <w:rPr>
                <w:rFonts w:hint="eastAsia" w:ascii="Times New Roman" w:hAnsi="Times New Roman"/>
                <w:color w:val="auto"/>
                <w:sz w:val="24"/>
                <w:szCs w:val="24"/>
              </w:rPr>
              <w:t>种</w:t>
            </w:r>
            <w:r>
              <w:rPr>
                <w:rFonts w:ascii="Times New Roman" w:hAnsi="Times New Roman"/>
                <w:color w:val="auto"/>
                <w:sz w:val="24"/>
                <w:szCs w:val="24"/>
              </w:rPr>
              <w:t>。评价区内各物种有效种群均较为稳定，远高于最小种群规模，性别比例趋近于1:1，生活史完整，从形态学角度未发现种群遗传存在明显不利因素和退化，种群内物种受人为干扰相对较小，遗传多样性较高。</w:t>
            </w:r>
          </w:p>
          <w:p w14:paraId="31DF0444">
            <w:pPr>
              <w:keepNext/>
              <w:keepLines/>
              <w:widowControl/>
              <w:adjustRightInd w:val="0"/>
              <w:snapToGrid w:val="0"/>
              <w:spacing w:line="440" w:lineRule="exact"/>
              <w:outlineLvl w:val="2"/>
              <w:rPr>
                <w:rFonts w:ascii="Times New Roman" w:hAnsi="Times New Roman"/>
                <w:b/>
                <w:bCs/>
                <w:color w:val="auto"/>
                <w:sz w:val="24"/>
                <w:szCs w:val="24"/>
              </w:rPr>
            </w:pPr>
            <w:r>
              <w:rPr>
                <w:rFonts w:hint="eastAsia" w:ascii="Times New Roman" w:hAnsi="Times New Roman"/>
                <w:b/>
                <w:bCs/>
                <w:color w:val="auto"/>
                <w:sz w:val="24"/>
                <w:szCs w:val="24"/>
              </w:rPr>
              <w:t>3.2.7永久基本农田</w:t>
            </w:r>
          </w:p>
          <w:p w14:paraId="53B37001">
            <w:pPr>
              <w:pStyle w:val="74"/>
              <w:adjustRightInd w:val="0"/>
              <w:snapToGrid w:val="0"/>
              <w:spacing w:line="440" w:lineRule="exact"/>
              <w:ind w:firstLine="480" w:firstLineChars="200"/>
              <w:rPr>
                <w:rFonts w:ascii="Times New Roman" w:hAnsi="Times New Roman" w:cs="Times New Roman"/>
                <w:color w:val="auto"/>
                <w:lang w:eastAsia="zh-CN"/>
              </w:rPr>
            </w:pPr>
            <w:r>
              <w:rPr>
                <w:rFonts w:hint="eastAsia" w:ascii="Times New Roman" w:hAnsi="Times New Roman" w:cs="Times New Roman"/>
                <w:color w:val="auto"/>
                <w:lang w:eastAsia="zh-CN"/>
              </w:rPr>
              <w:t>根据会泽县自然资源局关于六合一至乐业变220kV送出线路工程查询的情况说明，经查询，不涉及占用“三区三线”划定的会泽县生态保护红线，不位于城镇开发边界及中心城区；涉及占用永久基本农田核实处置成果面积237.56平方米，涉及占用“三区三线”划定的耕地保护目标面积1237.53平方米，占用耕地后备资源数据374.55平方米，不在村庄建设边界内。</w:t>
            </w:r>
          </w:p>
          <w:p w14:paraId="25DCC542">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经套合会泽县国土空间规划“三线”划定成果</w:t>
            </w:r>
            <w:r>
              <w:rPr>
                <w:rFonts w:hint="eastAsia" w:ascii="Times New Roman" w:hAnsi="Times New Roman"/>
                <w:color w:val="auto"/>
                <w:sz w:val="24"/>
                <w:szCs w:val="24"/>
              </w:rPr>
              <w:t>进一步核对，项目塔基N36、N58、N59涉及占用永久基本农田，项目塔基</w:t>
            </w:r>
            <w:r>
              <w:rPr>
                <w:rFonts w:ascii="Times New Roman" w:hAnsi="Times New Roman"/>
                <w:color w:val="auto"/>
                <w:sz w:val="24"/>
                <w:szCs w:val="24"/>
              </w:rPr>
              <w:t>N17-N18输电线路138m、N19-N20输电线路159m、N24-N25输电线路97m、N33-N34输电线路131m、N18-N19输电线路77m、N7-N8输电线路451m、N11-N12输电线路124m、N32-N33输电线路101m、N35-N36输电线路88m、N36-N37输电线路38m、N42-N43输电线路9m、N57-N61输电线路726m上跨永久基本农田，线路采用高空架设。</w:t>
            </w:r>
          </w:p>
          <w:p w14:paraId="21884839">
            <w:pPr>
              <w:keepNext/>
              <w:keepLines/>
              <w:widowControl/>
              <w:adjustRightInd w:val="0"/>
              <w:snapToGrid w:val="0"/>
              <w:spacing w:line="440" w:lineRule="exact"/>
              <w:outlineLvl w:val="2"/>
              <w:rPr>
                <w:rFonts w:ascii="Times New Roman" w:hAnsi="Times New Roman"/>
                <w:b/>
                <w:bCs/>
                <w:color w:val="auto"/>
                <w:sz w:val="24"/>
                <w:szCs w:val="24"/>
              </w:rPr>
            </w:pPr>
            <w:r>
              <w:rPr>
                <w:rFonts w:hint="eastAsia" w:ascii="Times New Roman" w:hAnsi="Times New Roman"/>
                <w:b/>
                <w:bCs/>
                <w:color w:val="auto"/>
                <w:sz w:val="24"/>
                <w:szCs w:val="24"/>
              </w:rPr>
              <w:t>3.2.8</w:t>
            </w:r>
            <w:r>
              <w:rPr>
                <w:rFonts w:ascii="Times New Roman" w:hAnsi="Times New Roman"/>
                <w:b/>
                <w:bCs/>
                <w:color w:val="auto"/>
                <w:sz w:val="24"/>
                <w:szCs w:val="24"/>
              </w:rPr>
              <w:t>评价区主要环境问题</w:t>
            </w:r>
          </w:p>
          <w:p w14:paraId="044784FB">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highlight w:val="none"/>
              </w:rPr>
              <w:t>评价区存在的主要环境问题为受人为干扰较为严重，无原生植被和地带性植被分布，天然植被均为次生植被，且评价区内水土流失较为严重。评价区内调查到</w:t>
            </w:r>
            <w:r>
              <w:rPr>
                <w:rFonts w:hint="eastAsia" w:ascii="Times New Roman" w:hAnsi="Times New Roman"/>
                <w:color w:val="auto"/>
                <w:sz w:val="24"/>
                <w:szCs w:val="24"/>
                <w:highlight w:val="none"/>
              </w:rPr>
              <w:t>5</w:t>
            </w:r>
            <w:r>
              <w:rPr>
                <w:rFonts w:ascii="Times New Roman" w:hAnsi="Times New Roman"/>
                <w:color w:val="auto"/>
                <w:sz w:val="24"/>
                <w:szCs w:val="24"/>
                <w:highlight w:val="none"/>
              </w:rPr>
              <w:t>种外来入侵植物，分别为紫茎泽兰、鬼针草</w:t>
            </w:r>
            <w:r>
              <w:rPr>
                <w:rFonts w:hint="eastAsia" w:ascii="Times New Roman" w:hAnsi="Times New Roman"/>
                <w:color w:val="auto"/>
                <w:sz w:val="24"/>
                <w:szCs w:val="24"/>
                <w:highlight w:val="none"/>
              </w:rPr>
              <w:t>、白酒草、牛膝菊、革命菜</w:t>
            </w:r>
            <w:r>
              <w:rPr>
                <w:rFonts w:ascii="Times New Roman" w:hAnsi="Times New Roman"/>
                <w:color w:val="auto"/>
                <w:sz w:val="24"/>
                <w:szCs w:val="24"/>
              </w:rPr>
              <w:t>。</w:t>
            </w:r>
          </w:p>
          <w:p w14:paraId="46C55598">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3.3环境空气质量现状</w:t>
            </w:r>
          </w:p>
          <w:p w14:paraId="1B717BD7">
            <w:pPr>
              <w:pStyle w:val="18"/>
              <w:pBdr>
                <w:bottom w:val="none" w:color="auto" w:sz="0" w:space="0"/>
              </w:pBdr>
              <w:adjustRightInd w:val="0"/>
              <w:spacing w:line="440" w:lineRule="exact"/>
              <w:ind w:firstLine="480" w:firstLineChars="200"/>
              <w:jc w:val="both"/>
              <w:rPr>
                <w:rFonts w:ascii="Times New Roman" w:hAnsi="Times New Roman"/>
                <w:color w:val="auto"/>
                <w:sz w:val="24"/>
                <w:szCs w:val="24"/>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ascii="Times New Roman" w:hAnsi="Times New Roman"/>
                <w:color w:val="auto"/>
                <w:sz w:val="24"/>
                <w:szCs w:val="24"/>
              </w:rPr>
              <w:t>，属于</w:t>
            </w:r>
            <w:r>
              <w:rPr>
                <w:rFonts w:hint="eastAsia" w:ascii="Times New Roman" w:hAnsi="Times New Roman"/>
                <w:color w:val="auto"/>
                <w:sz w:val="24"/>
                <w:szCs w:val="24"/>
              </w:rPr>
              <w:t>农村地区，为农村地区，属于二类环境空气质量功能区，现阶段环境空气执行《环境空气质量标准》（GB3095-2026）过渡阶段浓度限值二级标准，自2031年1月1日起执行《环境空气质量标准》（GB3095-2026）浓度限值二级标准。</w:t>
            </w:r>
          </w:p>
          <w:p w14:paraId="6BA8B5DA">
            <w:pPr>
              <w:pStyle w:val="18"/>
              <w:pBdr>
                <w:bottom w:val="none" w:color="auto" w:sz="0" w:space="0"/>
              </w:pBdr>
              <w:adjustRightInd w:val="0"/>
              <w:spacing w:line="440" w:lineRule="exact"/>
              <w:ind w:firstLine="480" w:firstLineChars="200"/>
              <w:jc w:val="both"/>
              <w:rPr>
                <w:rFonts w:ascii="Times New Roman" w:hAnsi="Times New Roman"/>
                <w:color w:val="auto"/>
                <w:sz w:val="24"/>
                <w:szCs w:val="24"/>
                <w:lang w:val="zh-CN"/>
              </w:rPr>
            </w:pPr>
            <w:r>
              <w:rPr>
                <w:rFonts w:ascii="Times New Roman" w:hAnsi="Times New Roman"/>
                <w:color w:val="auto"/>
                <w:sz w:val="24"/>
                <w:szCs w:val="24"/>
                <w:lang w:val="zh-CN"/>
              </w:rPr>
              <w:t>根据《曲靖市环境质量年报（202</w:t>
            </w:r>
            <w:r>
              <w:rPr>
                <w:rFonts w:ascii="Times New Roman" w:hAnsi="Times New Roman"/>
                <w:color w:val="auto"/>
                <w:sz w:val="24"/>
                <w:szCs w:val="24"/>
              </w:rPr>
              <w:t>5</w:t>
            </w:r>
            <w:r>
              <w:rPr>
                <w:rFonts w:ascii="Times New Roman" w:hAnsi="Times New Roman"/>
                <w:color w:val="auto"/>
                <w:sz w:val="24"/>
                <w:szCs w:val="24"/>
                <w:lang w:val="zh-CN"/>
              </w:rPr>
              <w:t>年）》，曲靖市中心城区202</w:t>
            </w:r>
            <w:r>
              <w:rPr>
                <w:rFonts w:ascii="Times New Roman" w:hAnsi="Times New Roman"/>
                <w:color w:val="auto"/>
                <w:sz w:val="24"/>
                <w:szCs w:val="24"/>
              </w:rPr>
              <w:t>5</w:t>
            </w:r>
            <w:r>
              <w:rPr>
                <w:rFonts w:ascii="Times New Roman" w:hAnsi="Times New Roman"/>
                <w:color w:val="auto"/>
                <w:sz w:val="24"/>
                <w:szCs w:val="24"/>
                <w:lang w:val="zh-CN"/>
              </w:rPr>
              <w:t>年环境空气质量</w:t>
            </w:r>
            <w:r>
              <w:rPr>
                <w:rFonts w:ascii="Times New Roman" w:hAnsi="Times New Roman"/>
                <w:color w:val="auto"/>
                <w:sz w:val="24"/>
                <w:szCs w:val="24"/>
              </w:rPr>
              <w:t>中</w:t>
            </w:r>
            <w:r>
              <w:rPr>
                <w:rFonts w:ascii="Times New Roman" w:hAnsi="Times New Roman"/>
                <w:color w:val="auto"/>
                <w:sz w:val="24"/>
                <w:szCs w:val="24"/>
                <w:lang w:val="zh-CN"/>
              </w:rPr>
              <w:t>SO</w:t>
            </w:r>
            <w:r>
              <w:rPr>
                <w:rFonts w:ascii="Times New Roman" w:hAnsi="Times New Roman"/>
                <w:color w:val="auto"/>
                <w:sz w:val="24"/>
                <w:szCs w:val="24"/>
                <w:vertAlign w:val="subscript"/>
                <w:lang w:val="zh-CN"/>
              </w:rPr>
              <w:t>2</w:t>
            </w:r>
            <w:r>
              <w:rPr>
                <w:rFonts w:ascii="Times New Roman" w:hAnsi="Times New Roman"/>
                <w:color w:val="auto"/>
                <w:sz w:val="24"/>
                <w:szCs w:val="24"/>
                <w:lang w:val="zh-CN"/>
              </w:rPr>
              <w:t>、NO</w:t>
            </w:r>
            <w:r>
              <w:rPr>
                <w:rFonts w:ascii="Times New Roman" w:hAnsi="Times New Roman"/>
                <w:color w:val="auto"/>
                <w:sz w:val="24"/>
                <w:szCs w:val="24"/>
                <w:vertAlign w:val="subscript"/>
                <w:lang w:val="zh-CN"/>
              </w:rPr>
              <w:t>2</w:t>
            </w:r>
            <w:r>
              <w:rPr>
                <w:rFonts w:ascii="Times New Roman" w:hAnsi="Times New Roman"/>
                <w:color w:val="auto"/>
                <w:sz w:val="24"/>
                <w:szCs w:val="24"/>
                <w:lang w:val="zh-CN"/>
              </w:rPr>
              <w:t>、PM</w:t>
            </w:r>
            <w:r>
              <w:rPr>
                <w:rFonts w:ascii="Times New Roman" w:hAnsi="Times New Roman"/>
                <w:color w:val="auto"/>
                <w:sz w:val="24"/>
                <w:szCs w:val="24"/>
                <w:vertAlign w:val="subscript"/>
                <w:lang w:val="zh-CN"/>
              </w:rPr>
              <w:t>10</w:t>
            </w:r>
            <w:r>
              <w:rPr>
                <w:rFonts w:ascii="Times New Roman" w:hAnsi="Times New Roman"/>
                <w:color w:val="auto"/>
                <w:sz w:val="24"/>
                <w:szCs w:val="24"/>
                <w:lang w:val="zh-CN"/>
              </w:rPr>
              <w:t>、PM</w:t>
            </w:r>
            <w:r>
              <w:rPr>
                <w:rFonts w:ascii="Times New Roman" w:hAnsi="Times New Roman"/>
                <w:color w:val="auto"/>
                <w:sz w:val="24"/>
                <w:szCs w:val="24"/>
                <w:vertAlign w:val="subscript"/>
                <w:lang w:val="zh-CN"/>
              </w:rPr>
              <w:t>2.5</w:t>
            </w:r>
            <w:r>
              <w:rPr>
                <w:rFonts w:ascii="Times New Roman" w:hAnsi="Times New Roman"/>
                <w:color w:val="auto"/>
                <w:sz w:val="24"/>
                <w:szCs w:val="24"/>
                <w:lang w:val="zh-CN"/>
              </w:rPr>
              <w:t>年均浓度、CO24</w:t>
            </w:r>
            <w:r>
              <w:rPr>
                <w:rFonts w:ascii="Times New Roman" w:hAnsi="Times New Roman"/>
                <w:color w:val="auto"/>
                <w:sz w:val="24"/>
                <w:szCs w:val="24"/>
              </w:rPr>
              <w:t>h</w:t>
            </w:r>
            <w:r>
              <w:rPr>
                <w:rFonts w:ascii="Times New Roman" w:hAnsi="Times New Roman"/>
                <w:color w:val="auto"/>
                <w:sz w:val="24"/>
                <w:szCs w:val="24"/>
                <w:lang w:val="zh-CN"/>
              </w:rPr>
              <w:t>平均第95百分位数浓度</w:t>
            </w:r>
            <w:r>
              <w:rPr>
                <w:rFonts w:ascii="Times New Roman" w:hAnsi="Times New Roman"/>
                <w:color w:val="auto"/>
                <w:sz w:val="24"/>
                <w:szCs w:val="24"/>
              </w:rPr>
              <w:t>、</w:t>
            </w:r>
            <w:r>
              <w:rPr>
                <w:rFonts w:ascii="Times New Roman" w:hAnsi="Times New Roman"/>
                <w:color w:val="auto"/>
                <w:sz w:val="24"/>
                <w:szCs w:val="24"/>
                <w:lang w:val="zh-CN"/>
              </w:rPr>
              <w:t>O</w:t>
            </w:r>
            <w:r>
              <w:rPr>
                <w:rFonts w:ascii="Times New Roman" w:hAnsi="Times New Roman"/>
                <w:color w:val="auto"/>
                <w:sz w:val="24"/>
                <w:szCs w:val="24"/>
                <w:vertAlign w:val="subscript"/>
                <w:lang w:val="zh-CN"/>
              </w:rPr>
              <w:t>3</w:t>
            </w:r>
            <w:r>
              <w:rPr>
                <w:rFonts w:ascii="Times New Roman" w:hAnsi="Times New Roman"/>
                <w:color w:val="auto"/>
                <w:sz w:val="24"/>
                <w:szCs w:val="24"/>
                <w:lang w:val="zh-CN"/>
              </w:rPr>
              <w:t>日最大8小时平均第90百分位数浓度均达到</w:t>
            </w:r>
            <w:r>
              <w:rPr>
                <w:rFonts w:ascii="Times New Roman" w:hAnsi="Times New Roman"/>
                <w:color w:val="auto"/>
                <w:sz w:val="24"/>
                <w:szCs w:val="24"/>
              </w:rPr>
              <w:t>《环境空气质量标准》（GB3095-2026）二级标准要求（过渡阶段浓度限值），</w:t>
            </w:r>
            <w:r>
              <w:rPr>
                <w:rFonts w:ascii="Times New Roman" w:hAnsi="Times New Roman"/>
                <w:color w:val="auto"/>
                <w:sz w:val="24"/>
                <w:szCs w:val="24"/>
                <w:lang w:val="zh-CN"/>
              </w:rPr>
              <w:t>项目所在区域为环境空气质量达标区</w:t>
            </w:r>
            <w:r>
              <w:rPr>
                <w:rFonts w:hint="eastAsia" w:ascii="Times New Roman" w:hAnsi="Times New Roman"/>
                <w:color w:val="auto"/>
                <w:sz w:val="24"/>
                <w:szCs w:val="24"/>
                <w:lang w:val="zh-CN"/>
              </w:rPr>
              <w:t>。</w:t>
            </w:r>
          </w:p>
          <w:p w14:paraId="425568B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lang w:val="zh-CN"/>
              </w:rPr>
              <w:t>根据《曲靖市环境质量年报（202</w:t>
            </w:r>
            <w:r>
              <w:rPr>
                <w:rFonts w:ascii="Times New Roman" w:hAnsi="Times New Roman"/>
                <w:color w:val="auto"/>
                <w:sz w:val="24"/>
                <w:szCs w:val="24"/>
              </w:rPr>
              <w:t>5</w:t>
            </w:r>
            <w:r>
              <w:rPr>
                <w:rFonts w:ascii="Times New Roman" w:hAnsi="Times New Roman"/>
                <w:color w:val="auto"/>
                <w:sz w:val="24"/>
                <w:szCs w:val="24"/>
                <w:lang w:val="zh-CN"/>
              </w:rPr>
              <w:t>年）》，会泽县城区202</w:t>
            </w:r>
            <w:r>
              <w:rPr>
                <w:rFonts w:ascii="Times New Roman" w:hAnsi="Times New Roman"/>
                <w:color w:val="auto"/>
                <w:sz w:val="24"/>
                <w:szCs w:val="24"/>
              </w:rPr>
              <w:t>5</w:t>
            </w:r>
            <w:r>
              <w:rPr>
                <w:rFonts w:ascii="Times New Roman" w:hAnsi="Times New Roman"/>
                <w:color w:val="auto"/>
                <w:sz w:val="24"/>
                <w:szCs w:val="24"/>
                <w:lang w:val="zh-CN"/>
              </w:rPr>
              <w:t>年环境空气质量</w:t>
            </w:r>
            <w:r>
              <w:rPr>
                <w:rFonts w:ascii="Times New Roman" w:hAnsi="Times New Roman"/>
                <w:color w:val="auto"/>
                <w:sz w:val="24"/>
                <w:szCs w:val="24"/>
              </w:rPr>
              <w:t>中</w:t>
            </w:r>
            <w:r>
              <w:rPr>
                <w:rFonts w:ascii="Times New Roman" w:hAnsi="Times New Roman"/>
                <w:color w:val="auto"/>
                <w:sz w:val="24"/>
                <w:szCs w:val="24"/>
                <w:lang w:val="zh-CN"/>
              </w:rPr>
              <w:t>SO</w:t>
            </w:r>
            <w:r>
              <w:rPr>
                <w:rFonts w:ascii="Times New Roman" w:hAnsi="Times New Roman"/>
                <w:color w:val="auto"/>
                <w:sz w:val="24"/>
                <w:szCs w:val="24"/>
                <w:vertAlign w:val="subscript"/>
                <w:lang w:val="zh-CN"/>
              </w:rPr>
              <w:t>2</w:t>
            </w:r>
            <w:r>
              <w:rPr>
                <w:rFonts w:ascii="Times New Roman" w:hAnsi="Times New Roman"/>
                <w:color w:val="auto"/>
                <w:sz w:val="24"/>
                <w:szCs w:val="24"/>
                <w:lang w:val="zh-CN"/>
              </w:rPr>
              <w:t>、NO</w:t>
            </w:r>
            <w:r>
              <w:rPr>
                <w:rFonts w:ascii="Times New Roman" w:hAnsi="Times New Roman"/>
                <w:color w:val="auto"/>
                <w:sz w:val="24"/>
                <w:szCs w:val="24"/>
                <w:vertAlign w:val="subscript"/>
                <w:lang w:val="zh-CN"/>
              </w:rPr>
              <w:t>2</w:t>
            </w:r>
            <w:r>
              <w:rPr>
                <w:rFonts w:ascii="Times New Roman" w:hAnsi="Times New Roman"/>
                <w:color w:val="auto"/>
                <w:sz w:val="24"/>
                <w:szCs w:val="24"/>
                <w:lang w:val="zh-CN"/>
              </w:rPr>
              <w:t>、PM</w:t>
            </w:r>
            <w:r>
              <w:rPr>
                <w:rFonts w:ascii="Times New Roman" w:hAnsi="Times New Roman"/>
                <w:color w:val="auto"/>
                <w:sz w:val="24"/>
                <w:szCs w:val="24"/>
                <w:vertAlign w:val="subscript"/>
                <w:lang w:val="zh-CN"/>
              </w:rPr>
              <w:t>10</w:t>
            </w:r>
            <w:r>
              <w:rPr>
                <w:rFonts w:ascii="Times New Roman" w:hAnsi="Times New Roman"/>
                <w:color w:val="auto"/>
                <w:sz w:val="24"/>
                <w:szCs w:val="24"/>
                <w:lang w:val="zh-CN"/>
              </w:rPr>
              <w:t>、PM</w:t>
            </w:r>
            <w:r>
              <w:rPr>
                <w:rFonts w:ascii="Times New Roman" w:hAnsi="Times New Roman"/>
                <w:color w:val="auto"/>
                <w:sz w:val="24"/>
                <w:szCs w:val="24"/>
                <w:vertAlign w:val="subscript"/>
                <w:lang w:val="zh-CN"/>
              </w:rPr>
              <w:t>2.5</w:t>
            </w:r>
            <w:r>
              <w:rPr>
                <w:rFonts w:ascii="Times New Roman" w:hAnsi="Times New Roman"/>
                <w:color w:val="auto"/>
                <w:sz w:val="24"/>
                <w:szCs w:val="24"/>
                <w:lang w:val="zh-CN"/>
              </w:rPr>
              <w:t>年均浓度、CO24</w:t>
            </w:r>
            <w:r>
              <w:rPr>
                <w:rFonts w:ascii="Times New Roman" w:hAnsi="Times New Roman"/>
                <w:color w:val="auto"/>
                <w:sz w:val="24"/>
                <w:szCs w:val="24"/>
              </w:rPr>
              <w:t>h</w:t>
            </w:r>
            <w:r>
              <w:rPr>
                <w:rFonts w:ascii="Times New Roman" w:hAnsi="Times New Roman"/>
                <w:color w:val="auto"/>
                <w:sz w:val="24"/>
                <w:szCs w:val="24"/>
                <w:lang w:val="zh-CN"/>
              </w:rPr>
              <w:t>平均第95百分位数浓度</w:t>
            </w:r>
            <w:r>
              <w:rPr>
                <w:rFonts w:ascii="Times New Roman" w:hAnsi="Times New Roman"/>
                <w:color w:val="auto"/>
                <w:sz w:val="24"/>
                <w:szCs w:val="24"/>
              </w:rPr>
              <w:t>、</w:t>
            </w:r>
            <w:r>
              <w:rPr>
                <w:rFonts w:ascii="Times New Roman" w:hAnsi="Times New Roman"/>
                <w:color w:val="auto"/>
                <w:sz w:val="24"/>
                <w:szCs w:val="24"/>
                <w:lang w:val="zh-CN"/>
              </w:rPr>
              <w:t>O</w:t>
            </w:r>
            <w:r>
              <w:rPr>
                <w:rFonts w:ascii="Times New Roman" w:hAnsi="Times New Roman"/>
                <w:color w:val="auto"/>
                <w:sz w:val="24"/>
                <w:szCs w:val="24"/>
                <w:vertAlign w:val="subscript"/>
                <w:lang w:val="zh-CN"/>
              </w:rPr>
              <w:t>3</w:t>
            </w:r>
            <w:r>
              <w:rPr>
                <w:rFonts w:ascii="Times New Roman" w:hAnsi="Times New Roman"/>
                <w:color w:val="auto"/>
                <w:sz w:val="24"/>
                <w:szCs w:val="24"/>
                <w:lang w:val="zh-CN"/>
              </w:rPr>
              <w:t>日最大8小时平均第90百分位数浓度均达到</w:t>
            </w:r>
            <w:r>
              <w:rPr>
                <w:rFonts w:ascii="Times New Roman" w:hAnsi="Times New Roman"/>
                <w:color w:val="auto"/>
                <w:sz w:val="24"/>
                <w:szCs w:val="24"/>
              </w:rPr>
              <w:t>《环境空气质量标准》（GB3095-2026）二级标准要求（过渡阶段浓度限值），项目所在区域环境空气质量良好。</w:t>
            </w:r>
          </w:p>
          <w:p w14:paraId="619F7D36">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3.4</w:t>
            </w:r>
            <w:r>
              <w:rPr>
                <w:rFonts w:ascii="Times New Roman" w:hAnsi="Times New Roman"/>
                <w:b/>
                <w:color w:val="auto"/>
                <w:sz w:val="24"/>
              </w:rPr>
              <w:t>地表水环境质量现状</w:t>
            </w:r>
          </w:p>
          <w:p w14:paraId="3E93720F">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调查，项目区域涉及地表水主要为六河、龚家冲小河、酸梨树大箐（后河）、西沙冲、卡子河及淌水河，线路塔基N4～N5之间跨越六河、线路塔基N23～N24之间跨越龚家冲小河、线路塔基N39～N40之间跨越后河、线路塔基N50～N51之间跨越西沙冲、线路塔基N57～N58之间跨越卡子河、项目终点段位于淌水河南侧，最近距离为210米</w:t>
            </w:r>
            <w:r>
              <w:rPr>
                <w:rFonts w:hint="eastAsia" w:ascii="Times New Roman" w:hAnsi="Times New Roman"/>
                <w:color w:val="auto"/>
                <w:sz w:val="24"/>
              </w:rPr>
              <w:t>，淌水河为硝厂河支流，硝厂河由南向北汇入牛栏江。</w:t>
            </w:r>
            <w:r>
              <w:rPr>
                <w:rFonts w:ascii="Times New Roman" w:hAnsi="Times New Roman"/>
                <w:color w:val="auto"/>
                <w:sz w:val="24"/>
              </w:rPr>
              <w:t>六河、龚家冲小河、后河、西沙冲、卡子河等均为乐业大河支流，乐业大河由南向北汇入牛栏江。</w:t>
            </w:r>
          </w:p>
          <w:p w14:paraId="398B8370">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云南省水功能区划（2014年修订）》（云南省水利厅），项目区属于牛栏江滇黔缓冲区，该段起点为黄梨树水文站，终点为鲁甸江底，2030年水质目标为Ⅲ类，执行《地表水环境质量标准》（GB3838-2002）Ⅲ类标准；六河、龚家冲小河、后河、西沙冲、卡子河等水质参照</w:t>
            </w:r>
            <w:r>
              <w:rPr>
                <w:rFonts w:hint="eastAsia" w:ascii="Times New Roman" w:hAnsi="Times New Roman"/>
                <w:color w:val="auto"/>
                <w:sz w:val="24"/>
              </w:rPr>
              <w:t>牛栏江</w:t>
            </w:r>
            <w:r>
              <w:rPr>
                <w:rFonts w:ascii="Times New Roman" w:hAnsi="Times New Roman"/>
                <w:color w:val="auto"/>
                <w:sz w:val="24"/>
              </w:rPr>
              <w:t>执行Ⅲ类；硝厂河水质参照牛栏江执行Ⅲ类。</w:t>
            </w:r>
          </w:p>
          <w:p w14:paraId="383E3F4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牛栏江支流</w:t>
            </w:r>
            <w:r>
              <w:rPr>
                <w:rFonts w:hint="eastAsia" w:ascii="Times New Roman" w:hAnsi="Times New Roman"/>
                <w:color w:val="auto"/>
                <w:sz w:val="24"/>
              </w:rPr>
              <w:t>乐业大河</w:t>
            </w:r>
            <w:r>
              <w:rPr>
                <w:rFonts w:ascii="Times New Roman" w:hAnsi="Times New Roman"/>
                <w:color w:val="auto"/>
                <w:sz w:val="24"/>
              </w:rPr>
              <w:t>从项目区</w:t>
            </w:r>
            <w:r>
              <w:rPr>
                <w:rFonts w:hint="eastAsia" w:ascii="Times New Roman" w:hAnsi="Times New Roman"/>
                <w:color w:val="auto"/>
                <w:sz w:val="24"/>
              </w:rPr>
              <w:t>东侧</w:t>
            </w:r>
            <w:r>
              <w:rPr>
                <w:rFonts w:ascii="Times New Roman" w:hAnsi="Times New Roman"/>
                <w:color w:val="auto"/>
                <w:sz w:val="24"/>
              </w:rPr>
              <w:t>从南向北穿过，牛栏江大桥省控断面位于</w:t>
            </w:r>
            <w:r>
              <w:rPr>
                <w:rFonts w:hint="eastAsia" w:ascii="Times New Roman" w:hAnsi="Times New Roman"/>
                <w:color w:val="auto"/>
                <w:sz w:val="24"/>
              </w:rPr>
              <w:t>乐业大河</w:t>
            </w:r>
            <w:r>
              <w:rPr>
                <w:rFonts w:ascii="Times New Roman" w:hAnsi="Times New Roman"/>
                <w:color w:val="auto"/>
                <w:sz w:val="24"/>
              </w:rPr>
              <w:t>与牛栏江汇口处</w:t>
            </w:r>
            <w:r>
              <w:rPr>
                <w:rFonts w:hint="eastAsia" w:ascii="Times New Roman" w:hAnsi="Times New Roman"/>
                <w:color w:val="auto"/>
                <w:sz w:val="24"/>
              </w:rPr>
              <w:t>上游25km</w:t>
            </w:r>
            <w:r>
              <w:rPr>
                <w:rFonts w:ascii="Times New Roman" w:hAnsi="Times New Roman"/>
                <w:color w:val="auto"/>
                <w:sz w:val="24"/>
              </w:rPr>
              <w:t>，位于项目区北侧直线距离约</w:t>
            </w:r>
            <w:r>
              <w:rPr>
                <w:rFonts w:hint="eastAsia" w:ascii="Times New Roman" w:hAnsi="Times New Roman"/>
                <w:color w:val="auto"/>
                <w:sz w:val="24"/>
              </w:rPr>
              <w:t>29.6</w:t>
            </w:r>
            <w:r>
              <w:rPr>
                <w:rFonts w:ascii="Times New Roman" w:hAnsi="Times New Roman"/>
                <w:color w:val="auto"/>
                <w:sz w:val="24"/>
              </w:rPr>
              <w:t>km。根据《曲靖市环境质量年报（2025年）》，牛栏江大桥断面2025年水质能够达到《地表水环境质量标准》（GB3838-2002）Ⅱ类标准，地表水环境质量良好，满足Ⅲ类水功能要求。</w:t>
            </w:r>
          </w:p>
          <w:p w14:paraId="470F17C2">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硝厂河从项目区</w:t>
            </w:r>
            <w:r>
              <w:rPr>
                <w:rFonts w:hint="eastAsia" w:ascii="Times New Roman" w:hAnsi="Times New Roman"/>
                <w:color w:val="auto"/>
                <w:sz w:val="24"/>
              </w:rPr>
              <w:t>终点段东</w:t>
            </w:r>
            <w:r>
              <w:rPr>
                <w:rFonts w:ascii="Times New Roman" w:hAnsi="Times New Roman"/>
                <w:color w:val="auto"/>
                <w:sz w:val="24"/>
              </w:rPr>
              <w:t>侧从南向北</w:t>
            </w:r>
            <w:r>
              <w:rPr>
                <w:rFonts w:hint="eastAsia" w:ascii="Times New Roman" w:hAnsi="Times New Roman"/>
                <w:color w:val="auto"/>
                <w:sz w:val="24"/>
              </w:rPr>
              <w:t>汇入</w:t>
            </w:r>
            <w:r>
              <w:rPr>
                <w:rFonts w:ascii="Times New Roman" w:hAnsi="Times New Roman"/>
                <w:color w:val="auto"/>
                <w:sz w:val="24"/>
              </w:rPr>
              <w:t>牛栏江，</w:t>
            </w:r>
            <w:r>
              <w:rPr>
                <w:rFonts w:hint="eastAsia" w:ascii="Times New Roman" w:hAnsi="Times New Roman"/>
                <w:color w:val="auto"/>
                <w:sz w:val="24"/>
              </w:rPr>
              <w:t>市控断面</w:t>
            </w:r>
            <w:r>
              <w:rPr>
                <w:rFonts w:ascii="Times New Roman" w:hAnsi="Times New Roman"/>
                <w:color w:val="auto"/>
                <w:sz w:val="24"/>
              </w:rPr>
              <w:t>硝厂河</w:t>
            </w:r>
            <w:r>
              <w:rPr>
                <w:rFonts w:hint="eastAsia" w:ascii="Times New Roman" w:hAnsi="Times New Roman"/>
                <w:color w:val="auto"/>
                <w:sz w:val="24"/>
              </w:rPr>
              <w:t>位于</w:t>
            </w:r>
            <w:r>
              <w:rPr>
                <w:rFonts w:ascii="Times New Roman" w:hAnsi="Times New Roman"/>
                <w:color w:val="auto"/>
                <w:sz w:val="24"/>
              </w:rPr>
              <w:t>硝厂河与牛栏江汇口处，</w:t>
            </w:r>
            <w:r>
              <w:rPr>
                <w:rFonts w:hint="eastAsia" w:ascii="Times New Roman" w:hAnsi="Times New Roman"/>
                <w:color w:val="auto"/>
                <w:sz w:val="24"/>
              </w:rPr>
              <w:t>位于项目北侧最近距离24.6km，处于项目下游</w:t>
            </w:r>
            <w:r>
              <w:rPr>
                <w:rFonts w:ascii="Times New Roman" w:hAnsi="Times New Roman"/>
                <w:color w:val="auto"/>
                <w:sz w:val="24"/>
              </w:rPr>
              <w:t>。</w:t>
            </w:r>
            <w:r>
              <w:rPr>
                <w:rFonts w:hint="eastAsia" w:ascii="Times New Roman" w:hAnsi="Times New Roman"/>
                <w:color w:val="auto"/>
                <w:sz w:val="24"/>
              </w:rPr>
              <w:t>根据《曲靖市环境质量年报（2025年）》，硝厂河断面2025年</w:t>
            </w:r>
            <w:r>
              <w:rPr>
                <w:rFonts w:ascii="Times New Roman" w:hAnsi="Times New Roman"/>
                <w:color w:val="auto"/>
                <w:sz w:val="24"/>
              </w:rPr>
              <w:t>水质能够达到Ⅱ类标准</w:t>
            </w:r>
            <w:r>
              <w:rPr>
                <w:rFonts w:hint="eastAsia" w:ascii="Times New Roman" w:hAnsi="Times New Roman"/>
                <w:color w:val="auto"/>
                <w:sz w:val="24"/>
              </w:rPr>
              <w:t>，因此，项目区域</w:t>
            </w:r>
            <w:r>
              <w:rPr>
                <w:rFonts w:ascii="Times New Roman" w:hAnsi="Times New Roman"/>
                <w:color w:val="auto"/>
                <w:sz w:val="24"/>
              </w:rPr>
              <w:t>地表水环境质量良好，满足Ⅲ类水功能要求。</w:t>
            </w:r>
          </w:p>
          <w:p w14:paraId="290F3C74">
            <w:pPr>
              <w:adjustRightInd w:val="0"/>
              <w:snapToGrid w:val="0"/>
              <w:spacing w:line="440" w:lineRule="exact"/>
              <w:ind w:firstLine="482" w:firstLineChars="200"/>
              <w:rPr>
                <w:rFonts w:ascii="Times New Roman" w:hAnsi="Times New Roman"/>
                <w:b/>
                <w:color w:val="auto"/>
                <w:sz w:val="24"/>
              </w:rPr>
            </w:pPr>
            <w:r>
              <w:rPr>
                <w:rFonts w:ascii="Times New Roman" w:hAnsi="Times New Roman"/>
                <w:b/>
                <w:color w:val="auto"/>
                <w:sz w:val="24"/>
              </w:rPr>
              <w:t>3.5电磁环境质量现状</w:t>
            </w:r>
          </w:p>
          <w:p w14:paraId="488EF2D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电磁环境影响专题评价》中电磁环境现状评价，结论如下：</w:t>
            </w:r>
          </w:p>
          <w:p w14:paraId="2F075E54">
            <w:pPr>
              <w:adjustRightInd w:val="0"/>
              <w:snapToGrid w:val="0"/>
              <w:spacing w:line="440" w:lineRule="exact"/>
              <w:ind w:firstLine="480" w:firstLineChars="200"/>
              <w:rPr>
                <w:rFonts w:ascii="Times New Roman" w:hAnsi="Times New Roman"/>
                <w:bCs/>
                <w:color w:val="auto"/>
                <w:kern w:val="0"/>
                <w:sz w:val="24"/>
                <w:szCs w:val="24"/>
              </w:rPr>
            </w:pPr>
            <w:r>
              <w:rPr>
                <w:rFonts w:hint="eastAsia" w:ascii="Times New Roman" w:hAnsi="Times New Roman"/>
                <w:color w:val="auto"/>
                <w:sz w:val="24"/>
                <w:szCs w:val="24"/>
              </w:rPr>
              <w:t>本次评价时，</w:t>
            </w:r>
            <w:r>
              <w:rPr>
                <w:rFonts w:ascii="Times New Roman" w:hAnsi="Times New Roman"/>
                <w:color w:val="auto"/>
                <w:sz w:val="24"/>
                <w:szCs w:val="24"/>
              </w:rPr>
              <w:t>拟建220kV</w:t>
            </w:r>
            <w:r>
              <w:rPr>
                <w:rFonts w:hint="eastAsia" w:ascii="Times New Roman" w:hAnsi="Times New Roman"/>
                <w:color w:val="auto"/>
                <w:sz w:val="24"/>
                <w:szCs w:val="24"/>
              </w:rPr>
              <w:t>六合一</w:t>
            </w:r>
            <w:r>
              <w:rPr>
                <w:rFonts w:ascii="Times New Roman" w:hAnsi="Times New Roman"/>
                <w:color w:val="auto"/>
                <w:sz w:val="24"/>
                <w:szCs w:val="24"/>
              </w:rPr>
              <w:t>升压站</w:t>
            </w:r>
            <w:r>
              <w:rPr>
                <w:rFonts w:hint="eastAsia" w:ascii="Times New Roman" w:hAnsi="Times New Roman"/>
                <w:color w:val="auto"/>
                <w:sz w:val="24"/>
                <w:szCs w:val="24"/>
              </w:rPr>
              <w:t>、500kV乐业变电站</w:t>
            </w:r>
            <w:r>
              <w:rPr>
                <w:rFonts w:ascii="Times New Roman" w:hAnsi="Times New Roman"/>
                <w:color w:val="auto"/>
                <w:sz w:val="24"/>
                <w:szCs w:val="24"/>
              </w:rPr>
              <w:t>正在建设中，</w:t>
            </w:r>
            <w:r>
              <w:rPr>
                <w:rFonts w:hint="eastAsia" w:ascii="Times New Roman" w:hAnsi="Times New Roman"/>
                <w:color w:val="auto"/>
                <w:sz w:val="24"/>
                <w:szCs w:val="24"/>
              </w:rPr>
              <w:t>本次评价</w:t>
            </w:r>
            <w:r>
              <w:rPr>
                <w:rFonts w:hint="eastAsia" w:ascii="Times New Roman" w:hAnsi="Times New Roman"/>
                <w:bCs/>
                <w:color w:val="auto"/>
                <w:kern w:val="0"/>
                <w:sz w:val="24"/>
                <w:szCs w:val="24"/>
              </w:rPr>
              <w:t>引用环评阶段现状监测数据，220kV六合一升压站站址中心的工频电场强度范围为30V/m~41V/m，工频磁感应强度范围为0.064μT~0.086μT，满足《电磁环境控制限值》（GB8702-2014）公众曝露控制限值标准（工频电场4000V/m、工频磁感应强度100μT）的要求。</w:t>
            </w:r>
          </w:p>
          <w:p w14:paraId="48BA7AC8">
            <w:pPr>
              <w:adjustRightInd w:val="0"/>
              <w:snapToGrid w:val="0"/>
              <w:spacing w:line="440" w:lineRule="exact"/>
              <w:ind w:firstLine="480" w:firstLineChars="200"/>
              <w:rPr>
                <w:rFonts w:ascii="Times New Roman" w:hAnsi="Times New Roman"/>
                <w:bCs/>
                <w:color w:val="auto"/>
                <w:kern w:val="0"/>
                <w:sz w:val="24"/>
                <w:szCs w:val="24"/>
              </w:rPr>
            </w:pPr>
            <w:r>
              <w:rPr>
                <w:rFonts w:hint="eastAsia" w:ascii="Times New Roman" w:hAnsi="Times New Roman"/>
                <w:bCs/>
                <w:color w:val="auto"/>
                <w:kern w:val="0"/>
                <w:sz w:val="24"/>
                <w:szCs w:val="24"/>
              </w:rPr>
              <w:t>500kV乐业变电站站址中心处及附近的工频电场强度</w:t>
            </w:r>
            <w:r>
              <w:rPr>
                <w:rFonts w:hint="eastAsia" w:ascii="Times New Roman" w:hAnsi="Times New Roman"/>
                <w:bCs/>
                <w:color w:val="auto"/>
                <w:kern w:val="0"/>
                <w:sz w:val="24"/>
                <w:szCs w:val="24"/>
                <w:lang w:val="en-US" w:eastAsia="zh-CN"/>
              </w:rPr>
              <w:t>为</w:t>
            </w:r>
            <w:r>
              <w:rPr>
                <w:rFonts w:hint="eastAsia" w:ascii="Times New Roman" w:hAnsi="Times New Roman"/>
                <w:bCs/>
                <w:color w:val="auto"/>
                <w:kern w:val="0"/>
                <w:sz w:val="24"/>
                <w:szCs w:val="24"/>
              </w:rPr>
              <w:t>0.352V/m，拟建站址中心处及附近的工频磁感应强度</w:t>
            </w:r>
            <w:r>
              <w:rPr>
                <w:rFonts w:hint="eastAsia" w:ascii="Times New Roman" w:hAnsi="Times New Roman"/>
                <w:bCs/>
                <w:color w:val="auto"/>
                <w:kern w:val="0"/>
                <w:sz w:val="24"/>
                <w:szCs w:val="24"/>
                <w:lang w:val="en-US" w:eastAsia="zh-CN"/>
              </w:rPr>
              <w:t>为</w:t>
            </w:r>
            <w:r>
              <w:rPr>
                <w:rFonts w:hint="eastAsia" w:ascii="Times New Roman" w:hAnsi="Times New Roman"/>
                <w:bCs/>
                <w:color w:val="auto"/>
                <w:kern w:val="0"/>
                <w:sz w:val="24"/>
                <w:szCs w:val="24"/>
              </w:rPr>
              <w:t>0.0897μT，《电磁环境控制限值》（GB8702-2014）标准（工频电场4000V/m、工频磁感应强度100μT）的要求。</w:t>
            </w:r>
          </w:p>
          <w:p w14:paraId="3505225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根据本次环境质量现状监测报告（编号：YSBG202605258号），线路敏感点工频电场强度为8.21~24.62V/m；线路敏感点工频磁感应强度为0.04μT~0.11μT，</w:t>
            </w:r>
            <w:r>
              <w:rPr>
                <w:rFonts w:ascii="Times New Roman" w:hAnsi="Times New Roman"/>
                <w:bCs/>
                <w:color w:val="auto"/>
                <w:kern w:val="0"/>
                <w:sz w:val="24"/>
                <w:szCs w:val="24"/>
              </w:rPr>
              <w:t>满足《电磁环境控制限值》（GB8702</w:t>
            </w:r>
            <w:r>
              <w:rPr>
                <w:rFonts w:hint="eastAsia" w:ascii="Times New Roman" w:hAnsi="Times New Roman"/>
                <w:bCs/>
                <w:color w:val="auto"/>
                <w:kern w:val="0"/>
                <w:sz w:val="24"/>
                <w:szCs w:val="24"/>
              </w:rPr>
              <w:t>-</w:t>
            </w:r>
            <w:r>
              <w:rPr>
                <w:rFonts w:ascii="Times New Roman" w:hAnsi="Times New Roman"/>
                <w:bCs/>
                <w:color w:val="auto"/>
                <w:kern w:val="0"/>
                <w:sz w:val="24"/>
                <w:szCs w:val="24"/>
              </w:rPr>
              <w:t>2014）中4kV/m、100μT的环境质量限值要求。</w:t>
            </w:r>
          </w:p>
          <w:p w14:paraId="21029190">
            <w:pPr>
              <w:adjustRightInd w:val="0"/>
              <w:snapToGrid w:val="0"/>
              <w:spacing w:line="440" w:lineRule="exact"/>
              <w:ind w:firstLine="482" w:firstLineChars="200"/>
              <w:rPr>
                <w:rFonts w:ascii="Times New Roman" w:hAnsi="Times New Roman"/>
                <w:b/>
                <w:color w:val="auto"/>
                <w:sz w:val="24"/>
              </w:rPr>
            </w:pPr>
            <w:r>
              <w:rPr>
                <w:rFonts w:ascii="Times New Roman" w:hAnsi="Times New Roman"/>
                <w:b/>
                <w:color w:val="auto"/>
                <w:sz w:val="24"/>
              </w:rPr>
              <w:t>3.6声环境质量现状</w:t>
            </w:r>
          </w:p>
          <w:p w14:paraId="7A96F8C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ascii="Times New Roman" w:hAnsi="Times New Roman"/>
                <w:color w:val="auto"/>
                <w:sz w:val="24"/>
                <w:szCs w:val="24"/>
              </w:rPr>
              <w:t>，项目区无相关声环境功能区划，</w:t>
            </w:r>
            <w:r>
              <w:rPr>
                <w:rFonts w:ascii="Times New Roman" w:hAnsi="Times New Roman"/>
                <w:color w:val="auto"/>
                <w:sz w:val="24"/>
              </w:rPr>
              <w:t>建设项目线路所在区域</w:t>
            </w:r>
            <w:r>
              <w:rPr>
                <w:rFonts w:hint="eastAsia" w:ascii="Times New Roman" w:hAnsi="Times New Roman"/>
                <w:color w:val="auto"/>
                <w:sz w:val="24"/>
              </w:rPr>
              <w:t>属于</w:t>
            </w:r>
            <w:r>
              <w:rPr>
                <w:rFonts w:ascii="Times New Roman" w:hAnsi="Times New Roman"/>
                <w:color w:val="auto"/>
                <w:sz w:val="24"/>
              </w:rPr>
              <w:t>城郊农村地区，沿线周边分布有村庄、道路等，线路沿线区域主</w:t>
            </w:r>
            <w:r>
              <w:rPr>
                <w:rFonts w:hint="eastAsia" w:ascii="Times New Roman" w:hAnsi="Times New Roman"/>
                <w:color w:val="auto"/>
                <w:sz w:val="24"/>
              </w:rPr>
              <w:t>要以</w:t>
            </w:r>
            <w:r>
              <w:rPr>
                <w:rFonts w:ascii="Times New Roman" w:hAnsi="Times New Roman"/>
                <w:color w:val="auto"/>
                <w:kern w:val="0"/>
                <w:sz w:val="24"/>
              </w:rPr>
              <w:t>林地、耕地</w:t>
            </w:r>
            <w:r>
              <w:rPr>
                <w:rFonts w:hint="eastAsia" w:ascii="Times New Roman" w:hAnsi="Times New Roman"/>
                <w:color w:val="auto"/>
                <w:kern w:val="0"/>
                <w:sz w:val="24"/>
              </w:rPr>
              <w:t>和草地</w:t>
            </w:r>
            <w:r>
              <w:rPr>
                <w:rFonts w:ascii="Times New Roman" w:hAnsi="Times New Roman"/>
                <w:color w:val="auto"/>
                <w:kern w:val="0"/>
                <w:sz w:val="24"/>
              </w:rPr>
              <w:t>为主</w:t>
            </w:r>
            <w:r>
              <w:rPr>
                <w:rFonts w:ascii="Times New Roman" w:hAnsi="Times New Roman"/>
                <w:color w:val="auto"/>
                <w:sz w:val="24"/>
              </w:rPr>
              <w:t>。</w:t>
            </w:r>
            <w:r>
              <w:rPr>
                <w:rFonts w:ascii="Times New Roman" w:hAnsi="Times New Roman"/>
                <w:color w:val="auto"/>
                <w:kern w:val="0"/>
                <w:sz w:val="24"/>
                <w:szCs w:val="24"/>
              </w:rPr>
              <w:t>评价范围内</w:t>
            </w:r>
            <w:r>
              <w:rPr>
                <w:rFonts w:hint="eastAsia" w:ascii="Times New Roman" w:hAnsi="Times New Roman"/>
                <w:color w:val="auto"/>
                <w:kern w:val="0"/>
                <w:sz w:val="24"/>
                <w:szCs w:val="24"/>
              </w:rPr>
              <w:t>噪声环境质量</w:t>
            </w:r>
            <w:r>
              <w:rPr>
                <w:rFonts w:ascii="Times New Roman" w:hAnsi="Times New Roman"/>
                <w:color w:val="auto"/>
                <w:kern w:val="0"/>
                <w:sz w:val="24"/>
              </w:rPr>
              <w:t>执行《声环境质量标准》（GB3096-2008）</w:t>
            </w:r>
            <w:r>
              <w:rPr>
                <w:rFonts w:hint="eastAsia" w:ascii="Times New Roman" w:hAnsi="Times New Roman"/>
                <w:color w:val="auto"/>
                <w:kern w:val="0"/>
                <w:sz w:val="24"/>
              </w:rPr>
              <w:t>1类</w:t>
            </w:r>
            <w:r>
              <w:rPr>
                <w:rFonts w:ascii="Times New Roman" w:hAnsi="Times New Roman"/>
                <w:color w:val="auto"/>
                <w:kern w:val="0"/>
                <w:sz w:val="24"/>
              </w:rPr>
              <w:t>标准</w:t>
            </w:r>
            <w:r>
              <w:rPr>
                <w:rFonts w:ascii="Times New Roman" w:hAnsi="Times New Roman"/>
                <w:color w:val="auto"/>
                <w:sz w:val="24"/>
                <w:szCs w:val="24"/>
              </w:rPr>
              <w:t>。</w:t>
            </w:r>
          </w:p>
          <w:p w14:paraId="0CD2143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为了解项目区声环境质量现状，委托贵州元烁环境检测技术有限公司对项目拟建线路进行了声环境质量监测，并出具了《</w:t>
            </w: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环境质量现状监测报告》（报告编号：YSBG202605258号）。</w:t>
            </w:r>
          </w:p>
          <w:p w14:paraId="725DCDC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同时，</w:t>
            </w:r>
            <w:r>
              <w:rPr>
                <w:rFonts w:hint="eastAsia" w:ascii="Times New Roman" w:hAnsi="Times New Roman"/>
                <w:color w:val="auto"/>
                <w:sz w:val="24"/>
                <w:szCs w:val="24"/>
              </w:rPr>
              <w:t>因本次评价时，</w:t>
            </w:r>
            <w:r>
              <w:rPr>
                <w:rFonts w:ascii="Times New Roman" w:hAnsi="Times New Roman"/>
                <w:color w:val="auto"/>
                <w:sz w:val="24"/>
                <w:szCs w:val="24"/>
              </w:rPr>
              <w:t>拟建</w:t>
            </w:r>
            <w:r>
              <w:rPr>
                <w:rFonts w:hint="eastAsia" w:ascii="Times New Roman" w:hAnsi="Times New Roman"/>
                <w:color w:val="auto"/>
                <w:sz w:val="24"/>
                <w:szCs w:val="24"/>
              </w:rPr>
              <w:t>500kV乐业变电站</w:t>
            </w:r>
            <w:r>
              <w:rPr>
                <w:rFonts w:ascii="Times New Roman" w:hAnsi="Times New Roman"/>
                <w:color w:val="auto"/>
                <w:sz w:val="24"/>
                <w:szCs w:val="24"/>
              </w:rPr>
              <w:t>正在建设中，因此，本次评价</w:t>
            </w:r>
            <w:r>
              <w:rPr>
                <w:rFonts w:hint="eastAsia" w:ascii="Times New Roman" w:hAnsi="Times New Roman"/>
                <w:color w:val="auto"/>
                <w:sz w:val="24"/>
                <w:szCs w:val="24"/>
              </w:rPr>
              <w:t>500kV乐业变电磁</w:t>
            </w:r>
            <w:r>
              <w:rPr>
                <w:rFonts w:ascii="Times New Roman" w:hAnsi="Times New Roman"/>
                <w:color w:val="auto"/>
                <w:sz w:val="24"/>
                <w:szCs w:val="24"/>
              </w:rPr>
              <w:t>环境现状引用</w:t>
            </w:r>
            <w:r>
              <w:rPr>
                <w:rFonts w:hint="eastAsia" w:ascii="Times New Roman" w:hAnsi="Times New Roman"/>
                <w:color w:val="auto"/>
                <w:sz w:val="24"/>
                <w:szCs w:val="24"/>
              </w:rPr>
              <w:t>《500千伏乐业输变电工程环境影响报告书》中云南科环环境工程咨询有限公司2024年4月25日对拟建升压站站址中心的声环境现状监测数据（报告编号：科环检字【2024】-0422002）。</w:t>
            </w:r>
          </w:p>
          <w:p w14:paraId="13AB4E2A">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3.6.1监测因子及监测频次</w:t>
            </w:r>
          </w:p>
          <w:p w14:paraId="2DE26E3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监测因子：等效连续A声级。</w:t>
            </w:r>
          </w:p>
          <w:p w14:paraId="62AAD5FF">
            <w:pPr>
              <w:adjustRightInd w:val="0"/>
              <w:snapToGrid w:val="0"/>
              <w:spacing w:line="440" w:lineRule="exact"/>
              <w:ind w:firstLine="480" w:firstLineChars="200"/>
              <w:rPr>
                <w:rFonts w:ascii="Times New Roman" w:hAnsi="Times New Roman"/>
                <w:color w:val="auto"/>
                <w:sz w:val="24"/>
                <w:szCs w:val="24"/>
                <w:highlight w:val="yellow"/>
              </w:rPr>
            </w:pPr>
            <w:r>
              <w:rPr>
                <w:rFonts w:ascii="Times New Roman" w:hAnsi="Times New Roman"/>
                <w:color w:val="auto"/>
                <w:sz w:val="24"/>
                <w:szCs w:val="24"/>
              </w:rPr>
              <w:t>监测时间：202</w:t>
            </w:r>
            <w:r>
              <w:rPr>
                <w:rFonts w:hint="eastAsia" w:ascii="Times New Roman" w:hAnsi="Times New Roman"/>
                <w:color w:val="auto"/>
                <w:sz w:val="24"/>
                <w:szCs w:val="24"/>
              </w:rPr>
              <w:t>6</w:t>
            </w:r>
            <w:r>
              <w:rPr>
                <w:rFonts w:ascii="Times New Roman" w:hAnsi="Times New Roman"/>
                <w:color w:val="auto"/>
                <w:sz w:val="24"/>
                <w:szCs w:val="24"/>
              </w:rPr>
              <w:t>年</w:t>
            </w:r>
            <w:r>
              <w:rPr>
                <w:rFonts w:hint="eastAsia" w:ascii="Times New Roman" w:hAnsi="Times New Roman"/>
                <w:color w:val="auto"/>
                <w:sz w:val="24"/>
                <w:szCs w:val="24"/>
              </w:rPr>
              <w:t>5</w:t>
            </w:r>
            <w:r>
              <w:rPr>
                <w:rFonts w:ascii="Times New Roman" w:hAnsi="Times New Roman"/>
                <w:color w:val="auto"/>
                <w:sz w:val="24"/>
                <w:szCs w:val="24"/>
              </w:rPr>
              <w:t>月</w:t>
            </w:r>
            <w:r>
              <w:rPr>
                <w:rFonts w:hint="eastAsia" w:ascii="Times New Roman" w:hAnsi="Times New Roman"/>
                <w:color w:val="auto"/>
                <w:sz w:val="24"/>
                <w:szCs w:val="24"/>
              </w:rPr>
              <w:t>31</w:t>
            </w:r>
            <w:r>
              <w:rPr>
                <w:rFonts w:ascii="Times New Roman" w:hAnsi="Times New Roman"/>
                <w:color w:val="auto"/>
                <w:sz w:val="24"/>
                <w:szCs w:val="24"/>
              </w:rPr>
              <w:t>日。</w:t>
            </w:r>
          </w:p>
          <w:p w14:paraId="4EE0834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监测频次：每个监测点昼间、夜间各监测一次。</w:t>
            </w:r>
          </w:p>
          <w:p w14:paraId="161A4837">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3.6.2监测点位及布点方法</w:t>
            </w:r>
          </w:p>
          <w:p w14:paraId="095129A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（1）布点原则</w:t>
            </w:r>
          </w:p>
          <w:p w14:paraId="09B7533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对周边噪声敏感建筑物（声环境敏感目标）进行声环境质量监测。根据声源、周围噪声敏感建筑物的布局以及毗邻的区域类别，在每一侧厂界外布设多个监测点，其中包括距噪声敏感建筑物较近以及受被测声源影响大的位置。噪声敏感建筑物的监测点选择在从不同方位</w:t>
            </w:r>
            <w:r>
              <w:rPr>
                <w:rFonts w:hint="eastAsia" w:ascii="Times New Roman" w:hAnsi="Times New Roman"/>
                <w:color w:val="auto"/>
                <w:sz w:val="24"/>
                <w:szCs w:val="24"/>
              </w:rPr>
              <w:t>距离</w:t>
            </w:r>
            <w:r>
              <w:rPr>
                <w:rFonts w:ascii="Times New Roman" w:hAnsi="Times New Roman"/>
                <w:color w:val="auto"/>
                <w:sz w:val="24"/>
                <w:szCs w:val="24"/>
              </w:rPr>
              <w:t>最近的建筑物外，且距墙壁或窗户1m、距地面高度1.2m以上的位置。</w:t>
            </w:r>
          </w:p>
          <w:p w14:paraId="5901431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（2）监测点布设</w:t>
            </w:r>
          </w:p>
          <w:p w14:paraId="2078CEA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对噪声敏感建筑物的监测点选择在距输电线路最近的建筑物外，且距墙壁或窗户1m、距地面高度1.2m以上的位置。</w:t>
            </w:r>
          </w:p>
          <w:p w14:paraId="559DE1E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本次新建</w:t>
            </w:r>
            <w:r>
              <w:rPr>
                <w:rFonts w:hint="eastAsia" w:ascii="Times New Roman" w:hAnsi="Times New Roman"/>
                <w:color w:val="auto"/>
                <w:sz w:val="24"/>
                <w:szCs w:val="24"/>
              </w:rPr>
              <w:t>22</w:t>
            </w:r>
            <w:r>
              <w:rPr>
                <w:rFonts w:ascii="Times New Roman" w:hAnsi="Times New Roman"/>
                <w:color w:val="auto"/>
                <w:sz w:val="24"/>
                <w:szCs w:val="24"/>
              </w:rPr>
              <w:t>0kV输电线路涉及</w:t>
            </w:r>
            <w:r>
              <w:rPr>
                <w:rFonts w:hint="eastAsia" w:ascii="Times New Roman" w:hAnsi="Times New Roman"/>
                <w:color w:val="auto"/>
                <w:sz w:val="24"/>
                <w:szCs w:val="24"/>
              </w:rPr>
              <w:t>7处</w:t>
            </w:r>
            <w:r>
              <w:rPr>
                <w:rFonts w:ascii="Times New Roman" w:hAnsi="Times New Roman"/>
                <w:color w:val="auto"/>
                <w:sz w:val="24"/>
                <w:szCs w:val="24"/>
              </w:rPr>
              <w:t>敏感点，敏感点距离工程相对位置具体见表3-</w:t>
            </w:r>
            <w:r>
              <w:rPr>
                <w:rFonts w:hint="eastAsia" w:ascii="Times New Roman" w:hAnsi="Times New Roman"/>
                <w:color w:val="auto"/>
                <w:sz w:val="24"/>
                <w:szCs w:val="24"/>
              </w:rPr>
              <w:t>5</w:t>
            </w:r>
            <w:r>
              <w:rPr>
                <w:rFonts w:ascii="Times New Roman" w:hAnsi="Times New Roman"/>
                <w:color w:val="auto"/>
                <w:sz w:val="24"/>
                <w:szCs w:val="24"/>
              </w:rPr>
              <w:t>，本次对涉及的敏感点均布置监测点。项目共设置</w:t>
            </w:r>
            <w:r>
              <w:rPr>
                <w:rFonts w:hint="eastAsia" w:ascii="Times New Roman" w:hAnsi="Times New Roman"/>
                <w:color w:val="auto"/>
                <w:sz w:val="24"/>
                <w:szCs w:val="24"/>
              </w:rPr>
              <w:t>7处</w:t>
            </w:r>
            <w:r>
              <w:rPr>
                <w:rFonts w:ascii="Times New Roman" w:hAnsi="Times New Roman"/>
                <w:color w:val="auto"/>
                <w:sz w:val="24"/>
                <w:szCs w:val="24"/>
              </w:rPr>
              <w:t>声环境质量监测点位，监测布点符合《环境影响评价技术导则  输变电》（HJ24-2020）等的相关要求，监测结果可充分反映</w:t>
            </w:r>
            <w:r>
              <w:rPr>
                <w:rFonts w:hint="eastAsia" w:ascii="Times New Roman" w:hAnsi="Times New Roman"/>
                <w:color w:val="auto"/>
                <w:sz w:val="24"/>
                <w:szCs w:val="24"/>
              </w:rPr>
              <w:t>线路</w:t>
            </w:r>
            <w:r>
              <w:rPr>
                <w:rFonts w:ascii="Times New Roman" w:hAnsi="Times New Roman"/>
                <w:color w:val="auto"/>
                <w:sz w:val="24"/>
                <w:szCs w:val="24"/>
              </w:rPr>
              <w:t>声环境现状和线路周边敏感目标的声环境质量。因此，本期工程声环境现状监测布点合理，且具有代表性。</w:t>
            </w:r>
          </w:p>
          <w:p w14:paraId="24F0E61D">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同时，因本次评价时，</w:t>
            </w:r>
            <w:r>
              <w:rPr>
                <w:rFonts w:ascii="Times New Roman" w:hAnsi="Times New Roman"/>
                <w:color w:val="auto"/>
                <w:sz w:val="24"/>
                <w:szCs w:val="24"/>
              </w:rPr>
              <w:t>拟建</w:t>
            </w:r>
            <w:r>
              <w:rPr>
                <w:rFonts w:hint="eastAsia" w:ascii="Times New Roman" w:hAnsi="Times New Roman"/>
                <w:color w:val="auto"/>
                <w:sz w:val="24"/>
                <w:szCs w:val="24"/>
              </w:rPr>
              <w:t>500kV乐业变电站、220kV六合一升压站</w:t>
            </w:r>
            <w:r>
              <w:rPr>
                <w:rFonts w:ascii="Times New Roman" w:hAnsi="Times New Roman"/>
                <w:color w:val="auto"/>
                <w:sz w:val="24"/>
                <w:szCs w:val="24"/>
              </w:rPr>
              <w:t>正在建设中，因此，</w:t>
            </w:r>
            <w:r>
              <w:rPr>
                <w:rFonts w:hint="eastAsia" w:ascii="Times New Roman" w:hAnsi="Times New Roman"/>
                <w:color w:val="auto"/>
                <w:sz w:val="24"/>
                <w:szCs w:val="24"/>
              </w:rPr>
              <w:t>本次评价引用升压站环评阶段噪声环境现状监测数据。</w:t>
            </w:r>
          </w:p>
          <w:p w14:paraId="48B8B609">
            <w:pPr>
              <w:pStyle w:val="18"/>
              <w:pBdr>
                <w:bottom w:val="none" w:color="auto" w:sz="0" w:space="0"/>
              </w:pBdr>
              <w:adjustRightInd w:val="0"/>
              <w:rPr>
                <w:rFonts w:ascii="Times New Roman" w:hAnsi="Times New Roman"/>
                <w:b/>
                <w:bCs/>
                <w:color w:val="auto"/>
                <w:sz w:val="24"/>
                <w:szCs w:val="24"/>
              </w:rPr>
            </w:pPr>
            <w:r>
              <w:rPr>
                <w:rFonts w:ascii="Times New Roman" w:hAnsi="Times New Roman"/>
                <w:b/>
                <w:bCs/>
                <w:color w:val="auto"/>
                <w:sz w:val="24"/>
                <w:szCs w:val="24"/>
              </w:rPr>
              <w:t>表3-</w:t>
            </w:r>
            <w:r>
              <w:rPr>
                <w:rFonts w:hint="eastAsia" w:ascii="Times New Roman" w:hAnsi="Times New Roman"/>
                <w:b/>
                <w:bCs/>
                <w:color w:val="auto"/>
                <w:sz w:val="24"/>
                <w:szCs w:val="24"/>
              </w:rPr>
              <w:t>24</w:t>
            </w:r>
            <w:r>
              <w:rPr>
                <w:rFonts w:ascii="Times New Roman" w:hAnsi="Times New Roman"/>
                <w:b/>
                <w:bCs/>
                <w:color w:val="auto"/>
                <w:sz w:val="24"/>
                <w:szCs w:val="24"/>
              </w:rPr>
              <w:t xml:space="preserve">  噪声现状监测点位表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6"/>
              <w:gridCol w:w="3850"/>
              <w:gridCol w:w="1461"/>
              <w:gridCol w:w="1507"/>
              <w:gridCol w:w="822"/>
            </w:tblGrid>
            <w:tr w14:paraId="7E288C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tcBorders>
                    <w:tl2br w:val="nil"/>
                    <w:tr2bl w:val="nil"/>
                  </w:tcBorders>
                  <w:vAlign w:val="center"/>
                </w:tcPr>
                <w:p w14:paraId="712C4664">
                  <w:pPr>
                    <w:adjustRightInd w:val="0"/>
                    <w:snapToGrid w:val="0"/>
                    <w:jc w:val="center"/>
                    <w:rPr>
                      <w:rFonts w:ascii="Times New Roman" w:hAnsi="Times New Roman"/>
                      <w:b/>
                      <w:bCs/>
                      <w:color w:val="auto"/>
                      <w:szCs w:val="21"/>
                    </w:rPr>
                  </w:pPr>
                  <w:r>
                    <w:rPr>
                      <w:rFonts w:ascii="Times New Roman" w:hAnsi="Times New Roman"/>
                      <w:b/>
                      <w:bCs/>
                      <w:color w:val="auto"/>
                      <w:szCs w:val="21"/>
                    </w:rPr>
                    <w:t>工程</w:t>
                  </w:r>
                </w:p>
              </w:tc>
              <w:tc>
                <w:tcPr>
                  <w:tcW w:w="2283" w:type="pct"/>
                  <w:tcBorders>
                    <w:tl2br w:val="nil"/>
                    <w:tr2bl w:val="nil"/>
                  </w:tcBorders>
                  <w:vAlign w:val="center"/>
                </w:tcPr>
                <w:p w14:paraId="4A956356">
                  <w:pPr>
                    <w:adjustRightInd w:val="0"/>
                    <w:snapToGrid w:val="0"/>
                    <w:jc w:val="center"/>
                    <w:rPr>
                      <w:rFonts w:ascii="Times New Roman" w:hAnsi="Times New Roman"/>
                      <w:b/>
                      <w:bCs/>
                      <w:color w:val="auto"/>
                      <w:szCs w:val="21"/>
                    </w:rPr>
                  </w:pPr>
                  <w:r>
                    <w:rPr>
                      <w:rFonts w:ascii="Times New Roman" w:hAnsi="Times New Roman"/>
                      <w:b/>
                      <w:bCs/>
                      <w:color w:val="auto"/>
                      <w:szCs w:val="21"/>
                    </w:rPr>
                    <w:t>监测点位</w:t>
                  </w:r>
                </w:p>
              </w:tc>
              <w:tc>
                <w:tcPr>
                  <w:tcW w:w="867" w:type="pct"/>
                  <w:tcBorders>
                    <w:tl2br w:val="nil"/>
                    <w:tr2bl w:val="nil"/>
                  </w:tcBorders>
                  <w:vAlign w:val="center"/>
                </w:tcPr>
                <w:p w14:paraId="6010C191">
                  <w:pPr>
                    <w:adjustRightInd w:val="0"/>
                    <w:snapToGrid w:val="0"/>
                    <w:jc w:val="center"/>
                    <w:rPr>
                      <w:rFonts w:ascii="Times New Roman" w:hAnsi="Times New Roman"/>
                      <w:b/>
                      <w:bCs/>
                      <w:color w:val="auto"/>
                      <w:szCs w:val="21"/>
                    </w:rPr>
                  </w:pPr>
                  <w:r>
                    <w:rPr>
                      <w:rFonts w:ascii="Times New Roman" w:hAnsi="Times New Roman"/>
                      <w:b/>
                      <w:bCs/>
                      <w:color w:val="auto"/>
                      <w:szCs w:val="21"/>
                    </w:rPr>
                    <w:t>位置关系</w:t>
                  </w:r>
                </w:p>
              </w:tc>
              <w:tc>
                <w:tcPr>
                  <w:tcW w:w="894" w:type="pct"/>
                  <w:tcBorders>
                    <w:tl2br w:val="nil"/>
                    <w:tr2bl w:val="nil"/>
                  </w:tcBorders>
                  <w:vAlign w:val="center"/>
                </w:tcPr>
                <w:p w14:paraId="7DDEC405">
                  <w:pPr>
                    <w:adjustRightInd w:val="0"/>
                    <w:snapToGrid w:val="0"/>
                    <w:jc w:val="center"/>
                    <w:rPr>
                      <w:rFonts w:ascii="Times New Roman" w:hAnsi="Times New Roman"/>
                      <w:b/>
                      <w:bCs/>
                      <w:color w:val="auto"/>
                      <w:szCs w:val="21"/>
                    </w:rPr>
                  </w:pPr>
                  <w:r>
                    <w:rPr>
                      <w:rFonts w:ascii="Times New Roman" w:hAnsi="Times New Roman"/>
                      <w:b/>
                      <w:bCs/>
                      <w:color w:val="auto"/>
                      <w:szCs w:val="21"/>
                    </w:rPr>
                    <w:t>监测位置</w:t>
                  </w:r>
                </w:p>
              </w:tc>
              <w:tc>
                <w:tcPr>
                  <w:tcW w:w="488" w:type="pct"/>
                  <w:tcBorders>
                    <w:tl2br w:val="nil"/>
                    <w:tr2bl w:val="nil"/>
                  </w:tcBorders>
                  <w:vAlign w:val="center"/>
                </w:tcPr>
                <w:p w14:paraId="6612E6AE">
                  <w:pPr>
                    <w:adjustRightInd w:val="0"/>
                    <w:snapToGrid w:val="0"/>
                    <w:jc w:val="center"/>
                    <w:rPr>
                      <w:rFonts w:ascii="Times New Roman" w:hAnsi="Times New Roman"/>
                      <w:b/>
                      <w:bCs/>
                      <w:color w:val="auto"/>
                      <w:szCs w:val="21"/>
                    </w:rPr>
                  </w:pPr>
                  <w:r>
                    <w:rPr>
                      <w:rFonts w:ascii="Times New Roman" w:hAnsi="Times New Roman"/>
                      <w:b/>
                      <w:bCs/>
                      <w:color w:val="auto"/>
                      <w:szCs w:val="21"/>
                    </w:rPr>
                    <w:t>执行标准</w:t>
                  </w:r>
                </w:p>
              </w:tc>
            </w:tr>
            <w:tr w14:paraId="2FCC5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restart"/>
                  <w:tcBorders>
                    <w:tl2br w:val="nil"/>
                    <w:tr2bl w:val="nil"/>
                  </w:tcBorders>
                  <w:vAlign w:val="center"/>
                </w:tcPr>
                <w:p w14:paraId="74A61521">
                  <w:pPr>
                    <w:adjustRightInd w:val="0"/>
                    <w:snapToGrid w:val="0"/>
                    <w:jc w:val="center"/>
                    <w:rPr>
                      <w:rFonts w:ascii="Times New Roman" w:hAnsi="Times New Roman"/>
                      <w:color w:val="auto"/>
                      <w:szCs w:val="21"/>
                    </w:rPr>
                  </w:pPr>
                  <w:r>
                    <w:rPr>
                      <w:rFonts w:ascii="Times New Roman" w:hAnsi="Times New Roman"/>
                      <w:color w:val="auto"/>
                      <w:szCs w:val="21"/>
                    </w:rPr>
                    <w:t>220kV线路</w:t>
                  </w:r>
                </w:p>
              </w:tc>
              <w:tc>
                <w:tcPr>
                  <w:tcW w:w="2283" w:type="pct"/>
                  <w:tcBorders>
                    <w:tl2br w:val="nil"/>
                    <w:tr2bl w:val="nil"/>
                  </w:tcBorders>
                  <w:shd w:val="clear" w:color="auto" w:fill="auto"/>
                  <w:vAlign w:val="center"/>
                </w:tcPr>
                <w:p w14:paraId="22858D80">
                  <w:pPr>
                    <w:adjustRightInd w:val="0"/>
                    <w:snapToGrid w:val="0"/>
                    <w:jc w:val="center"/>
                    <w:rPr>
                      <w:rFonts w:ascii="Times New Roman" w:hAnsi="Times New Roman"/>
                      <w:color w:val="auto"/>
                      <w:szCs w:val="21"/>
                    </w:rPr>
                  </w:pPr>
                  <w:r>
                    <w:rPr>
                      <w:rFonts w:ascii="Times New Roman" w:hAnsi="Times New Roman"/>
                      <w:color w:val="auto"/>
                      <w:szCs w:val="21"/>
                    </w:rPr>
                    <w:t>塔基N</w:t>
                  </w:r>
                  <w:r>
                    <w:rPr>
                      <w:rFonts w:hint="eastAsia" w:ascii="Times New Roman" w:hAnsi="Times New Roman"/>
                      <w:color w:val="auto"/>
                      <w:szCs w:val="21"/>
                    </w:rPr>
                    <w:t>1</w:t>
                  </w:r>
                  <w:r>
                    <w:rPr>
                      <w:rFonts w:ascii="Times New Roman" w:hAnsi="Times New Roman"/>
                      <w:color w:val="auto"/>
                      <w:szCs w:val="21"/>
                    </w:rPr>
                    <w:t>~N</w:t>
                  </w:r>
                  <w:r>
                    <w:rPr>
                      <w:rFonts w:hint="eastAsia" w:ascii="Times New Roman" w:hAnsi="Times New Roman"/>
                      <w:color w:val="auto"/>
                      <w:szCs w:val="21"/>
                    </w:rPr>
                    <w:t>2</w:t>
                  </w:r>
                  <w:r>
                    <w:rPr>
                      <w:rFonts w:ascii="Times New Roman" w:hAnsi="Times New Roman"/>
                      <w:color w:val="auto"/>
                      <w:szCs w:val="21"/>
                    </w:rPr>
                    <w:t>之间六合村居民1#</w:t>
                  </w:r>
                </w:p>
              </w:tc>
              <w:tc>
                <w:tcPr>
                  <w:tcW w:w="867" w:type="pct"/>
                  <w:tcBorders>
                    <w:tl2br w:val="nil"/>
                    <w:tr2bl w:val="nil"/>
                  </w:tcBorders>
                  <w:shd w:val="clear" w:color="auto" w:fill="auto"/>
                  <w:vAlign w:val="center"/>
                </w:tcPr>
                <w:p w14:paraId="78921A60">
                  <w:pPr>
                    <w:adjustRightInd w:val="0"/>
                    <w:snapToGrid w:val="0"/>
                    <w:jc w:val="center"/>
                    <w:rPr>
                      <w:rFonts w:ascii="Times New Roman" w:hAnsi="Times New Roman"/>
                      <w:color w:val="auto"/>
                      <w:szCs w:val="21"/>
                    </w:rPr>
                  </w:pPr>
                  <w:r>
                    <w:rPr>
                      <w:rFonts w:ascii="Times New Roman" w:hAnsi="Times New Roman"/>
                      <w:color w:val="auto"/>
                      <w:szCs w:val="21"/>
                    </w:rPr>
                    <w:t>北侧22m</w:t>
                  </w:r>
                </w:p>
              </w:tc>
              <w:tc>
                <w:tcPr>
                  <w:tcW w:w="894" w:type="pct"/>
                  <w:vMerge w:val="restart"/>
                  <w:tcBorders>
                    <w:tl2br w:val="nil"/>
                    <w:tr2bl w:val="nil"/>
                  </w:tcBorders>
                  <w:vAlign w:val="center"/>
                </w:tcPr>
                <w:p w14:paraId="180ABB88">
                  <w:pPr>
                    <w:jc w:val="center"/>
                    <w:rPr>
                      <w:rFonts w:ascii="Times New Roman" w:hAnsi="Times New Roman"/>
                      <w:color w:val="auto"/>
                    </w:rPr>
                  </w:pPr>
                  <w:r>
                    <w:rPr>
                      <w:rFonts w:ascii="Times New Roman" w:hAnsi="Times New Roman"/>
                      <w:color w:val="auto"/>
                      <w:szCs w:val="21"/>
                    </w:rPr>
                    <w:t>建筑物外且距墙壁或窗户1m、距地面高度1.2m以上的位置</w:t>
                  </w:r>
                </w:p>
              </w:tc>
              <w:tc>
                <w:tcPr>
                  <w:tcW w:w="488" w:type="pct"/>
                  <w:tcBorders>
                    <w:tl2br w:val="nil"/>
                    <w:tr2bl w:val="nil"/>
                  </w:tcBorders>
                  <w:vAlign w:val="center"/>
                </w:tcPr>
                <w:p w14:paraId="6EC8FE2F">
                  <w:pPr>
                    <w:adjustRightInd w:val="0"/>
                    <w:snapToGrid w:val="0"/>
                    <w:jc w:val="center"/>
                    <w:rPr>
                      <w:rFonts w:ascii="Times New Roman" w:hAnsi="Times New Roman"/>
                      <w:color w:val="auto"/>
                      <w:szCs w:val="21"/>
                    </w:rPr>
                  </w:pPr>
                  <w:r>
                    <w:rPr>
                      <w:rFonts w:ascii="Times New Roman" w:hAnsi="Times New Roman"/>
                      <w:color w:val="auto"/>
                      <w:szCs w:val="21"/>
                    </w:rPr>
                    <w:t>1类</w:t>
                  </w:r>
                </w:p>
              </w:tc>
            </w:tr>
            <w:tr w14:paraId="63C56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Borders>
                    <w:tl2br w:val="nil"/>
                    <w:tr2bl w:val="nil"/>
                  </w:tcBorders>
                  <w:vAlign w:val="center"/>
                </w:tcPr>
                <w:p w14:paraId="4C3D03C7">
                  <w:pPr>
                    <w:adjustRightInd w:val="0"/>
                    <w:snapToGrid w:val="0"/>
                    <w:jc w:val="center"/>
                    <w:rPr>
                      <w:rFonts w:ascii="Times New Roman" w:hAnsi="Times New Roman"/>
                      <w:color w:val="auto"/>
                      <w:szCs w:val="21"/>
                    </w:rPr>
                  </w:pPr>
                </w:p>
              </w:tc>
              <w:tc>
                <w:tcPr>
                  <w:tcW w:w="2283" w:type="pct"/>
                  <w:tcBorders>
                    <w:tl2br w:val="nil"/>
                    <w:tr2bl w:val="nil"/>
                  </w:tcBorders>
                  <w:shd w:val="clear" w:color="auto" w:fill="auto"/>
                  <w:vAlign w:val="center"/>
                </w:tcPr>
                <w:p w14:paraId="5BC6CF58">
                  <w:pPr>
                    <w:adjustRightInd w:val="0"/>
                    <w:snapToGrid w:val="0"/>
                    <w:jc w:val="center"/>
                    <w:rPr>
                      <w:rFonts w:ascii="Times New Roman" w:hAnsi="Times New Roman"/>
                      <w:color w:val="auto"/>
                      <w:szCs w:val="21"/>
                    </w:rPr>
                  </w:pPr>
                  <w:r>
                    <w:rPr>
                      <w:rFonts w:ascii="Times New Roman" w:hAnsi="Times New Roman"/>
                      <w:color w:val="auto"/>
                      <w:szCs w:val="21"/>
                    </w:rPr>
                    <w:t>塔基N11~N12之间石灰窑散户2#</w:t>
                  </w:r>
                </w:p>
              </w:tc>
              <w:tc>
                <w:tcPr>
                  <w:tcW w:w="867" w:type="pct"/>
                  <w:tcBorders>
                    <w:tl2br w:val="nil"/>
                    <w:tr2bl w:val="nil"/>
                  </w:tcBorders>
                  <w:shd w:val="clear" w:color="auto" w:fill="auto"/>
                  <w:vAlign w:val="center"/>
                </w:tcPr>
                <w:p w14:paraId="750D4BF1">
                  <w:pPr>
                    <w:adjustRightInd w:val="0"/>
                    <w:snapToGrid w:val="0"/>
                    <w:jc w:val="center"/>
                    <w:rPr>
                      <w:rFonts w:ascii="Times New Roman" w:hAnsi="Times New Roman"/>
                      <w:color w:val="auto"/>
                      <w:szCs w:val="21"/>
                    </w:rPr>
                  </w:pPr>
                  <w:r>
                    <w:rPr>
                      <w:rFonts w:hint="eastAsia" w:ascii="Times New Roman" w:hAnsi="Times New Roman"/>
                      <w:color w:val="auto"/>
                      <w:szCs w:val="21"/>
                    </w:rPr>
                    <w:t>东</w:t>
                  </w:r>
                  <w:r>
                    <w:rPr>
                      <w:rFonts w:ascii="Times New Roman" w:hAnsi="Times New Roman"/>
                      <w:color w:val="auto"/>
                      <w:szCs w:val="21"/>
                    </w:rPr>
                    <w:t>侧30m</w:t>
                  </w:r>
                </w:p>
              </w:tc>
              <w:tc>
                <w:tcPr>
                  <w:tcW w:w="894" w:type="pct"/>
                  <w:vMerge w:val="continue"/>
                  <w:tcBorders>
                    <w:tl2br w:val="nil"/>
                    <w:tr2bl w:val="nil"/>
                  </w:tcBorders>
                  <w:vAlign w:val="center"/>
                </w:tcPr>
                <w:p w14:paraId="1A2748C0">
                  <w:pPr>
                    <w:rPr>
                      <w:rFonts w:ascii="Times New Roman" w:hAnsi="Times New Roman"/>
                      <w:color w:val="auto"/>
                    </w:rPr>
                  </w:pPr>
                </w:p>
              </w:tc>
              <w:tc>
                <w:tcPr>
                  <w:tcW w:w="488" w:type="pct"/>
                  <w:tcBorders>
                    <w:tl2br w:val="nil"/>
                    <w:tr2bl w:val="nil"/>
                  </w:tcBorders>
                  <w:vAlign w:val="center"/>
                </w:tcPr>
                <w:p w14:paraId="701EAC50">
                  <w:pPr>
                    <w:adjustRightInd w:val="0"/>
                    <w:snapToGrid w:val="0"/>
                    <w:jc w:val="center"/>
                    <w:rPr>
                      <w:rFonts w:ascii="Times New Roman" w:hAnsi="Times New Roman"/>
                      <w:color w:val="auto"/>
                      <w:szCs w:val="21"/>
                    </w:rPr>
                  </w:pPr>
                  <w:r>
                    <w:rPr>
                      <w:rFonts w:ascii="Times New Roman" w:hAnsi="Times New Roman"/>
                      <w:color w:val="auto"/>
                      <w:szCs w:val="21"/>
                    </w:rPr>
                    <w:t>1类</w:t>
                  </w:r>
                </w:p>
              </w:tc>
            </w:tr>
            <w:tr w14:paraId="4B5735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Borders>
                    <w:tl2br w:val="nil"/>
                    <w:tr2bl w:val="nil"/>
                  </w:tcBorders>
                  <w:vAlign w:val="center"/>
                </w:tcPr>
                <w:p w14:paraId="27E42D62">
                  <w:pPr>
                    <w:adjustRightInd w:val="0"/>
                    <w:snapToGrid w:val="0"/>
                    <w:jc w:val="center"/>
                    <w:rPr>
                      <w:rFonts w:ascii="Times New Roman" w:hAnsi="Times New Roman"/>
                      <w:color w:val="auto"/>
                      <w:szCs w:val="21"/>
                    </w:rPr>
                  </w:pPr>
                </w:p>
              </w:tc>
              <w:tc>
                <w:tcPr>
                  <w:tcW w:w="2283" w:type="pct"/>
                  <w:tcBorders>
                    <w:tl2br w:val="nil"/>
                    <w:tr2bl w:val="nil"/>
                  </w:tcBorders>
                  <w:shd w:val="clear" w:color="auto" w:fill="auto"/>
                  <w:vAlign w:val="center"/>
                </w:tcPr>
                <w:p w14:paraId="77ADCF7B">
                  <w:pPr>
                    <w:adjustRightInd w:val="0"/>
                    <w:snapToGrid w:val="0"/>
                    <w:jc w:val="center"/>
                    <w:rPr>
                      <w:rFonts w:ascii="Times New Roman" w:hAnsi="Times New Roman"/>
                      <w:color w:val="auto"/>
                      <w:szCs w:val="21"/>
                    </w:rPr>
                  </w:pPr>
                  <w:r>
                    <w:rPr>
                      <w:rFonts w:ascii="Times New Roman" w:hAnsi="Times New Roman"/>
                      <w:color w:val="auto"/>
                      <w:szCs w:val="21"/>
                    </w:rPr>
                    <w:t>塔基N23~N24之间隧道工棚3#</w:t>
                  </w:r>
                </w:p>
              </w:tc>
              <w:tc>
                <w:tcPr>
                  <w:tcW w:w="867" w:type="pct"/>
                  <w:tcBorders>
                    <w:tl2br w:val="nil"/>
                    <w:tr2bl w:val="nil"/>
                  </w:tcBorders>
                  <w:shd w:val="clear" w:color="auto" w:fill="auto"/>
                  <w:vAlign w:val="center"/>
                </w:tcPr>
                <w:p w14:paraId="61FD9B71">
                  <w:pPr>
                    <w:adjustRightInd w:val="0"/>
                    <w:snapToGrid w:val="0"/>
                    <w:jc w:val="center"/>
                    <w:rPr>
                      <w:rFonts w:ascii="Times New Roman" w:hAnsi="Times New Roman"/>
                      <w:color w:val="auto"/>
                      <w:szCs w:val="21"/>
                    </w:rPr>
                  </w:pPr>
                  <w:r>
                    <w:rPr>
                      <w:rFonts w:ascii="Times New Roman" w:hAnsi="Times New Roman"/>
                      <w:color w:val="auto"/>
                      <w:szCs w:val="21"/>
                    </w:rPr>
                    <w:t>南侧32m</w:t>
                  </w:r>
                </w:p>
              </w:tc>
              <w:tc>
                <w:tcPr>
                  <w:tcW w:w="894" w:type="pct"/>
                  <w:vMerge w:val="continue"/>
                  <w:tcBorders>
                    <w:tl2br w:val="nil"/>
                    <w:tr2bl w:val="nil"/>
                  </w:tcBorders>
                  <w:vAlign w:val="center"/>
                </w:tcPr>
                <w:p w14:paraId="59411E55">
                  <w:pPr>
                    <w:adjustRightInd w:val="0"/>
                    <w:snapToGrid w:val="0"/>
                    <w:jc w:val="center"/>
                    <w:rPr>
                      <w:rFonts w:ascii="Times New Roman" w:hAnsi="Times New Roman"/>
                      <w:color w:val="auto"/>
                      <w:szCs w:val="21"/>
                    </w:rPr>
                  </w:pPr>
                </w:p>
              </w:tc>
              <w:tc>
                <w:tcPr>
                  <w:tcW w:w="488" w:type="pct"/>
                  <w:tcBorders>
                    <w:tl2br w:val="nil"/>
                    <w:tr2bl w:val="nil"/>
                  </w:tcBorders>
                  <w:vAlign w:val="center"/>
                </w:tcPr>
                <w:p w14:paraId="32358C61">
                  <w:pPr>
                    <w:adjustRightInd w:val="0"/>
                    <w:snapToGrid w:val="0"/>
                    <w:jc w:val="center"/>
                    <w:rPr>
                      <w:rFonts w:ascii="Times New Roman" w:hAnsi="Times New Roman"/>
                      <w:color w:val="auto"/>
                      <w:szCs w:val="21"/>
                    </w:rPr>
                  </w:pPr>
                  <w:r>
                    <w:rPr>
                      <w:rFonts w:ascii="Times New Roman" w:hAnsi="Times New Roman"/>
                      <w:color w:val="auto"/>
                      <w:szCs w:val="21"/>
                    </w:rPr>
                    <w:t>1类</w:t>
                  </w:r>
                </w:p>
              </w:tc>
            </w:tr>
            <w:tr w14:paraId="18E8A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Borders>
                    <w:tl2br w:val="nil"/>
                    <w:tr2bl w:val="nil"/>
                  </w:tcBorders>
                  <w:vAlign w:val="center"/>
                </w:tcPr>
                <w:p w14:paraId="6BABC47D">
                  <w:pPr>
                    <w:adjustRightInd w:val="0"/>
                    <w:snapToGrid w:val="0"/>
                    <w:jc w:val="center"/>
                    <w:rPr>
                      <w:rFonts w:ascii="Times New Roman" w:hAnsi="Times New Roman"/>
                      <w:color w:val="auto"/>
                      <w:szCs w:val="21"/>
                    </w:rPr>
                  </w:pPr>
                </w:p>
              </w:tc>
              <w:tc>
                <w:tcPr>
                  <w:tcW w:w="2283" w:type="pct"/>
                  <w:tcBorders>
                    <w:tl2br w:val="nil"/>
                    <w:tr2bl w:val="nil"/>
                  </w:tcBorders>
                  <w:shd w:val="clear" w:color="auto" w:fill="auto"/>
                  <w:vAlign w:val="center"/>
                </w:tcPr>
                <w:p w14:paraId="379DE593">
                  <w:pPr>
                    <w:adjustRightInd w:val="0"/>
                    <w:snapToGrid w:val="0"/>
                    <w:jc w:val="center"/>
                    <w:rPr>
                      <w:rFonts w:ascii="Times New Roman" w:hAnsi="Times New Roman"/>
                      <w:color w:val="auto"/>
                      <w:szCs w:val="21"/>
                    </w:rPr>
                  </w:pPr>
                  <w:r>
                    <w:rPr>
                      <w:rFonts w:ascii="Times New Roman" w:hAnsi="Times New Roman"/>
                      <w:color w:val="auto"/>
                      <w:szCs w:val="21"/>
                    </w:rPr>
                    <w:t>塔基N29~N30之间叶家冲散户4#</w:t>
                  </w:r>
                </w:p>
              </w:tc>
              <w:tc>
                <w:tcPr>
                  <w:tcW w:w="867" w:type="pct"/>
                  <w:tcBorders>
                    <w:tl2br w:val="nil"/>
                    <w:tr2bl w:val="nil"/>
                  </w:tcBorders>
                  <w:shd w:val="clear" w:color="auto" w:fill="auto"/>
                  <w:vAlign w:val="center"/>
                </w:tcPr>
                <w:p w14:paraId="3F7CFD1D">
                  <w:pPr>
                    <w:adjustRightInd w:val="0"/>
                    <w:snapToGrid w:val="0"/>
                    <w:jc w:val="center"/>
                    <w:rPr>
                      <w:rFonts w:ascii="Times New Roman" w:hAnsi="Times New Roman"/>
                      <w:color w:val="auto"/>
                      <w:szCs w:val="21"/>
                    </w:rPr>
                  </w:pPr>
                  <w:r>
                    <w:rPr>
                      <w:rFonts w:ascii="Times New Roman" w:hAnsi="Times New Roman"/>
                      <w:color w:val="auto"/>
                      <w:szCs w:val="21"/>
                    </w:rPr>
                    <w:t>东侧40m</w:t>
                  </w:r>
                </w:p>
              </w:tc>
              <w:tc>
                <w:tcPr>
                  <w:tcW w:w="894" w:type="pct"/>
                  <w:vMerge w:val="continue"/>
                  <w:tcBorders>
                    <w:tl2br w:val="nil"/>
                    <w:tr2bl w:val="nil"/>
                  </w:tcBorders>
                  <w:vAlign w:val="center"/>
                </w:tcPr>
                <w:p w14:paraId="39070AAA">
                  <w:pPr>
                    <w:adjustRightInd w:val="0"/>
                    <w:snapToGrid w:val="0"/>
                    <w:jc w:val="center"/>
                    <w:rPr>
                      <w:rFonts w:ascii="Times New Roman" w:hAnsi="Times New Roman"/>
                      <w:color w:val="auto"/>
                      <w:szCs w:val="21"/>
                    </w:rPr>
                  </w:pPr>
                </w:p>
              </w:tc>
              <w:tc>
                <w:tcPr>
                  <w:tcW w:w="488" w:type="pct"/>
                  <w:tcBorders>
                    <w:tl2br w:val="nil"/>
                    <w:tr2bl w:val="nil"/>
                  </w:tcBorders>
                  <w:vAlign w:val="center"/>
                </w:tcPr>
                <w:p w14:paraId="5E310063">
                  <w:pPr>
                    <w:adjustRightInd w:val="0"/>
                    <w:snapToGrid w:val="0"/>
                    <w:jc w:val="center"/>
                    <w:rPr>
                      <w:rFonts w:ascii="Times New Roman" w:hAnsi="Times New Roman"/>
                      <w:color w:val="auto"/>
                      <w:szCs w:val="21"/>
                    </w:rPr>
                  </w:pPr>
                  <w:r>
                    <w:rPr>
                      <w:rFonts w:ascii="Times New Roman" w:hAnsi="Times New Roman"/>
                      <w:color w:val="auto"/>
                      <w:szCs w:val="21"/>
                    </w:rPr>
                    <w:t>1类</w:t>
                  </w:r>
                </w:p>
              </w:tc>
            </w:tr>
            <w:tr w14:paraId="360FCE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Pr>
                <w:p w14:paraId="3159E742">
                  <w:pPr>
                    <w:adjustRightInd w:val="0"/>
                    <w:snapToGrid w:val="0"/>
                    <w:jc w:val="center"/>
                    <w:rPr>
                      <w:rFonts w:ascii="Times New Roman" w:hAnsi="Times New Roman"/>
                      <w:color w:val="auto"/>
                      <w:szCs w:val="21"/>
                    </w:rPr>
                  </w:pPr>
                </w:p>
              </w:tc>
              <w:tc>
                <w:tcPr>
                  <w:tcW w:w="3850" w:type="dxa"/>
                  <w:shd w:val="clear" w:color="auto" w:fill="auto"/>
                  <w:vAlign w:val="center"/>
                </w:tcPr>
                <w:p w14:paraId="6109ACC9">
                  <w:pPr>
                    <w:adjustRightInd w:val="0"/>
                    <w:snapToGrid w:val="0"/>
                    <w:jc w:val="center"/>
                    <w:rPr>
                      <w:rFonts w:ascii="Times New Roman" w:hAnsi="Times New Roman"/>
                      <w:color w:val="auto"/>
                      <w:szCs w:val="21"/>
                    </w:rPr>
                  </w:pPr>
                  <w:r>
                    <w:rPr>
                      <w:rFonts w:ascii="Times New Roman" w:hAnsi="Times New Roman"/>
                      <w:color w:val="auto"/>
                      <w:szCs w:val="21"/>
                    </w:rPr>
                    <w:t>塔基N50~N51之间中梁子散户5#</w:t>
                  </w:r>
                </w:p>
              </w:tc>
              <w:tc>
                <w:tcPr>
                  <w:tcW w:w="1462" w:type="dxa"/>
                  <w:shd w:val="clear" w:color="auto" w:fill="auto"/>
                  <w:vAlign w:val="center"/>
                </w:tcPr>
                <w:p w14:paraId="4B3684BE">
                  <w:pPr>
                    <w:adjustRightInd w:val="0"/>
                    <w:snapToGrid w:val="0"/>
                    <w:jc w:val="center"/>
                    <w:rPr>
                      <w:rFonts w:ascii="Times New Roman" w:hAnsi="Times New Roman"/>
                      <w:color w:val="auto"/>
                      <w:szCs w:val="21"/>
                    </w:rPr>
                  </w:pPr>
                  <w:r>
                    <w:rPr>
                      <w:rFonts w:ascii="Times New Roman" w:hAnsi="Times New Roman"/>
                      <w:color w:val="auto"/>
                      <w:szCs w:val="21"/>
                    </w:rPr>
                    <w:t>东侧30m</w:t>
                  </w:r>
                </w:p>
              </w:tc>
              <w:tc>
                <w:tcPr>
                  <w:tcW w:w="894" w:type="pct"/>
                  <w:vMerge w:val="continue"/>
                </w:tcPr>
                <w:p w14:paraId="058F522E">
                  <w:pPr>
                    <w:adjustRightInd w:val="0"/>
                    <w:snapToGrid w:val="0"/>
                    <w:jc w:val="center"/>
                    <w:rPr>
                      <w:rFonts w:ascii="Times New Roman" w:hAnsi="Times New Roman"/>
                      <w:color w:val="auto"/>
                      <w:szCs w:val="21"/>
                    </w:rPr>
                  </w:pPr>
                </w:p>
              </w:tc>
              <w:tc>
                <w:tcPr>
                  <w:tcW w:w="823" w:type="dxa"/>
                </w:tcPr>
                <w:p w14:paraId="66506A6D">
                  <w:pPr>
                    <w:adjustRightInd w:val="0"/>
                    <w:snapToGrid w:val="0"/>
                    <w:jc w:val="center"/>
                    <w:rPr>
                      <w:rFonts w:ascii="Times New Roman" w:hAnsi="Times New Roman"/>
                      <w:color w:val="auto"/>
                      <w:szCs w:val="21"/>
                    </w:rPr>
                  </w:pPr>
                  <w:r>
                    <w:rPr>
                      <w:rFonts w:ascii="Times New Roman" w:hAnsi="Times New Roman"/>
                      <w:color w:val="auto"/>
                      <w:szCs w:val="21"/>
                    </w:rPr>
                    <w:t>1类</w:t>
                  </w:r>
                </w:p>
              </w:tc>
            </w:tr>
            <w:tr w14:paraId="159158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Pr>
                <w:p w14:paraId="17809489">
                  <w:pPr>
                    <w:adjustRightInd w:val="0"/>
                    <w:snapToGrid w:val="0"/>
                    <w:jc w:val="center"/>
                    <w:rPr>
                      <w:rFonts w:ascii="Times New Roman" w:hAnsi="Times New Roman"/>
                      <w:color w:val="auto"/>
                      <w:szCs w:val="21"/>
                    </w:rPr>
                  </w:pPr>
                </w:p>
              </w:tc>
              <w:tc>
                <w:tcPr>
                  <w:tcW w:w="3850" w:type="dxa"/>
                  <w:shd w:val="clear" w:color="auto" w:fill="auto"/>
                  <w:vAlign w:val="center"/>
                </w:tcPr>
                <w:p w14:paraId="3ACF1CD8">
                  <w:pPr>
                    <w:adjustRightInd w:val="0"/>
                    <w:snapToGrid w:val="0"/>
                    <w:jc w:val="center"/>
                    <w:rPr>
                      <w:rFonts w:ascii="Times New Roman" w:hAnsi="Times New Roman"/>
                      <w:color w:val="auto"/>
                      <w:szCs w:val="21"/>
                    </w:rPr>
                  </w:pPr>
                  <w:r>
                    <w:rPr>
                      <w:rFonts w:ascii="Times New Roman" w:hAnsi="Times New Roman"/>
                      <w:color w:val="auto"/>
                      <w:szCs w:val="21"/>
                    </w:rPr>
                    <w:t>塔基N57~N58之间国道停车区用房6#</w:t>
                  </w:r>
                </w:p>
              </w:tc>
              <w:tc>
                <w:tcPr>
                  <w:tcW w:w="1462" w:type="dxa"/>
                  <w:shd w:val="clear" w:color="auto" w:fill="auto"/>
                  <w:vAlign w:val="center"/>
                </w:tcPr>
                <w:p w14:paraId="3692527A">
                  <w:pPr>
                    <w:adjustRightInd w:val="0"/>
                    <w:snapToGrid w:val="0"/>
                    <w:jc w:val="center"/>
                    <w:rPr>
                      <w:rFonts w:ascii="Times New Roman" w:hAnsi="Times New Roman"/>
                      <w:color w:val="auto"/>
                      <w:szCs w:val="21"/>
                    </w:rPr>
                  </w:pPr>
                  <w:r>
                    <w:rPr>
                      <w:rFonts w:ascii="Times New Roman" w:hAnsi="Times New Roman"/>
                      <w:color w:val="auto"/>
                      <w:szCs w:val="21"/>
                    </w:rPr>
                    <w:t>北侧40m</w:t>
                  </w:r>
                </w:p>
              </w:tc>
              <w:tc>
                <w:tcPr>
                  <w:tcW w:w="894" w:type="pct"/>
                  <w:vMerge w:val="continue"/>
                </w:tcPr>
                <w:p w14:paraId="2672DB27">
                  <w:pPr>
                    <w:adjustRightInd w:val="0"/>
                    <w:snapToGrid w:val="0"/>
                    <w:jc w:val="center"/>
                    <w:rPr>
                      <w:rFonts w:ascii="Times New Roman" w:hAnsi="Times New Roman"/>
                      <w:color w:val="auto"/>
                      <w:szCs w:val="21"/>
                    </w:rPr>
                  </w:pPr>
                </w:p>
              </w:tc>
              <w:tc>
                <w:tcPr>
                  <w:tcW w:w="823" w:type="dxa"/>
                </w:tcPr>
                <w:p w14:paraId="1F4E2FED">
                  <w:pPr>
                    <w:adjustRightInd w:val="0"/>
                    <w:snapToGrid w:val="0"/>
                    <w:jc w:val="center"/>
                    <w:rPr>
                      <w:rFonts w:ascii="Times New Roman" w:hAnsi="Times New Roman"/>
                      <w:color w:val="auto"/>
                      <w:szCs w:val="21"/>
                    </w:rPr>
                  </w:pPr>
                  <w:r>
                    <w:rPr>
                      <w:rFonts w:hint="eastAsia" w:ascii="Times New Roman" w:hAnsi="Times New Roman"/>
                      <w:color w:val="auto"/>
                      <w:szCs w:val="21"/>
                    </w:rPr>
                    <w:t>4a类</w:t>
                  </w:r>
                </w:p>
              </w:tc>
            </w:tr>
            <w:tr w14:paraId="0A751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Pr>
                <w:p w14:paraId="040BC260">
                  <w:pPr>
                    <w:adjustRightInd w:val="0"/>
                    <w:snapToGrid w:val="0"/>
                    <w:jc w:val="center"/>
                    <w:rPr>
                      <w:rFonts w:ascii="Times New Roman" w:hAnsi="Times New Roman"/>
                      <w:color w:val="auto"/>
                      <w:szCs w:val="21"/>
                    </w:rPr>
                  </w:pPr>
                </w:p>
              </w:tc>
              <w:tc>
                <w:tcPr>
                  <w:tcW w:w="3850" w:type="dxa"/>
                  <w:shd w:val="clear" w:color="auto" w:fill="auto"/>
                  <w:vAlign w:val="center"/>
                </w:tcPr>
                <w:p w14:paraId="522CA268">
                  <w:pPr>
                    <w:adjustRightInd w:val="0"/>
                    <w:snapToGrid w:val="0"/>
                    <w:jc w:val="center"/>
                    <w:rPr>
                      <w:rFonts w:ascii="Times New Roman" w:hAnsi="Times New Roman"/>
                      <w:color w:val="auto"/>
                      <w:szCs w:val="21"/>
                    </w:rPr>
                  </w:pPr>
                  <w:r>
                    <w:rPr>
                      <w:rFonts w:ascii="Times New Roman" w:hAnsi="Times New Roman"/>
                      <w:color w:val="auto"/>
                      <w:szCs w:val="21"/>
                    </w:rPr>
                    <w:t>塔基N57~N58之间山背后村散户</w:t>
                  </w:r>
                  <w:r>
                    <w:rPr>
                      <w:rFonts w:hint="eastAsia" w:ascii="Times New Roman" w:hAnsi="Times New Roman"/>
                      <w:color w:val="auto"/>
                      <w:szCs w:val="21"/>
                      <w:lang w:eastAsia="zh-CN"/>
                    </w:rPr>
                    <w:t>（</w:t>
                  </w:r>
                  <w:r>
                    <w:rPr>
                      <w:rFonts w:hint="eastAsia" w:ascii="Times New Roman" w:hAnsi="Times New Roman"/>
                      <w:color w:val="auto"/>
                      <w:szCs w:val="21"/>
                      <w:lang w:val="en-US" w:eastAsia="zh-CN"/>
                    </w:rPr>
                    <w:t>一层、三层</w:t>
                  </w:r>
                  <w:r>
                    <w:rPr>
                      <w:rFonts w:hint="eastAsia" w:ascii="Times New Roman" w:hAnsi="Times New Roman"/>
                      <w:color w:val="auto"/>
                      <w:szCs w:val="21"/>
                      <w:lang w:eastAsia="zh-CN"/>
                    </w:rPr>
                    <w:t>）</w:t>
                  </w:r>
                  <w:r>
                    <w:rPr>
                      <w:rFonts w:ascii="Times New Roman" w:hAnsi="Times New Roman"/>
                      <w:color w:val="auto"/>
                      <w:szCs w:val="21"/>
                    </w:rPr>
                    <w:t>7#</w:t>
                  </w:r>
                </w:p>
              </w:tc>
              <w:tc>
                <w:tcPr>
                  <w:tcW w:w="1462" w:type="dxa"/>
                  <w:shd w:val="clear" w:color="auto" w:fill="auto"/>
                  <w:vAlign w:val="center"/>
                </w:tcPr>
                <w:p w14:paraId="155F5F34">
                  <w:pPr>
                    <w:adjustRightInd w:val="0"/>
                    <w:snapToGrid w:val="0"/>
                    <w:jc w:val="center"/>
                    <w:rPr>
                      <w:rFonts w:ascii="Times New Roman" w:hAnsi="Times New Roman"/>
                      <w:color w:val="auto"/>
                      <w:szCs w:val="21"/>
                    </w:rPr>
                  </w:pPr>
                  <w:r>
                    <w:rPr>
                      <w:rFonts w:ascii="Times New Roman" w:hAnsi="Times New Roman"/>
                      <w:color w:val="auto"/>
                      <w:szCs w:val="21"/>
                    </w:rPr>
                    <w:t>南侧16m</w:t>
                  </w:r>
                </w:p>
              </w:tc>
              <w:tc>
                <w:tcPr>
                  <w:tcW w:w="894" w:type="pct"/>
                  <w:vMerge w:val="continue"/>
                </w:tcPr>
                <w:p w14:paraId="06D40531">
                  <w:pPr>
                    <w:adjustRightInd w:val="0"/>
                    <w:snapToGrid w:val="0"/>
                    <w:jc w:val="center"/>
                    <w:rPr>
                      <w:rFonts w:ascii="Times New Roman" w:hAnsi="Times New Roman"/>
                      <w:color w:val="auto"/>
                      <w:szCs w:val="21"/>
                    </w:rPr>
                  </w:pPr>
                </w:p>
              </w:tc>
              <w:tc>
                <w:tcPr>
                  <w:tcW w:w="823" w:type="dxa"/>
                </w:tcPr>
                <w:p w14:paraId="0ED7DE3A">
                  <w:pPr>
                    <w:adjustRightInd w:val="0"/>
                    <w:snapToGrid w:val="0"/>
                    <w:jc w:val="center"/>
                    <w:rPr>
                      <w:rFonts w:ascii="Times New Roman" w:hAnsi="Times New Roman"/>
                      <w:color w:val="auto"/>
                      <w:szCs w:val="21"/>
                    </w:rPr>
                  </w:pPr>
                  <w:r>
                    <w:rPr>
                      <w:rFonts w:ascii="Times New Roman" w:hAnsi="Times New Roman"/>
                      <w:color w:val="auto"/>
                      <w:szCs w:val="21"/>
                    </w:rPr>
                    <w:t>1类</w:t>
                  </w:r>
                </w:p>
              </w:tc>
            </w:tr>
          </w:tbl>
          <w:p w14:paraId="4A10ACC7">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3.6.3监测时间及气象条件</w:t>
            </w:r>
          </w:p>
          <w:p w14:paraId="7CC1264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环境条件：</w:t>
            </w:r>
          </w:p>
          <w:p w14:paraId="18E5954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天气：</w:t>
            </w:r>
            <w:r>
              <w:rPr>
                <w:rFonts w:hint="eastAsia" w:ascii="Times New Roman" w:hAnsi="Times New Roman"/>
                <w:color w:val="auto"/>
                <w:sz w:val="24"/>
                <w:szCs w:val="24"/>
              </w:rPr>
              <w:t>多云；</w:t>
            </w:r>
            <w:r>
              <w:rPr>
                <w:rFonts w:ascii="Times New Roman" w:hAnsi="Times New Roman"/>
                <w:color w:val="auto"/>
                <w:sz w:val="24"/>
                <w:szCs w:val="24"/>
              </w:rPr>
              <w:t>环境温度：</w:t>
            </w:r>
            <w:r>
              <w:rPr>
                <w:rFonts w:hint="eastAsia" w:ascii="Times New Roman" w:hAnsi="Times New Roman"/>
                <w:color w:val="auto"/>
                <w:sz w:val="24"/>
                <w:szCs w:val="24"/>
              </w:rPr>
              <w:t>15~27</w:t>
            </w:r>
            <w:r>
              <w:rPr>
                <w:rFonts w:ascii="Times New Roman" w:hAnsi="Times New Roman"/>
                <w:color w:val="auto"/>
                <w:sz w:val="24"/>
                <w:szCs w:val="24"/>
              </w:rPr>
              <w:t xml:space="preserve">℃  </w:t>
            </w:r>
            <w:r>
              <w:rPr>
                <w:rFonts w:hint="eastAsia" w:ascii="Times New Roman" w:hAnsi="Times New Roman"/>
                <w:color w:val="auto"/>
                <w:sz w:val="24"/>
                <w:szCs w:val="24"/>
              </w:rPr>
              <w:t>风速0.5~2.2m/s，风向：西南风；大气压：77.6~78.5kPa；湿度：48~56%。</w:t>
            </w:r>
          </w:p>
          <w:p w14:paraId="3A9BD261">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3.6.4质量保证</w:t>
            </w:r>
          </w:p>
          <w:p w14:paraId="06E29F1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（1）监测单位：贵州元烁环境检测技术有限公司</w:t>
            </w:r>
          </w:p>
          <w:p w14:paraId="3EFD221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（2）监测方法</w:t>
            </w:r>
          </w:p>
          <w:p w14:paraId="1012DC0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《声环境质量标准》（GB3096-2008）。</w:t>
            </w:r>
          </w:p>
          <w:p w14:paraId="3E8FA713">
            <w:pPr>
              <w:pStyle w:val="18"/>
              <w:pBdr>
                <w:bottom w:val="none" w:color="auto" w:sz="0" w:space="0"/>
              </w:pBdr>
              <w:adjustRightInd w:val="0"/>
              <w:ind w:firstLine="482" w:firstLineChars="200"/>
              <w:rPr>
                <w:rFonts w:ascii="Times New Roman" w:hAnsi="Times New Roman"/>
                <w:b/>
                <w:bCs/>
                <w:color w:val="auto"/>
                <w:sz w:val="24"/>
                <w:szCs w:val="24"/>
              </w:rPr>
            </w:pPr>
            <w:r>
              <w:rPr>
                <w:rFonts w:ascii="Times New Roman" w:hAnsi="Times New Roman"/>
                <w:b/>
                <w:bCs/>
                <w:color w:val="auto"/>
                <w:sz w:val="24"/>
                <w:szCs w:val="24"/>
              </w:rPr>
              <w:t>表3-</w:t>
            </w:r>
            <w:r>
              <w:rPr>
                <w:rFonts w:hint="eastAsia" w:ascii="Times New Roman" w:hAnsi="Times New Roman"/>
                <w:b/>
                <w:bCs/>
                <w:color w:val="auto"/>
                <w:sz w:val="24"/>
                <w:szCs w:val="24"/>
              </w:rPr>
              <w:t>25</w:t>
            </w:r>
            <w:r>
              <w:rPr>
                <w:rFonts w:ascii="Times New Roman" w:hAnsi="Times New Roman"/>
                <w:b/>
                <w:bCs/>
                <w:color w:val="auto"/>
                <w:sz w:val="24"/>
                <w:szCs w:val="24"/>
              </w:rPr>
              <w:t xml:space="preserve">  检测分析方法</w:t>
            </w:r>
          </w:p>
          <w:tbl>
            <w:tblPr>
              <w:tblStyle w:val="27"/>
              <w:tblW w:w="84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762"/>
              <w:gridCol w:w="2548"/>
              <w:gridCol w:w="1242"/>
              <w:gridCol w:w="673"/>
              <w:gridCol w:w="1392"/>
            </w:tblGrid>
            <w:tr w14:paraId="23A03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tl2br w:val="nil"/>
                    <w:tr2bl w:val="nil"/>
                  </w:tcBorders>
                  <w:vAlign w:val="center"/>
                </w:tcPr>
                <w:p w14:paraId="28095607">
                  <w:pPr>
                    <w:adjustRightInd w:val="0"/>
                    <w:snapToGrid w:val="0"/>
                    <w:jc w:val="center"/>
                    <w:rPr>
                      <w:rFonts w:ascii="Times New Roman" w:hAnsi="Times New Roman"/>
                      <w:b/>
                      <w:color w:val="auto"/>
                      <w:szCs w:val="21"/>
                    </w:rPr>
                  </w:pPr>
                  <w:r>
                    <w:rPr>
                      <w:rFonts w:ascii="Times New Roman" w:hAnsi="Times New Roman"/>
                      <w:b/>
                      <w:color w:val="auto"/>
                      <w:szCs w:val="21"/>
                    </w:rPr>
                    <w:t>检测项目</w:t>
                  </w:r>
                </w:p>
              </w:tc>
              <w:tc>
                <w:tcPr>
                  <w:tcW w:w="1762" w:type="dxa"/>
                  <w:tcBorders>
                    <w:tl2br w:val="nil"/>
                    <w:tr2bl w:val="nil"/>
                  </w:tcBorders>
                  <w:vAlign w:val="center"/>
                </w:tcPr>
                <w:p w14:paraId="09360105">
                  <w:pPr>
                    <w:adjustRightInd w:val="0"/>
                    <w:snapToGrid w:val="0"/>
                    <w:jc w:val="center"/>
                    <w:rPr>
                      <w:rFonts w:ascii="Times New Roman" w:hAnsi="Times New Roman"/>
                      <w:b/>
                      <w:color w:val="auto"/>
                      <w:szCs w:val="21"/>
                    </w:rPr>
                  </w:pPr>
                  <w:r>
                    <w:rPr>
                      <w:rFonts w:ascii="Times New Roman" w:hAnsi="Times New Roman"/>
                      <w:b/>
                      <w:color w:val="auto"/>
                      <w:szCs w:val="21"/>
                    </w:rPr>
                    <w:t>检测方法依据标准代号及名称</w:t>
                  </w:r>
                </w:p>
              </w:tc>
              <w:tc>
                <w:tcPr>
                  <w:tcW w:w="2548" w:type="dxa"/>
                  <w:tcBorders>
                    <w:tl2br w:val="nil"/>
                    <w:tr2bl w:val="nil"/>
                  </w:tcBorders>
                  <w:vAlign w:val="center"/>
                </w:tcPr>
                <w:p w14:paraId="77D1D250">
                  <w:pPr>
                    <w:adjustRightInd w:val="0"/>
                    <w:snapToGrid w:val="0"/>
                    <w:jc w:val="center"/>
                    <w:rPr>
                      <w:rFonts w:ascii="Times New Roman" w:hAnsi="Times New Roman"/>
                      <w:b/>
                      <w:color w:val="auto"/>
                      <w:szCs w:val="21"/>
                    </w:rPr>
                  </w:pPr>
                  <w:r>
                    <w:rPr>
                      <w:rFonts w:ascii="Times New Roman" w:hAnsi="Times New Roman"/>
                      <w:b/>
                      <w:color w:val="auto"/>
                      <w:szCs w:val="21"/>
                    </w:rPr>
                    <w:t>主要检测仪器设备型号及名称、编号</w:t>
                  </w:r>
                </w:p>
              </w:tc>
              <w:tc>
                <w:tcPr>
                  <w:tcW w:w="1242" w:type="dxa"/>
                  <w:tcBorders>
                    <w:tl2br w:val="nil"/>
                    <w:tr2bl w:val="nil"/>
                  </w:tcBorders>
                  <w:vAlign w:val="center"/>
                </w:tcPr>
                <w:p w14:paraId="477E3B6D">
                  <w:pPr>
                    <w:adjustRightInd w:val="0"/>
                    <w:snapToGrid w:val="0"/>
                    <w:jc w:val="center"/>
                    <w:rPr>
                      <w:rFonts w:ascii="Times New Roman" w:hAnsi="Times New Roman"/>
                      <w:b/>
                      <w:color w:val="auto"/>
                      <w:szCs w:val="21"/>
                    </w:rPr>
                  </w:pPr>
                  <w:r>
                    <w:rPr>
                      <w:rFonts w:ascii="Times New Roman" w:hAnsi="Times New Roman"/>
                      <w:b/>
                      <w:color w:val="auto"/>
                      <w:szCs w:val="21"/>
                    </w:rPr>
                    <w:t>校准证书/仪器编号</w:t>
                  </w:r>
                </w:p>
              </w:tc>
              <w:tc>
                <w:tcPr>
                  <w:tcW w:w="673" w:type="dxa"/>
                  <w:tcBorders>
                    <w:tl2br w:val="nil"/>
                    <w:tr2bl w:val="nil"/>
                  </w:tcBorders>
                  <w:vAlign w:val="center"/>
                </w:tcPr>
                <w:p w14:paraId="50BAA1E2">
                  <w:pPr>
                    <w:adjustRightInd w:val="0"/>
                    <w:snapToGrid w:val="0"/>
                    <w:jc w:val="center"/>
                    <w:rPr>
                      <w:rFonts w:ascii="Times New Roman" w:hAnsi="Times New Roman"/>
                      <w:b/>
                      <w:color w:val="auto"/>
                      <w:szCs w:val="21"/>
                    </w:rPr>
                  </w:pPr>
                  <w:r>
                    <w:rPr>
                      <w:rFonts w:ascii="Times New Roman" w:hAnsi="Times New Roman"/>
                      <w:b/>
                      <w:color w:val="auto"/>
                      <w:szCs w:val="21"/>
                    </w:rPr>
                    <w:t>检测</w:t>
                  </w:r>
                </w:p>
                <w:p w14:paraId="22E13A6A">
                  <w:pPr>
                    <w:adjustRightInd w:val="0"/>
                    <w:snapToGrid w:val="0"/>
                    <w:jc w:val="center"/>
                    <w:rPr>
                      <w:rFonts w:ascii="Times New Roman" w:hAnsi="Times New Roman"/>
                      <w:b/>
                      <w:color w:val="auto"/>
                      <w:szCs w:val="21"/>
                    </w:rPr>
                  </w:pPr>
                  <w:r>
                    <w:rPr>
                      <w:rFonts w:ascii="Times New Roman" w:hAnsi="Times New Roman"/>
                      <w:b/>
                      <w:color w:val="auto"/>
                      <w:szCs w:val="21"/>
                    </w:rPr>
                    <w:t>人员</w:t>
                  </w:r>
                </w:p>
              </w:tc>
              <w:tc>
                <w:tcPr>
                  <w:tcW w:w="1392" w:type="dxa"/>
                  <w:tcBorders>
                    <w:tl2br w:val="nil"/>
                    <w:tr2bl w:val="nil"/>
                  </w:tcBorders>
                  <w:vAlign w:val="center"/>
                </w:tcPr>
                <w:p w14:paraId="358AA9C8">
                  <w:pPr>
                    <w:adjustRightInd w:val="0"/>
                    <w:snapToGrid w:val="0"/>
                    <w:jc w:val="center"/>
                    <w:rPr>
                      <w:rFonts w:ascii="Times New Roman" w:hAnsi="Times New Roman"/>
                      <w:b/>
                      <w:color w:val="auto"/>
                      <w:szCs w:val="21"/>
                    </w:rPr>
                  </w:pPr>
                  <w:r>
                    <w:rPr>
                      <w:rFonts w:ascii="Times New Roman" w:hAnsi="Times New Roman"/>
                      <w:b/>
                      <w:color w:val="auto"/>
                      <w:szCs w:val="21"/>
                    </w:rPr>
                    <w:t>最低检出限或范围</w:t>
                  </w:r>
                </w:p>
              </w:tc>
            </w:tr>
            <w:tr w14:paraId="7E699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tl2br w:val="nil"/>
                    <w:tr2bl w:val="nil"/>
                  </w:tcBorders>
                  <w:vAlign w:val="center"/>
                </w:tcPr>
                <w:p w14:paraId="55556B1C">
                  <w:pPr>
                    <w:adjustRightInd w:val="0"/>
                    <w:snapToGrid w:val="0"/>
                    <w:jc w:val="center"/>
                    <w:rPr>
                      <w:rFonts w:ascii="Times New Roman" w:hAnsi="Times New Roman"/>
                      <w:bCs/>
                      <w:color w:val="auto"/>
                      <w:szCs w:val="21"/>
                    </w:rPr>
                  </w:pPr>
                  <w:r>
                    <w:rPr>
                      <w:rFonts w:ascii="Times New Roman" w:hAnsi="Times New Roman"/>
                      <w:bCs/>
                      <w:color w:val="auto"/>
                      <w:szCs w:val="21"/>
                    </w:rPr>
                    <w:t>环境噪声</w:t>
                  </w:r>
                </w:p>
              </w:tc>
              <w:tc>
                <w:tcPr>
                  <w:tcW w:w="1762" w:type="dxa"/>
                  <w:tcBorders>
                    <w:tl2br w:val="nil"/>
                    <w:tr2bl w:val="nil"/>
                  </w:tcBorders>
                  <w:vAlign w:val="center"/>
                </w:tcPr>
                <w:p w14:paraId="48FAE863">
                  <w:pPr>
                    <w:pStyle w:val="56"/>
                    <w:adjustRightInd w:val="0"/>
                    <w:snapToGrid w:val="0"/>
                    <w:jc w:val="center"/>
                    <w:rPr>
                      <w:color w:val="auto"/>
                      <w:kern w:val="2"/>
                    </w:rPr>
                  </w:pPr>
                  <w:r>
                    <w:rPr>
                      <w:color w:val="auto"/>
                      <w:kern w:val="2"/>
                    </w:rPr>
                    <w:t>《声环境质量标准》GB3096-2008</w:t>
                  </w:r>
                </w:p>
              </w:tc>
              <w:tc>
                <w:tcPr>
                  <w:tcW w:w="2548" w:type="dxa"/>
                  <w:tcBorders>
                    <w:tl2br w:val="nil"/>
                    <w:tr2bl w:val="nil"/>
                  </w:tcBorders>
                  <w:vAlign w:val="center"/>
                </w:tcPr>
                <w:p w14:paraId="5CB20849">
                  <w:pPr>
                    <w:pStyle w:val="56"/>
                    <w:adjustRightInd w:val="0"/>
                    <w:snapToGrid w:val="0"/>
                    <w:jc w:val="center"/>
                    <w:rPr>
                      <w:color w:val="auto"/>
                      <w:kern w:val="2"/>
                    </w:rPr>
                  </w:pPr>
                  <w:r>
                    <w:rPr>
                      <w:color w:val="auto"/>
                      <w:kern w:val="2"/>
                    </w:rPr>
                    <w:t>多功能声级计</w:t>
                  </w:r>
                </w:p>
                <w:p w14:paraId="34F4CF0F">
                  <w:pPr>
                    <w:pStyle w:val="56"/>
                    <w:adjustRightInd w:val="0"/>
                    <w:snapToGrid w:val="0"/>
                    <w:jc w:val="center"/>
                    <w:rPr>
                      <w:color w:val="auto"/>
                      <w:kern w:val="2"/>
                    </w:rPr>
                  </w:pPr>
                  <w:r>
                    <w:rPr>
                      <w:color w:val="auto"/>
                      <w:kern w:val="2"/>
                    </w:rPr>
                    <w:t>AWA56</w:t>
                  </w:r>
                  <w:r>
                    <w:rPr>
                      <w:rFonts w:hint="eastAsia"/>
                      <w:color w:val="auto"/>
                      <w:kern w:val="2"/>
                    </w:rPr>
                    <w:t>88</w:t>
                  </w:r>
                </w:p>
              </w:tc>
              <w:tc>
                <w:tcPr>
                  <w:tcW w:w="1242" w:type="dxa"/>
                  <w:tcBorders>
                    <w:tl2br w:val="nil"/>
                    <w:tr2bl w:val="nil"/>
                  </w:tcBorders>
                  <w:vAlign w:val="center"/>
                </w:tcPr>
                <w:p w14:paraId="2EB83390">
                  <w:pPr>
                    <w:pStyle w:val="56"/>
                    <w:adjustRightInd w:val="0"/>
                    <w:snapToGrid w:val="0"/>
                    <w:jc w:val="center"/>
                    <w:rPr>
                      <w:color w:val="auto"/>
                      <w:kern w:val="2"/>
                    </w:rPr>
                  </w:pPr>
                  <w:r>
                    <w:rPr>
                      <w:color w:val="auto"/>
                      <w:kern w:val="2"/>
                    </w:rPr>
                    <w:t>Z202507-G331478/</w:t>
                  </w:r>
                </w:p>
                <w:p w14:paraId="6B9EEF3B">
                  <w:pPr>
                    <w:pStyle w:val="56"/>
                    <w:adjustRightInd w:val="0"/>
                    <w:snapToGrid w:val="0"/>
                    <w:jc w:val="center"/>
                    <w:rPr>
                      <w:color w:val="auto"/>
                      <w:kern w:val="2"/>
                    </w:rPr>
                  </w:pPr>
                  <w:r>
                    <w:rPr>
                      <w:color w:val="auto"/>
                      <w:kern w:val="2"/>
                    </w:rPr>
                    <w:t>YS-XC079</w:t>
                  </w:r>
                </w:p>
              </w:tc>
              <w:tc>
                <w:tcPr>
                  <w:tcW w:w="673" w:type="dxa"/>
                  <w:tcBorders>
                    <w:tl2br w:val="nil"/>
                    <w:tr2bl w:val="nil"/>
                  </w:tcBorders>
                  <w:vAlign w:val="center"/>
                </w:tcPr>
                <w:p w14:paraId="4B4C950E">
                  <w:pPr>
                    <w:adjustRightInd w:val="0"/>
                    <w:snapToGrid w:val="0"/>
                    <w:jc w:val="center"/>
                    <w:rPr>
                      <w:rFonts w:ascii="Times New Roman" w:hAnsi="Times New Roman"/>
                      <w:bCs/>
                      <w:color w:val="auto"/>
                      <w:szCs w:val="21"/>
                    </w:rPr>
                  </w:pPr>
                  <w:r>
                    <w:rPr>
                      <w:rFonts w:hint="eastAsia" w:ascii="Times New Roman" w:hAnsi="Times New Roman"/>
                      <w:bCs/>
                      <w:color w:val="auto"/>
                      <w:szCs w:val="21"/>
                    </w:rPr>
                    <w:t>/</w:t>
                  </w:r>
                </w:p>
              </w:tc>
              <w:tc>
                <w:tcPr>
                  <w:tcW w:w="1392" w:type="dxa"/>
                  <w:tcBorders>
                    <w:tl2br w:val="nil"/>
                    <w:tr2bl w:val="nil"/>
                  </w:tcBorders>
                  <w:vAlign w:val="center"/>
                </w:tcPr>
                <w:p w14:paraId="53FF2635">
                  <w:pPr>
                    <w:pStyle w:val="56"/>
                    <w:adjustRightInd w:val="0"/>
                    <w:snapToGrid w:val="0"/>
                    <w:jc w:val="center"/>
                    <w:rPr>
                      <w:color w:val="auto"/>
                      <w:kern w:val="2"/>
                    </w:rPr>
                  </w:pPr>
                  <w:r>
                    <w:rPr>
                      <w:color w:val="auto"/>
                      <w:kern w:val="2"/>
                    </w:rPr>
                    <w:t>28~133dB(A)</w:t>
                  </w:r>
                </w:p>
              </w:tc>
            </w:tr>
          </w:tbl>
          <w:p w14:paraId="34C11847">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3.6.5质量控制</w:t>
            </w:r>
          </w:p>
          <w:p w14:paraId="6ECD38C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与电磁环境监测质量控制一致。</w:t>
            </w:r>
          </w:p>
          <w:p w14:paraId="52081417">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3.6.6监测结果及分析</w:t>
            </w:r>
          </w:p>
          <w:p w14:paraId="1AF7A27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本项目声环境监测结果见表3-</w:t>
            </w:r>
            <w:r>
              <w:rPr>
                <w:rFonts w:hint="eastAsia" w:ascii="Times New Roman" w:hAnsi="Times New Roman"/>
                <w:color w:val="auto"/>
                <w:sz w:val="24"/>
                <w:szCs w:val="24"/>
              </w:rPr>
              <w:t>26</w:t>
            </w:r>
            <w:r>
              <w:rPr>
                <w:rFonts w:ascii="Times New Roman" w:hAnsi="Times New Roman"/>
                <w:color w:val="auto"/>
                <w:sz w:val="24"/>
                <w:szCs w:val="24"/>
              </w:rPr>
              <w:t>。</w:t>
            </w:r>
          </w:p>
          <w:p w14:paraId="29210048">
            <w:pPr>
              <w:pStyle w:val="18"/>
              <w:pBdr>
                <w:bottom w:val="none" w:color="auto" w:sz="0" w:space="0"/>
              </w:pBdr>
              <w:ind w:firstLine="482" w:firstLineChars="200"/>
              <w:rPr>
                <w:rFonts w:ascii="Times New Roman" w:hAnsi="Times New Roman"/>
                <w:b/>
                <w:bCs/>
                <w:color w:val="auto"/>
                <w:sz w:val="24"/>
                <w:szCs w:val="24"/>
              </w:rPr>
            </w:pPr>
            <w:r>
              <w:rPr>
                <w:rFonts w:ascii="Times New Roman" w:hAnsi="Times New Roman"/>
                <w:b/>
                <w:bCs/>
                <w:color w:val="auto"/>
                <w:sz w:val="24"/>
                <w:szCs w:val="24"/>
              </w:rPr>
              <w:t>表3-</w:t>
            </w:r>
            <w:r>
              <w:rPr>
                <w:rFonts w:hint="eastAsia" w:ascii="Times New Roman" w:hAnsi="Times New Roman"/>
                <w:b/>
                <w:bCs/>
                <w:color w:val="auto"/>
                <w:sz w:val="24"/>
                <w:szCs w:val="24"/>
              </w:rPr>
              <w:t>26</w:t>
            </w:r>
            <w:r>
              <w:rPr>
                <w:rFonts w:ascii="Times New Roman" w:hAnsi="Times New Roman"/>
                <w:b/>
                <w:bCs/>
                <w:color w:val="auto"/>
                <w:sz w:val="24"/>
                <w:szCs w:val="24"/>
              </w:rPr>
              <w:t xml:space="preserve">  声环境质量现状监测结果</w:t>
            </w:r>
          </w:p>
          <w:tbl>
            <w:tblPr>
              <w:tblStyle w:val="2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010"/>
              <w:gridCol w:w="618"/>
              <w:gridCol w:w="956"/>
              <w:gridCol w:w="1048"/>
              <w:gridCol w:w="1818"/>
              <w:gridCol w:w="967"/>
              <w:gridCol w:w="1009"/>
            </w:tblGrid>
            <w:tr w14:paraId="7DC251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72149B73">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监测点位</w:t>
                  </w:r>
                </w:p>
              </w:tc>
              <w:tc>
                <w:tcPr>
                  <w:tcW w:w="367" w:type="pct"/>
                  <w:vMerge w:val="restart"/>
                  <w:tcBorders>
                    <w:tl2br w:val="nil"/>
                    <w:tr2bl w:val="nil"/>
                  </w:tcBorders>
                  <w:shd w:val="clear" w:color="auto" w:fill="auto"/>
                  <w:vAlign w:val="center"/>
                </w:tcPr>
                <w:p w14:paraId="1B9C8E0E">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主要声源</w:t>
                  </w:r>
                </w:p>
              </w:tc>
              <w:tc>
                <w:tcPr>
                  <w:tcW w:w="567" w:type="pct"/>
                  <w:vMerge w:val="restart"/>
                  <w:tcBorders>
                    <w:tl2br w:val="nil"/>
                    <w:tr2bl w:val="nil"/>
                  </w:tcBorders>
                  <w:shd w:val="clear" w:color="auto" w:fill="auto"/>
                  <w:vAlign w:val="center"/>
                </w:tcPr>
                <w:p w14:paraId="60026B8D">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单位</w:t>
                  </w:r>
                </w:p>
              </w:tc>
              <w:tc>
                <w:tcPr>
                  <w:tcW w:w="622" w:type="pct"/>
                  <w:vMerge w:val="restart"/>
                  <w:tcBorders>
                    <w:tl2br w:val="nil"/>
                    <w:tr2bl w:val="nil"/>
                  </w:tcBorders>
                  <w:shd w:val="clear" w:color="auto" w:fill="auto"/>
                  <w:vAlign w:val="center"/>
                </w:tcPr>
                <w:p w14:paraId="57E4F077">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检测时段</w:t>
                  </w:r>
                </w:p>
              </w:tc>
              <w:tc>
                <w:tcPr>
                  <w:tcW w:w="1079" w:type="pct"/>
                  <w:tcBorders>
                    <w:tl2br w:val="nil"/>
                    <w:tr2bl w:val="nil"/>
                  </w:tcBorders>
                  <w:shd w:val="clear" w:color="auto" w:fill="auto"/>
                  <w:vAlign w:val="center"/>
                </w:tcPr>
                <w:p w14:paraId="04E9E2D2">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检测结果</w:t>
                  </w:r>
                </w:p>
              </w:tc>
              <w:tc>
                <w:tcPr>
                  <w:tcW w:w="574" w:type="pct"/>
                  <w:vMerge w:val="restart"/>
                  <w:tcBorders>
                    <w:tl2br w:val="nil"/>
                    <w:tr2bl w:val="nil"/>
                  </w:tcBorders>
                  <w:shd w:val="clear" w:color="auto" w:fill="auto"/>
                  <w:vAlign w:val="center"/>
                </w:tcPr>
                <w:p w14:paraId="1BAF40BF">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标准限值</w:t>
                  </w:r>
                </w:p>
              </w:tc>
              <w:tc>
                <w:tcPr>
                  <w:tcW w:w="596" w:type="pct"/>
                  <w:vMerge w:val="restart"/>
                  <w:tcBorders>
                    <w:tl2br w:val="nil"/>
                    <w:tr2bl w:val="nil"/>
                  </w:tcBorders>
                  <w:shd w:val="clear" w:color="auto" w:fill="auto"/>
                  <w:vAlign w:val="center"/>
                </w:tcPr>
                <w:p w14:paraId="2D53AA8B">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是否合格</w:t>
                  </w:r>
                </w:p>
              </w:tc>
            </w:tr>
            <w:tr w14:paraId="495723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22ADBAD8">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7DE5C210">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7252D898">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vMerge w:val="continue"/>
                  <w:tcBorders>
                    <w:tl2br w:val="nil"/>
                    <w:tr2bl w:val="nil"/>
                  </w:tcBorders>
                  <w:shd w:val="clear" w:color="auto" w:fill="auto"/>
                  <w:vAlign w:val="center"/>
                </w:tcPr>
                <w:p w14:paraId="6F4C37ED">
                  <w:pPr>
                    <w:widowControl/>
                    <w:kinsoku w:val="0"/>
                    <w:autoSpaceDE w:val="0"/>
                    <w:autoSpaceDN w:val="0"/>
                    <w:adjustRightInd w:val="0"/>
                    <w:snapToGrid w:val="0"/>
                    <w:jc w:val="center"/>
                    <w:textAlignment w:val="baseline"/>
                    <w:rPr>
                      <w:rFonts w:ascii="Times New Roman" w:hAnsi="Times New Roman"/>
                      <w:color w:val="auto"/>
                      <w:szCs w:val="21"/>
                    </w:rPr>
                  </w:pPr>
                </w:p>
              </w:tc>
              <w:tc>
                <w:tcPr>
                  <w:tcW w:w="1079" w:type="pct"/>
                  <w:tcBorders>
                    <w:tl2br w:val="nil"/>
                    <w:tr2bl w:val="nil"/>
                  </w:tcBorders>
                  <w:shd w:val="clear" w:color="auto" w:fill="auto"/>
                  <w:vAlign w:val="center"/>
                </w:tcPr>
                <w:p w14:paraId="5A0A70E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b/>
                      <w:bCs/>
                      <w:color w:val="auto"/>
                      <w:szCs w:val="21"/>
                    </w:rPr>
                    <w:t>2026.05.31</w:t>
                  </w:r>
                </w:p>
              </w:tc>
              <w:tc>
                <w:tcPr>
                  <w:tcW w:w="574" w:type="pct"/>
                  <w:vMerge w:val="continue"/>
                  <w:tcBorders>
                    <w:tl2br w:val="nil"/>
                    <w:tr2bl w:val="nil"/>
                  </w:tcBorders>
                  <w:shd w:val="clear" w:color="auto" w:fill="auto"/>
                  <w:vAlign w:val="center"/>
                </w:tcPr>
                <w:p w14:paraId="5D9A978C">
                  <w:pPr>
                    <w:widowControl/>
                    <w:kinsoku w:val="0"/>
                    <w:autoSpaceDE w:val="0"/>
                    <w:autoSpaceDN w:val="0"/>
                    <w:adjustRightInd w:val="0"/>
                    <w:snapToGrid w:val="0"/>
                    <w:jc w:val="center"/>
                    <w:textAlignment w:val="baseline"/>
                    <w:rPr>
                      <w:rFonts w:ascii="Times New Roman" w:hAnsi="Times New Roman"/>
                      <w:color w:val="auto"/>
                      <w:szCs w:val="21"/>
                    </w:rPr>
                  </w:pPr>
                </w:p>
              </w:tc>
              <w:tc>
                <w:tcPr>
                  <w:tcW w:w="596" w:type="pct"/>
                  <w:vMerge w:val="continue"/>
                  <w:tcBorders>
                    <w:tl2br w:val="nil"/>
                    <w:tr2bl w:val="nil"/>
                  </w:tcBorders>
                  <w:shd w:val="clear" w:color="auto" w:fill="auto"/>
                  <w:vAlign w:val="center"/>
                </w:tcPr>
                <w:p w14:paraId="0EB4CE33">
                  <w:pPr>
                    <w:widowControl/>
                    <w:kinsoku w:val="0"/>
                    <w:autoSpaceDE w:val="0"/>
                    <w:autoSpaceDN w:val="0"/>
                    <w:adjustRightInd w:val="0"/>
                    <w:snapToGrid w:val="0"/>
                    <w:jc w:val="center"/>
                    <w:textAlignment w:val="baseline"/>
                    <w:rPr>
                      <w:rFonts w:ascii="Times New Roman" w:hAnsi="Times New Roman"/>
                      <w:color w:val="auto"/>
                      <w:szCs w:val="21"/>
                    </w:rPr>
                  </w:pPr>
                </w:p>
              </w:tc>
            </w:tr>
            <w:tr w14:paraId="5859CC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2EE900E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N1塔基N</w:t>
                  </w:r>
                  <w:r>
                    <w:rPr>
                      <w:rFonts w:hint="eastAsia" w:ascii="Times New Roman" w:hAnsi="Times New Roman"/>
                      <w:color w:val="auto"/>
                      <w:szCs w:val="21"/>
                    </w:rPr>
                    <w:t>1</w:t>
                  </w:r>
                  <w:r>
                    <w:rPr>
                      <w:rFonts w:ascii="Times New Roman" w:hAnsi="Times New Roman"/>
                      <w:color w:val="auto"/>
                      <w:szCs w:val="21"/>
                    </w:rPr>
                    <w:t>~N</w:t>
                  </w:r>
                  <w:r>
                    <w:rPr>
                      <w:rFonts w:hint="eastAsia" w:ascii="Times New Roman" w:hAnsi="Times New Roman"/>
                      <w:color w:val="auto"/>
                      <w:szCs w:val="21"/>
                    </w:rPr>
                    <w:t>2</w:t>
                  </w:r>
                  <w:r>
                    <w:rPr>
                      <w:rFonts w:ascii="Times New Roman" w:hAnsi="Times New Roman"/>
                      <w:color w:val="auto"/>
                      <w:szCs w:val="21"/>
                    </w:rPr>
                    <w:t>之间六合村居民1#</w:t>
                  </w:r>
                </w:p>
              </w:tc>
              <w:tc>
                <w:tcPr>
                  <w:tcW w:w="367" w:type="pct"/>
                  <w:vMerge w:val="restart"/>
                  <w:tcBorders>
                    <w:tl2br w:val="nil"/>
                    <w:tr2bl w:val="nil"/>
                  </w:tcBorders>
                  <w:shd w:val="clear" w:color="auto" w:fill="auto"/>
                  <w:vAlign w:val="center"/>
                </w:tcPr>
                <w:p w14:paraId="3BD5049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761F2C03">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24E870A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04361FA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42</w:t>
                  </w:r>
                </w:p>
              </w:tc>
              <w:tc>
                <w:tcPr>
                  <w:tcW w:w="574" w:type="pct"/>
                  <w:tcBorders>
                    <w:tl2br w:val="nil"/>
                    <w:tr2bl w:val="nil"/>
                  </w:tcBorders>
                  <w:shd w:val="clear" w:color="auto" w:fill="auto"/>
                  <w:vAlign w:val="center"/>
                </w:tcPr>
                <w:p w14:paraId="2B699FA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0E1F0D9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36025C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08119D20">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26C59C42">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06085C55">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09CADFE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46FB7AA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38</w:t>
                  </w:r>
                </w:p>
              </w:tc>
              <w:tc>
                <w:tcPr>
                  <w:tcW w:w="574" w:type="pct"/>
                  <w:tcBorders>
                    <w:tl2br w:val="nil"/>
                    <w:tr2bl w:val="nil"/>
                  </w:tcBorders>
                  <w:shd w:val="clear" w:color="auto" w:fill="auto"/>
                  <w:vAlign w:val="center"/>
                </w:tcPr>
                <w:p w14:paraId="389D302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014E5AE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077058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139D11D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N2塔基N11~N12之间石灰窑散户2#</w:t>
                  </w:r>
                </w:p>
              </w:tc>
              <w:tc>
                <w:tcPr>
                  <w:tcW w:w="367" w:type="pct"/>
                  <w:vMerge w:val="restart"/>
                  <w:tcBorders>
                    <w:tl2br w:val="nil"/>
                    <w:tr2bl w:val="nil"/>
                  </w:tcBorders>
                  <w:shd w:val="clear" w:color="auto" w:fill="auto"/>
                  <w:vAlign w:val="center"/>
                </w:tcPr>
                <w:p w14:paraId="0BC2CFD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4BACE178">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42529B6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76216E7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74" w:type="pct"/>
                  <w:tcBorders>
                    <w:tl2br w:val="nil"/>
                    <w:tr2bl w:val="nil"/>
                  </w:tcBorders>
                  <w:shd w:val="clear" w:color="auto" w:fill="auto"/>
                  <w:vAlign w:val="center"/>
                </w:tcPr>
                <w:p w14:paraId="7B981BE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1573682E">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4790D6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7C01B04C">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67D551B6">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7DACA7ED">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63B3361E">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6D30030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40</w:t>
                  </w:r>
                </w:p>
              </w:tc>
              <w:tc>
                <w:tcPr>
                  <w:tcW w:w="574" w:type="pct"/>
                  <w:tcBorders>
                    <w:tl2br w:val="nil"/>
                    <w:tr2bl w:val="nil"/>
                  </w:tcBorders>
                  <w:shd w:val="clear" w:color="auto" w:fill="auto"/>
                  <w:vAlign w:val="center"/>
                </w:tcPr>
                <w:p w14:paraId="65F0ED1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66C5A67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6275AD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1A79964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N3塔基N23~N24之间隧道工棚3#</w:t>
                  </w:r>
                </w:p>
              </w:tc>
              <w:tc>
                <w:tcPr>
                  <w:tcW w:w="367" w:type="pct"/>
                  <w:vMerge w:val="restart"/>
                  <w:tcBorders>
                    <w:tl2br w:val="nil"/>
                    <w:tr2bl w:val="nil"/>
                  </w:tcBorders>
                  <w:shd w:val="clear" w:color="auto" w:fill="auto"/>
                  <w:vAlign w:val="center"/>
                </w:tcPr>
                <w:p w14:paraId="4587AB0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00B978C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665B0B1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4DC6207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74" w:type="pct"/>
                  <w:tcBorders>
                    <w:tl2br w:val="nil"/>
                    <w:tr2bl w:val="nil"/>
                  </w:tcBorders>
                  <w:shd w:val="clear" w:color="auto" w:fill="auto"/>
                  <w:vAlign w:val="center"/>
                </w:tcPr>
                <w:p w14:paraId="44D76A3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1713822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1689FE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579E0BB4">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6533D17A">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0FF83467">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3FFF094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36144CB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41</w:t>
                  </w:r>
                </w:p>
              </w:tc>
              <w:tc>
                <w:tcPr>
                  <w:tcW w:w="574" w:type="pct"/>
                  <w:tcBorders>
                    <w:tl2br w:val="nil"/>
                    <w:tr2bl w:val="nil"/>
                  </w:tcBorders>
                  <w:shd w:val="clear" w:color="auto" w:fill="auto"/>
                  <w:vAlign w:val="center"/>
                </w:tcPr>
                <w:p w14:paraId="43D0442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27D44C90">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7B5F06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46F3E004">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N4塔基N29~N30之间叶家冲散户4#</w:t>
                  </w:r>
                </w:p>
              </w:tc>
              <w:tc>
                <w:tcPr>
                  <w:tcW w:w="367" w:type="pct"/>
                  <w:vMerge w:val="restart"/>
                  <w:tcBorders>
                    <w:tl2br w:val="nil"/>
                    <w:tr2bl w:val="nil"/>
                  </w:tcBorders>
                  <w:shd w:val="clear" w:color="auto" w:fill="auto"/>
                  <w:vAlign w:val="center"/>
                </w:tcPr>
                <w:p w14:paraId="14E5C98E">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4E7206B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07790BF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49CD39B4">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41</w:t>
                  </w:r>
                </w:p>
              </w:tc>
              <w:tc>
                <w:tcPr>
                  <w:tcW w:w="574" w:type="pct"/>
                  <w:tcBorders>
                    <w:tl2br w:val="nil"/>
                    <w:tr2bl w:val="nil"/>
                  </w:tcBorders>
                  <w:shd w:val="clear" w:color="auto" w:fill="auto"/>
                  <w:vAlign w:val="center"/>
                </w:tcPr>
                <w:p w14:paraId="612B9DF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6157AB9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782A80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0788D78F">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27C23D07">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61ABF23C">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1C78C69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6067135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37</w:t>
                  </w:r>
                </w:p>
              </w:tc>
              <w:tc>
                <w:tcPr>
                  <w:tcW w:w="574" w:type="pct"/>
                  <w:tcBorders>
                    <w:tl2br w:val="nil"/>
                    <w:tr2bl w:val="nil"/>
                  </w:tcBorders>
                  <w:shd w:val="clear" w:color="auto" w:fill="auto"/>
                  <w:vAlign w:val="center"/>
                </w:tcPr>
                <w:p w14:paraId="6D5E39A3">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52D6092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5583AA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1187EC7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N5塔基N50~N51之间中梁子散户5#</w:t>
                  </w:r>
                </w:p>
              </w:tc>
              <w:tc>
                <w:tcPr>
                  <w:tcW w:w="367" w:type="pct"/>
                  <w:vMerge w:val="restart"/>
                  <w:tcBorders>
                    <w:tl2br w:val="nil"/>
                    <w:tr2bl w:val="nil"/>
                  </w:tcBorders>
                  <w:shd w:val="clear" w:color="auto" w:fill="auto"/>
                  <w:vAlign w:val="center"/>
                </w:tcPr>
                <w:p w14:paraId="2687BF4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40C251D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79CAD51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755E86D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43</w:t>
                  </w:r>
                </w:p>
              </w:tc>
              <w:tc>
                <w:tcPr>
                  <w:tcW w:w="574" w:type="pct"/>
                  <w:tcBorders>
                    <w:tl2br w:val="nil"/>
                    <w:tr2bl w:val="nil"/>
                  </w:tcBorders>
                  <w:shd w:val="clear" w:color="auto" w:fill="auto"/>
                  <w:vAlign w:val="center"/>
                </w:tcPr>
                <w:p w14:paraId="4668912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34950F9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59F240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37302B58">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4DFB8FB5">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46C4EA32">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0B595908">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7DB94BB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39</w:t>
                  </w:r>
                </w:p>
              </w:tc>
              <w:tc>
                <w:tcPr>
                  <w:tcW w:w="574" w:type="pct"/>
                  <w:tcBorders>
                    <w:tl2br w:val="nil"/>
                    <w:tr2bl w:val="nil"/>
                  </w:tcBorders>
                  <w:shd w:val="clear" w:color="auto" w:fill="auto"/>
                  <w:vAlign w:val="center"/>
                </w:tcPr>
                <w:p w14:paraId="489A941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6D2FB2F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57E3A7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3DA99E4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N6塔基N57~N58之间国道停车区用房6#</w:t>
                  </w:r>
                </w:p>
              </w:tc>
              <w:tc>
                <w:tcPr>
                  <w:tcW w:w="367" w:type="pct"/>
                  <w:vMerge w:val="restart"/>
                  <w:tcBorders>
                    <w:tl2br w:val="nil"/>
                    <w:tr2bl w:val="nil"/>
                  </w:tcBorders>
                  <w:shd w:val="clear" w:color="auto" w:fill="auto"/>
                  <w:vAlign w:val="center"/>
                </w:tcPr>
                <w:p w14:paraId="2F2AA014">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114BEA4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28672C1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19132BB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57</w:t>
                  </w:r>
                </w:p>
              </w:tc>
              <w:tc>
                <w:tcPr>
                  <w:tcW w:w="574" w:type="pct"/>
                  <w:tcBorders>
                    <w:tl2br w:val="nil"/>
                    <w:tr2bl w:val="nil"/>
                  </w:tcBorders>
                  <w:shd w:val="clear" w:color="auto" w:fill="auto"/>
                  <w:vAlign w:val="center"/>
                </w:tcPr>
                <w:p w14:paraId="0F8128F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70</w:t>
                  </w:r>
                </w:p>
              </w:tc>
              <w:tc>
                <w:tcPr>
                  <w:tcW w:w="596" w:type="pct"/>
                  <w:tcBorders>
                    <w:tl2br w:val="nil"/>
                    <w:tr2bl w:val="nil"/>
                  </w:tcBorders>
                  <w:shd w:val="clear" w:color="auto" w:fill="auto"/>
                  <w:vAlign w:val="center"/>
                </w:tcPr>
                <w:p w14:paraId="690DF7A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1F02E3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539EAD4D">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096B32DA">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708A7A6F">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0B87D8B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759240B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74" w:type="pct"/>
                  <w:tcBorders>
                    <w:tl2br w:val="nil"/>
                    <w:tr2bl w:val="nil"/>
                  </w:tcBorders>
                  <w:shd w:val="clear" w:color="auto" w:fill="auto"/>
                  <w:vAlign w:val="center"/>
                </w:tcPr>
                <w:p w14:paraId="06C8C070">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5E8B3F2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30EEF0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4CE8577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N7塔基N57~N58之间山背后村散户一层7#</w:t>
                  </w:r>
                </w:p>
              </w:tc>
              <w:tc>
                <w:tcPr>
                  <w:tcW w:w="367" w:type="pct"/>
                  <w:vMerge w:val="restart"/>
                  <w:tcBorders>
                    <w:tl2br w:val="nil"/>
                    <w:tr2bl w:val="nil"/>
                  </w:tcBorders>
                  <w:shd w:val="clear" w:color="auto" w:fill="auto"/>
                  <w:vAlign w:val="center"/>
                </w:tcPr>
                <w:p w14:paraId="0870C08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6896F9B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02F7F42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7D5E0E8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49</w:t>
                  </w:r>
                </w:p>
              </w:tc>
              <w:tc>
                <w:tcPr>
                  <w:tcW w:w="574" w:type="pct"/>
                  <w:tcBorders>
                    <w:tl2br w:val="nil"/>
                    <w:tr2bl w:val="nil"/>
                  </w:tcBorders>
                  <w:shd w:val="clear" w:color="auto" w:fill="auto"/>
                  <w:vAlign w:val="center"/>
                </w:tcPr>
                <w:p w14:paraId="1C6017C8">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2D7D09D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538C2B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598824A2">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56F23690">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252418BE">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74D5F01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4E696020">
                  <w:pPr>
                    <w:widowControl/>
                    <w:kinsoku w:val="0"/>
                    <w:autoSpaceDE w:val="0"/>
                    <w:autoSpaceDN w:val="0"/>
                    <w:adjustRightInd w:val="0"/>
                    <w:snapToGrid w:val="0"/>
                    <w:jc w:val="center"/>
                    <w:textAlignment w:val="baseline"/>
                    <w:rPr>
                      <w:rFonts w:ascii="Times New Roman" w:hAnsi="Times New Roman"/>
                      <w:color w:val="auto"/>
                      <w:szCs w:val="21"/>
                    </w:rPr>
                  </w:pPr>
                  <w:r>
                    <w:rPr>
                      <w:rFonts w:hint="eastAsia" w:ascii="Times New Roman" w:hAnsi="Times New Roman"/>
                      <w:color w:val="auto"/>
                      <w:szCs w:val="21"/>
                    </w:rPr>
                    <w:t>42</w:t>
                  </w:r>
                </w:p>
              </w:tc>
              <w:tc>
                <w:tcPr>
                  <w:tcW w:w="574" w:type="pct"/>
                  <w:tcBorders>
                    <w:tl2br w:val="nil"/>
                    <w:tr2bl w:val="nil"/>
                  </w:tcBorders>
                  <w:shd w:val="clear" w:color="auto" w:fill="auto"/>
                  <w:vAlign w:val="center"/>
                </w:tcPr>
                <w:p w14:paraId="3B99928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0D96216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002B8C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restart"/>
                  <w:tcBorders>
                    <w:tl2br w:val="nil"/>
                    <w:tr2bl w:val="nil"/>
                  </w:tcBorders>
                  <w:shd w:val="clear" w:color="auto" w:fill="auto"/>
                  <w:vAlign w:val="center"/>
                </w:tcPr>
                <w:p w14:paraId="4365523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N8塔基N57~N58之间山背后村散户三层8#</w:t>
                  </w:r>
                </w:p>
              </w:tc>
              <w:tc>
                <w:tcPr>
                  <w:tcW w:w="367" w:type="pct"/>
                  <w:vMerge w:val="restart"/>
                  <w:tcBorders>
                    <w:tl2br w:val="nil"/>
                    <w:tr2bl w:val="nil"/>
                  </w:tcBorders>
                  <w:shd w:val="clear" w:color="auto" w:fill="auto"/>
                  <w:vAlign w:val="center"/>
                </w:tcPr>
                <w:p w14:paraId="210F880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环境噪声</w:t>
                  </w:r>
                </w:p>
              </w:tc>
              <w:tc>
                <w:tcPr>
                  <w:tcW w:w="567" w:type="pct"/>
                  <w:vMerge w:val="restart"/>
                  <w:tcBorders>
                    <w:tl2br w:val="nil"/>
                    <w:tr2bl w:val="nil"/>
                  </w:tcBorders>
                  <w:shd w:val="clear" w:color="auto" w:fill="auto"/>
                  <w:vAlign w:val="center"/>
                </w:tcPr>
                <w:p w14:paraId="6BE361E4">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dB(A)</w:t>
                  </w:r>
                </w:p>
              </w:tc>
              <w:tc>
                <w:tcPr>
                  <w:tcW w:w="622" w:type="pct"/>
                  <w:tcBorders>
                    <w:tl2br w:val="nil"/>
                    <w:tr2bl w:val="nil"/>
                  </w:tcBorders>
                  <w:shd w:val="clear" w:color="auto" w:fill="auto"/>
                  <w:vAlign w:val="center"/>
                </w:tcPr>
                <w:p w14:paraId="0D2F5BB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昼间</w:t>
                  </w:r>
                </w:p>
              </w:tc>
              <w:tc>
                <w:tcPr>
                  <w:tcW w:w="1079" w:type="pct"/>
                  <w:tcBorders>
                    <w:tl2br w:val="nil"/>
                    <w:tr2bl w:val="nil"/>
                  </w:tcBorders>
                  <w:shd w:val="clear" w:color="auto" w:fill="auto"/>
                  <w:vAlign w:val="center"/>
                </w:tcPr>
                <w:p w14:paraId="6CDF61D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44</w:t>
                  </w:r>
                </w:p>
              </w:tc>
              <w:tc>
                <w:tcPr>
                  <w:tcW w:w="574" w:type="pct"/>
                  <w:tcBorders>
                    <w:tl2br w:val="nil"/>
                    <w:tr2bl w:val="nil"/>
                  </w:tcBorders>
                  <w:shd w:val="clear" w:color="auto" w:fill="auto"/>
                  <w:vAlign w:val="center"/>
                </w:tcPr>
                <w:p w14:paraId="50BA2CF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55</w:t>
                  </w:r>
                </w:p>
              </w:tc>
              <w:tc>
                <w:tcPr>
                  <w:tcW w:w="596" w:type="pct"/>
                  <w:tcBorders>
                    <w:tl2br w:val="nil"/>
                    <w:tr2bl w:val="nil"/>
                  </w:tcBorders>
                  <w:shd w:val="clear" w:color="auto" w:fill="auto"/>
                  <w:vAlign w:val="center"/>
                </w:tcPr>
                <w:p w14:paraId="115B8C8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07FD56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192" w:type="pct"/>
                  <w:vMerge w:val="continue"/>
                  <w:tcBorders>
                    <w:tl2br w:val="nil"/>
                    <w:tr2bl w:val="nil"/>
                  </w:tcBorders>
                  <w:shd w:val="clear" w:color="auto" w:fill="auto"/>
                  <w:vAlign w:val="center"/>
                </w:tcPr>
                <w:p w14:paraId="21BFF2E8">
                  <w:pPr>
                    <w:widowControl/>
                    <w:kinsoku w:val="0"/>
                    <w:autoSpaceDE w:val="0"/>
                    <w:autoSpaceDN w:val="0"/>
                    <w:adjustRightInd w:val="0"/>
                    <w:snapToGrid w:val="0"/>
                    <w:jc w:val="center"/>
                    <w:textAlignment w:val="baseline"/>
                    <w:rPr>
                      <w:rFonts w:ascii="Times New Roman" w:hAnsi="Times New Roman"/>
                      <w:color w:val="auto"/>
                      <w:szCs w:val="21"/>
                    </w:rPr>
                  </w:pPr>
                </w:p>
              </w:tc>
              <w:tc>
                <w:tcPr>
                  <w:tcW w:w="367" w:type="pct"/>
                  <w:vMerge w:val="continue"/>
                  <w:tcBorders>
                    <w:tl2br w:val="nil"/>
                    <w:tr2bl w:val="nil"/>
                  </w:tcBorders>
                  <w:shd w:val="clear" w:color="auto" w:fill="auto"/>
                  <w:vAlign w:val="center"/>
                </w:tcPr>
                <w:p w14:paraId="5BD67B02">
                  <w:pPr>
                    <w:widowControl/>
                    <w:kinsoku w:val="0"/>
                    <w:autoSpaceDE w:val="0"/>
                    <w:autoSpaceDN w:val="0"/>
                    <w:adjustRightInd w:val="0"/>
                    <w:snapToGrid w:val="0"/>
                    <w:jc w:val="center"/>
                    <w:textAlignment w:val="baseline"/>
                    <w:rPr>
                      <w:rFonts w:ascii="Times New Roman" w:hAnsi="Times New Roman"/>
                      <w:color w:val="auto"/>
                      <w:szCs w:val="21"/>
                    </w:rPr>
                  </w:pPr>
                </w:p>
              </w:tc>
              <w:tc>
                <w:tcPr>
                  <w:tcW w:w="567" w:type="pct"/>
                  <w:vMerge w:val="continue"/>
                  <w:tcBorders>
                    <w:tl2br w:val="nil"/>
                    <w:tr2bl w:val="nil"/>
                  </w:tcBorders>
                  <w:shd w:val="clear" w:color="auto" w:fill="auto"/>
                  <w:vAlign w:val="center"/>
                </w:tcPr>
                <w:p w14:paraId="4E39E3F4">
                  <w:pPr>
                    <w:widowControl/>
                    <w:kinsoku w:val="0"/>
                    <w:autoSpaceDE w:val="0"/>
                    <w:autoSpaceDN w:val="0"/>
                    <w:adjustRightInd w:val="0"/>
                    <w:snapToGrid w:val="0"/>
                    <w:jc w:val="center"/>
                    <w:textAlignment w:val="baseline"/>
                    <w:rPr>
                      <w:rFonts w:ascii="Times New Roman" w:hAnsi="Times New Roman"/>
                      <w:color w:val="auto"/>
                      <w:szCs w:val="21"/>
                    </w:rPr>
                  </w:pPr>
                </w:p>
              </w:tc>
              <w:tc>
                <w:tcPr>
                  <w:tcW w:w="622" w:type="pct"/>
                  <w:tcBorders>
                    <w:tl2br w:val="nil"/>
                    <w:tr2bl w:val="nil"/>
                  </w:tcBorders>
                  <w:shd w:val="clear" w:color="auto" w:fill="auto"/>
                  <w:vAlign w:val="center"/>
                </w:tcPr>
                <w:p w14:paraId="1DEAD485">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夜间</w:t>
                  </w:r>
                </w:p>
              </w:tc>
              <w:tc>
                <w:tcPr>
                  <w:tcW w:w="1079" w:type="pct"/>
                  <w:tcBorders>
                    <w:tl2br w:val="nil"/>
                    <w:tr2bl w:val="nil"/>
                  </w:tcBorders>
                  <w:shd w:val="clear" w:color="auto" w:fill="auto"/>
                  <w:vAlign w:val="center"/>
                </w:tcPr>
                <w:p w14:paraId="54E7B3B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40</w:t>
                  </w:r>
                </w:p>
              </w:tc>
              <w:tc>
                <w:tcPr>
                  <w:tcW w:w="574" w:type="pct"/>
                  <w:tcBorders>
                    <w:tl2br w:val="nil"/>
                    <w:tr2bl w:val="nil"/>
                  </w:tcBorders>
                  <w:shd w:val="clear" w:color="auto" w:fill="auto"/>
                  <w:vAlign w:val="center"/>
                </w:tcPr>
                <w:p w14:paraId="57E6D65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596" w:type="pct"/>
                  <w:tcBorders>
                    <w:tl2br w:val="nil"/>
                    <w:tr2bl w:val="nil"/>
                  </w:tcBorders>
                  <w:shd w:val="clear" w:color="auto" w:fill="auto"/>
                  <w:vAlign w:val="center"/>
                </w:tcPr>
                <w:p w14:paraId="4DBA87EC">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达标</w:t>
                  </w:r>
                </w:p>
              </w:tc>
            </w:tr>
            <w:tr w14:paraId="6AD822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5000" w:type="pct"/>
                  <w:gridSpan w:val="7"/>
                  <w:tcBorders>
                    <w:tl2br w:val="nil"/>
                    <w:tr2bl w:val="nil"/>
                  </w:tcBorders>
                  <w:shd w:val="clear" w:color="auto" w:fill="auto"/>
                  <w:vAlign w:val="center"/>
                </w:tcPr>
                <w:p w14:paraId="1CE3D110">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评价标准：《声环境质量标准》</w:t>
                  </w:r>
                  <w:r>
                    <w:rPr>
                      <w:rFonts w:hint="eastAsia" w:ascii="Times New Roman" w:hAnsi="Times New Roman"/>
                      <w:color w:val="auto"/>
                      <w:szCs w:val="21"/>
                    </w:rPr>
                    <w:t>（</w:t>
                  </w:r>
                  <w:r>
                    <w:rPr>
                      <w:rFonts w:ascii="Times New Roman" w:hAnsi="Times New Roman"/>
                      <w:color w:val="auto"/>
                      <w:szCs w:val="21"/>
                    </w:rPr>
                    <w:t>GB3096-2008</w:t>
                  </w:r>
                  <w:r>
                    <w:rPr>
                      <w:rFonts w:hint="eastAsia" w:ascii="Times New Roman" w:hAnsi="Times New Roman"/>
                      <w:color w:val="auto"/>
                      <w:szCs w:val="21"/>
                    </w:rPr>
                    <w:t>）</w:t>
                  </w:r>
                  <w:r>
                    <w:rPr>
                      <w:rFonts w:ascii="Times New Roman" w:hAnsi="Times New Roman"/>
                      <w:color w:val="auto"/>
                      <w:szCs w:val="21"/>
                    </w:rPr>
                    <w:t>表1环境噪声限值1类</w:t>
                  </w:r>
                  <w:r>
                    <w:rPr>
                      <w:rFonts w:hint="eastAsia" w:ascii="Times New Roman" w:hAnsi="Times New Roman"/>
                      <w:color w:val="auto"/>
                      <w:szCs w:val="21"/>
                    </w:rPr>
                    <w:t>、4a</w:t>
                  </w:r>
                  <w:r>
                    <w:rPr>
                      <w:rFonts w:ascii="Times New Roman" w:hAnsi="Times New Roman"/>
                      <w:color w:val="auto"/>
                      <w:szCs w:val="21"/>
                    </w:rPr>
                    <w:t>标准限值；噪声监测期间风速小于5m/s，无雨无雪。</w:t>
                  </w:r>
                </w:p>
              </w:tc>
            </w:tr>
          </w:tbl>
          <w:p w14:paraId="00B1C5C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根据线路声环境质量监测结果，220kV输电线路</w:t>
            </w:r>
            <w:r>
              <w:rPr>
                <w:rFonts w:hint="eastAsia" w:ascii="Times New Roman" w:hAnsi="Times New Roman"/>
                <w:color w:val="auto"/>
                <w:sz w:val="24"/>
                <w:szCs w:val="24"/>
              </w:rPr>
              <w:t>敏感点中国道停车区用房</w:t>
            </w:r>
            <w:r>
              <w:rPr>
                <w:rFonts w:ascii="Times New Roman" w:hAnsi="Times New Roman"/>
                <w:color w:val="auto"/>
                <w:sz w:val="24"/>
                <w:szCs w:val="24"/>
              </w:rPr>
              <w:t>声环境昼间噪声监测值为</w:t>
            </w:r>
            <w:r>
              <w:rPr>
                <w:rFonts w:hint="eastAsia" w:ascii="Times New Roman" w:hAnsi="Times New Roman"/>
                <w:color w:val="auto"/>
                <w:sz w:val="24"/>
                <w:szCs w:val="24"/>
              </w:rPr>
              <w:t>57</w:t>
            </w:r>
            <w:r>
              <w:rPr>
                <w:rFonts w:ascii="Times New Roman" w:hAnsi="Times New Roman"/>
                <w:color w:val="auto"/>
                <w:sz w:val="24"/>
                <w:szCs w:val="24"/>
              </w:rPr>
              <w:t>dB（A），夜间噪声监测值为</w:t>
            </w:r>
            <w:r>
              <w:rPr>
                <w:rFonts w:hint="eastAsia" w:ascii="Times New Roman" w:hAnsi="Times New Roman"/>
                <w:color w:val="auto"/>
                <w:sz w:val="24"/>
                <w:szCs w:val="24"/>
              </w:rPr>
              <w:t>45</w:t>
            </w:r>
            <w:r>
              <w:rPr>
                <w:rFonts w:ascii="Times New Roman" w:hAnsi="Times New Roman"/>
                <w:color w:val="auto"/>
                <w:sz w:val="24"/>
                <w:szCs w:val="24"/>
              </w:rPr>
              <w:t>dB（A），满足《声环境质量标准》（GB3096-2008）</w:t>
            </w:r>
            <w:r>
              <w:rPr>
                <w:rFonts w:hint="eastAsia" w:ascii="Times New Roman" w:hAnsi="Times New Roman"/>
                <w:color w:val="auto"/>
                <w:sz w:val="24"/>
                <w:szCs w:val="24"/>
              </w:rPr>
              <w:t>4a</w:t>
            </w:r>
            <w:r>
              <w:rPr>
                <w:rFonts w:ascii="Times New Roman" w:hAnsi="Times New Roman"/>
                <w:color w:val="auto"/>
                <w:sz w:val="24"/>
                <w:szCs w:val="24"/>
              </w:rPr>
              <w:t>类区标准限值</w:t>
            </w:r>
            <w:r>
              <w:rPr>
                <w:rFonts w:hint="eastAsia" w:ascii="Times New Roman" w:hAnsi="Times New Roman"/>
                <w:color w:val="auto"/>
                <w:sz w:val="24"/>
                <w:szCs w:val="24"/>
              </w:rPr>
              <w:t>；其余敏感点</w:t>
            </w:r>
            <w:r>
              <w:rPr>
                <w:rFonts w:ascii="Times New Roman" w:hAnsi="Times New Roman"/>
                <w:color w:val="auto"/>
                <w:sz w:val="24"/>
                <w:szCs w:val="24"/>
              </w:rPr>
              <w:t>声环境昼间噪声监测值范围为</w:t>
            </w:r>
            <w:r>
              <w:rPr>
                <w:rFonts w:hint="eastAsia" w:ascii="Times New Roman" w:hAnsi="Times New Roman"/>
                <w:color w:val="auto"/>
                <w:sz w:val="24"/>
                <w:szCs w:val="24"/>
              </w:rPr>
              <w:t>41</w:t>
            </w:r>
            <w:r>
              <w:rPr>
                <w:rFonts w:ascii="Times New Roman" w:hAnsi="Times New Roman"/>
                <w:color w:val="auto"/>
                <w:sz w:val="24"/>
                <w:szCs w:val="24"/>
              </w:rPr>
              <w:t>～</w:t>
            </w:r>
            <w:r>
              <w:rPr>
                <w:rFonts w:hint="eastAsia" w:ascii="Times New Roman" w:hAnsi="Times New Roman"/>
                <w:color w:val="auto"/>
                <w:sz w:val="24"/>
                <w:szCs w:val="24"/>
              </w:rPr>
              <w:t>49</w:t>
            </w:r>
            <w:r>
              <w:rPr>
                <w:rFonts w:ascii="Times New Roman" w:hAnsi="Times New Roman"/>
                <w:color w:val="auto"/>
                <w:sz w:val="24"/>
                <w:szCs w:val="24"/>
              </w:rPr>
              <w:t>dB（A），夜间噪声监测值为</w:t>
            </w:r>
            <w:r>
              <w:rPr>
                <w:rFonts w:hint="eastAsia" w:ascii="Times New Roman" w:hAnsi="Times New Roman"/>
                <w:color w:val="auto"/>
                <w:sz w:val="24"/>
                <w:szCs w:val="24"/>
              </w:rPr>
              <w:t>37~42</w:t>
            </w:r>
            <w:r>
              <w:rPr>
                <w:rFonts w:ascii="Times New Roman" w:hAnsi="Times New Roman"/>
                <w:color w:val="auto"/>
                <w:sz w:val="24"/>
                <w:szCs w:val="24"/>
              </w:rPr>
              <w:t>dB（A），均满足《声环境质量标准》（GB3096-2008）1类区标准限值。</w:t>
            </w:r>
          </w:p>
          <w:p w14:paraId="3EFE0FD5">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3.6.7引用数据监测结果</w:t>
            </w:r>
          </w:p>
          <w:p w14:paraId="33B2275C">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拟建500kV乐业变电站噪声环境现状监测数据见下表。</w:t>
            </w:r>
          </w:p>
          <w:p w14:paraId="549CD694">
            <w:pPr>
              <w:adjustRightInd w:val="0"/>
              <w:snapToGrid w:val="0"/>
              <w:jc w:val="center"/>
              <w:rPr>
                <w:rFonts w:ascii="Times New Roman" w:hAnsi="Times New Roman"/>
                <w:b/>
                <w:color w:val="auto"/>
                <w:kern w:val="24"/>
                <w:sz w:val="24"/>
                <w:szCs w:val="24"/>
              </w:rPr>
            </w:pPr>
            <w:r>
              <w:rPr>
                <w:rFonts w:ascii="Times New Roman" w:hAnsi="Times New Roman"/>
                <w:b/>
                <w:color w:val="auto"/>
                <w:kern w:val="24"/>
                <w:sz w:val="24"/>
                <w:szCs w:val="24"/>
              </w:rPr>
              <w:t>表3-</w:t>
            </w:r>
            <w:r>
              <w:rPr>
                <w:rFonts w:hint="eastAsia" w:ascii="Times New Roman" w:hAnsi="Times New Roman"/>
                <w:b/>
                <w:color w:val="auto"/>
                <w:kern w:val="24"/>
                <w:sz w:val="24"/>
                <w:szCs w:val="24"/>
              </w:rPr>
              <w:t>27</w:t>
            </w:r>
            <w:r>
              <w:rPr>
                <w:rFonts w:ascii="Times New Roman" w:hAnsi="Times New Roman"/>
                <w:b/>
                <w:color w:val="auto"/>
                <w:kern w:val="24"/>
                <w:sz w:val="24"/>
                <w:szCs w:val="24"/>
              </w:rPr>
              <w:t xml:space="preserve">  </w:t>
            </w:r>
            <w:r>
              <w:rPr>
                <w:rFonts w:hint="eastAsia" w:ascii="Times New Roman" w:hAnsi="Times New Roman"/>
                <w:b/>
                <w:color w:val="auto"/>
                <w:kern w:val="24"/>
                <w:sz w:val="24"/>
                <w:szCs w:val="24"/>
              </w:rPr>
              <w:t>500kV乐业变电站</w:t>
            </w:r>
            <w:r>
              <w:rPr>
                <w:rFonts w:ascii="Times New Roman" w:hAnsi="Times New Roman"/>
                <w:b/>
                <w:color w:val="auto"/>
                <w:kern w:val="24"/>
                <w:sz w:val="24"/>
                <w:szCs w:val="24"/>
              </w:rPr>
              <w:t>噪声监测结果  单位：dB（A）</w:t>
            </w:r>
          </w:p>
          <w:tbl>
            <w:tblPr>
              <w:tblStyle w:val="2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789"/>
              <w:gridCol w:w="1310"/>
              <w:gridCol w:w="1141"/>
              <w:gridCol w:w="1072"/>
              <w:gridCol w:w="971"/>
              <w:gridCol w:w="1429"/>
            </w:tblGrid>
            <w:tr w14:paraId="4187ED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23" w:type="pct"/>
                  <w:vMerge w:val="restart"/>
                  <w:tcBorders>
                    <w:tl2br w:val="nil"/>
                    <w:tr2bl w:val="nil"/>
                  </w:tcBorders>
                  <w:vAlign w:val="center"/>
                </w:tcPr>
                <w:p w14:paraId="1FE0C3A9">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编号</w:t>
                  </w:r>
                </w:p>
              </w:tc>
              <w:tc>
                <w:tcPr>
                  <w:tcW w:w="1061" w:type="pct"/>
                  <w:vMerge w:val="restart"/>
                  <w:tcBorders>
                    <w:tl2br w:val="nil"/>
                    <w:tr2bl w:val="nil"/>
                  </w:tcBorders>
                  <w:vAlign w:val="center"/>
                </w:tcPr>
                <w:p w14:paraId="0CBEE059">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监测点位</w:t>
                  </w:r>
                </w:p>
              </w:tc>
              <w:tc>
                <w:tcPr>
                  <w:tcW w:w="1454" w:type="pct"/>
                  <w:gridSpan w:val="2"/>
                  <w:tcBorders>
                    <w:tl2br w:val="nil"/>
                    <w:tr2bl w:val="nil"/>
                  </w:tcBorders>
                  <w:vAlign w:val="center"/>
                </w:tcPr>
                <w:p w14:paraId="11B1616B">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监测数据</w:t>
                  </w:r>
                </w:p>
              </w:tc>
              <w:tc>
                <w:tcPr>
                  <w:tcW w:w="1212" w:type="pct"/>
                  <w:gridSpan w:val="2"/>
                  <w:vMerge w:val="restart"/>
                  <w:tcBorders>
                    <w:tl2br w:val="nil"/>
                    <w:tr2bl w:val="nil"/>
                  </w:tcBorders>
                  <w:vAlign w:val="center"/>
                </w:tcPr>
                <w:p w14:paraId="5CF30A5B">
                  <w:pPr>
                    <w:pStyle w:val="74"/>
                    <w:adjustRightInd w:val="0"/>
                    <w:snapToGrid w:val="0"/>
                    <w:jc w:val="center"/>
                    <w:rPr>
                      <w:rFonts w:ascii="Times New Roman" w:hAnsi="Times New Roman" w:cs="Times New Roman"/>
                      <w:b/>
                      <w:bCs/>
                      <w:color w:val="auto"/>
                      <w:spacing w:val="-2"/>
                      <w:sz w:val="21"/>
                      <w:szCs w:val="21"/>
                      <w:lang w:eastAsia="zh-CN"/>
                    </w:rPr>
                  </w:pPr>
                  <w:r>
                    <w:rPr>
                      <w:rFonts w:hint="eastAsia" w:ascii="Times New Roman" w:hAnsi="Times New Roman" w:cs="Times New Roman"/>
                      <w:b/>
                      <w:bCs/>
                      <w:color w:val="auto"/>
                      <w:spacing w:val="-2"/>
                      <w:sz w:val="21"/>
                      <w:szCs w:val="21"/>
                      <w:lang w:eastAsia="zh-CN"/>
                    </w:rPr>
                    <w:t>标准值</w:t>
                  </w:r>
                </w:p>
              </w:tc>
              <w:tc>
                <w:tcPr>
                  <w:tcW w:w="848" w:type="pct"/>
                  <w:vMerge w:val="restart"/>
                  <w:tcBorders>
                    <w:tl2br w:val="nil"/>
                    <w:tr2bl w:val="nil"/>
                  </w:tcBorders>
                  <w:vAlign w:val="center"/>
                </w:tcPr>
                <w:p w14:paraId="72E11FA5">
                  <w:pPr>
                    <w:pStyle w:val="74"/>
                    <w:adjustRightInd w:val="0"/>
                    <w:snapToGrid w:val="0"/>
                    <w:jc w:val="center"/>
                    <w:rPr>
                      <w:rFonts w:ascii="Times New Roman" w:hAnsi="Times New Roman" w:cs="Times New Roman"/>
                      <w:color w:val="auto"/>
                      <w:spacing w:val="-2"/>
                      <w:sz w:val="21"/>
                      <w:szCs w:val="21"/>
                      <w:lang w:eastAsia="zh-CN"/>
                    </w:rPr>
                  </w:pPr>
                  <w:r>
                    <w:rPr>
                      <w:rFonts w:ascii="Times New Roman" w:hAnsi="Times New Roman" w:cs="Times New Roman"/>
                      <w:b/>
                      <w:bCs/>
                      <w:color w:val="auto"/>
                      <w:spacing w:val="-2"/>
                      <w:sz w:val="21"/>
                      <w:szCs w:val="21"/>
                      <w:lang w:eastAsia="zh-CN"/>
                    </w:rPr>
                    <w:t>达标情况</w:t>
                  </w:r>
                </w:p>
              </w:tc>
            </w:tr>
            <w:tr w14:paraId="768D71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423" w:type="pct"/>
                  <w:vMerge w:val="continue"/>
                  <w:tcBorders>
                    <w:tl2br w:val="nil"/>
                    <w:tr2bl w:val="nil"/>
                  </w:tcBorders>
                  <w:textDirection w:val="tbRlV"/>
                  <w:vAlign w:val="center"/>
                </w:tcPr>
                <w:p w14:paraId="16BFC05F">
                  <w:pPr>
                    <w:pStyle w:val="74"/>
                    <w:adjustRightInd w:val="0"/>
                    <w:snapToGrid w:val="0"/>
                    <w:jc w:val="center"/>
                    <w:rPr>
                      <w:rFonts w:ascii="Times New Roman" w:hAnsi="Times New Roman" w:cs="Times New Roman"/>
                      <w:b/>
                      <w:bCs/>
                      <w:color w:val="auto"/>
                      <w:spacing w:val="-2"/>
                      <w:sz w:val="21"/>
                      <w:szCs w:val="21"/>
                      <w:lang w:eastAsia="zh-CN"/>
                    </w:rPr>
                  </w:pPr>
                </w:p>
              </w:tc>
              <w:tc>
                <w:tcPr>
                  <w:tcW w:w="1061" w:type="pct"/>
                  <w:vMerge w:val="continue"/>
                  <w:tcBorders>
                    <w:tl2br w:val="nil"/>
                    <w:tr2bl w:val="nil"/>
                  </w:tcBorders>
                  <w:vAlign w:val="center"/>
                </w:tcPr>
                <w:p w14:paraId="5543A81E">
                  <w:pPr>
                    <w:pStyle w:val="74"/>
                    <w:adjustRightInd w:val="0"/>
                    <w:snapToGrid w:val="0"/>
                    <w:jc w:val="center"/>
                    <w:rPr>
                      <w:rFonts w:ascii="Times New Roman" w:hAnsi="Times New Roman" w:cs="Times New Roman"/>
                      <w:b/>
                      <w:bCs/>
                      <w:color w:val="auto"/>
                      <w:spacing w:val="-2"/>
                      <w:sz w:val="21"/>
                      <w:szCs w:val="21"/>
                      <w:lang w:eastAsia="zh-CN"/>
                    </w:rPr>
                  </w:pPr>
                </w:p>
              </w:tc>
              <w:tc>
                <w:tcPr>
                  <w:tcW w:w="1454" w:type="pct"/>
                  <w:gridSpan w:val="2"/>
                  <w:tcBorders>
                    <w:tl2br w:val="nil"/>
                    <w:tr2bl w:val="nil"/>
                  </w:tcBorders>
                  <w:vAlign w:val="center"/>
                </w:tcPr>
                <w:p w14:paraId="1F957C2A">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202</w:t>
                  </w:r>
                  <w:r>
                    <w:rPr>
                      <w:rFonts w:hint="eastAsia" w:ascii="Times New Roman" w:hAnsi="Times New Roman" w:cs="Times New Roman"/>
                      <w:b/>
                      <w:bCs/>
                      <w:color w:val="auto"/>
                      <w:spacing w:val="-2"/>
                      <w:sz w:val="21"/>
                      <w:szCs w:val="21"/>
                      <w:lang w:eastAsia="zh-CN"/>
                    </w:rPr>
                    <w:t>4</w:t>
                  </w:r>
                  <w:r>
                    <w:rPr>
                      <w:rFonts w:ascii="Times New Roman" w:hAnsi="Times New Roman" w:cs="Times New Roman"/>
                      <w:b/>
                      <w:bCs/>
                      <w:color w:val="auto"/>
                      <w:spacing w:val="-2"/>
                      <w:sz w:val="21"/>
                      <w:szCs w:val="21"/>
                      <w:lang w:eastAsia="zh-CN"/>
                    </w:rPr>
                    <w:t>.</w:t>
                  </w:r>
                  <w:r>
                    <w:rPr>
                      <w:rFonts w:hint="eastAsia" w:ascii="Times New Roman" w:hAnsi="Times New Roman" w:cs="Times New Roman"/>
                      <w:b/>
                      <w:bCs/>
                      <w:color w:val="auto"/>
                      <w:spacing w:val="-2"/>
                      <w:sz w:val="21"/>
                      <w:szCs w:val="21"/>
                      <w:lang w:eastAsia="zh-CN"/>
                    </w:rPr>
                    <w:t>4</w:t>
                  </w:r>
                  <w:r>
                    <w:rPr>
                      <w:rFonts w:ascii="Times New Roman" w:hAnsi="Times New Roman" w:cs="Times New Roman"/>
                      <w:b/>
                      <w:bCs/>
                      <w:color w:val="auto"/>
                      <w:spacing w:val="-2"/>
                      <w:sz w:val="21"/>
                      <w:szCs w:val="21"/>
                      <w:lang w:eastAsia="zh-CN"/>
                    </w:rPr>
                    <w:t>.2</w:t>
                  </w:r>
                  <w:r>
                    <w:rPr>
                      <w:rFonts w:hint="eastAsia" w:ascii="Times New Roman" w:hAnsi="Times New Roman" w:cs="Times New Roman"/>
                      <w:b/>
                      <w:bCs/>
                      <w:color w:val="auto"/>
                      <w:spacing w:val="-2"/>
                      <w:sz w:val="21"/>
                      <w:szCs w:val="21"/>
                      <w:lang w:eastAsia="zh-CN"/>
                    </w:rPr>
                    <w:t>5</w:t>
                  </w:r>
                  <w:r>
                    <w:rPr>
                      <w:rFonts w:ascii="Times New Roman" w:hAnsi="Times New Roman" w:cs="Times New Roman"/>
                      <w:b/>
                      <w:bCs/>
                      <w:color w:val="auto"/>
                      <w:spacing w:val="-2"/>
                      <w:sz w:val="21"/>
                      <w:szCs w:val="21"/>
                      <w:lang w:eastAsia="zh-CN"/>
                    </w:rPr>
                    <w:t>~</w:t>
                  </w:r>
                  <w:r>
                    <w:rPr>
                      <w:rFonts w:hint="eastAsia" w:ascii="Times New Roman" w:hAnsi="Times New Roman" w:cs="Times New Roman"/>
                      <w:b/>
                      <w:bCs/>
                      <w:color w:val="auto"/>
                      <w:spacing w:val="-2"/>
                      <w:sz w:val="21"/>
                      <w:szCs w:val="21"/>
                      <w:lang w:eastAsia="zh-CN"/>
                    </w:rPr>
                    <w:t>4.26</w:t>
                  </w:r>
                </w:p>
              </w:tc>
              <w:tc>
                <w:tcPr>
                  <w:tcW w:w="1212" w:type="pct"/>
                  <w:gridSpan w:val="2"/>
                  <w:vMerge w:val="continue"/>
                  <w:tcBorders>
                    <w:tl2br w:val="nil"/>
                    <w:tr2bl w:val="nil"/>
                  </w:tcBorders>
                  <w:vAlign w:val="center"/>
                </w:tcPr>
                <w:p w14:paraId="44C91500">
                  <w:pPr>
                    <w:pStyle w:val="74"/>
                    <w:adjustRightInd w:val="0"/>
                    <w:snapToGrid w:val="0"/>
                    <w:jc w:val="center"/>
                    <w:rPr>
                      <w:rFonts w:ascii="Times New Roman" w:hAnsi="Times New Roman" w:cs="Times New Roman"/>
                      <w:b/>
                      <w:bCs/>
                      <w:color w:val="auto"/>
                      <w:spacing w:val="-2"/>
                      <w:sz w:val="21"/>
                      <w:szCs w:val="21"/>
                      <w:lang w:eastAsia="zh-CN"/>
                    </w:rPr>
                  </w:pPr>
                </w:p>
              </w:tc>
              <w:tc>
                <w:tcPr>
                  <w:tcW w:w="848" w:type="pct"/>
                  <w:vMerge w:val="continue"/>
                  <w:tcBorders>
                    <w:tl2br w:val="nil"/>
                    <w:tr2bl w:val="nil"/>
                  </w:tcBorders>
                  <w:vAlign w:val="center"/>
                </w:tcPr>
                <w:p w14:paraId="71376E40">
                  <w:pPr>
                    <w:pStyle w:val="74"/>
                    <w:adjustRightInd w:val="0"/>
                    <w:snapToGrid w:val="0"/>
                    <w:jc w:val="center"/>
                    <w:rPr>
                      <w:rFonts w:ascii="Times New Roman" w:hAnsi="Times New Roman" w:cs="Times New Roman"/>
                      <w:color w:val="auto"/>
                      <w:spacing w:val="-2"/>
                      <w:sz w:val="21"/>
                      <w:szCs w:val="21"/>
                      <w:lang w:eastAsia="zh-CN"/>
                    </w:rPr>
                  </w:pPr>
                </w:p>
              </w:tc>
            </w:tr>
            <w:tr w14:paraId="3797E1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4" w:hRule="atLeast"/>
              </w:trPr>
              <w:tc>
                <w:tcPr>
                  <w:tcW w:w="423" w:type="pct"/>
                  <w:vMerge w:val="continue"/>
                  <w:tcBorders>
                    <w:tl2br w:val="nil"/>
                    <w:tr2bl w:val="nil"/>
                  </w:tcBorders>
                  <w:textDirection w:val="tbRlV"/>
                  <w:vAlign w:val="center"/>
                </w:tcPr>
                <w:p w14:paraId="2B483D34">
                  <w:pPr>
                    <w:pStyle w:val="74"/>
                    <w:adjustRightInd w:val="0"/>
                    <w:snapToGrid w:val="0"/>
                    <w:jc w:val="center"/>
                    <w:rPr>
                      <w:rFonts w:ascii="Times New Roman" w:hAnsi="Times New Roman" w:cs="Times New Roman"/>
                      <w:b/>
                      <w:bCs/>
                      <w:color w:val="auto"/>
                      <w:spacing w:val="-2"/>
                      <w:sz w:val="21"/>
                      <w:szCs w:val="21"/>
                      <w:lang w:eastAsia="zh-CN"/>
                    </w:rPr>
                  </w:pPr>
                </w:p>
              </w:tc>
              <w:tc>
                <w:tcPr>
                  <w:tcW w:w="1061" w:type="pct"/>
                  <w:vMerge w:val="continue"/>
                  <w:tcBorders>
                    <w:tl2br w:val="nil"/>
                    <w:tr2bl w:val="nil"/>
                  </w:tcBorders>
                  <w:vAlign w:val="center"/>
                </w:tcPr>
                <w:p w14:paraId="0D60B78E">
                  <w:pPr>
                    <w:pStyle w:val="74"/>
                    <w:adjustRightInd w:val="0"/>
                    <w:snapToGrid w:val="0"/>
                    <w:jc w:val="center"/>
                    <w:rPr>
                      <w:rFonts w:ascii="Times New Roman" w:hAnsi="Times New Roman" w:cs="Times New Roman"/>
                      <w:b/>
                      <w:bCs/>
                      <w:color w:val="auto"/>
                      <w:spacing w:val="-2"/>
                      <w:sz w:val="21"/>
                      <w:szCs w:val="21"/>
                      <w:lang w:eastAsia="zh-CN"/>
                    </w:rPr>
                  </w:pPr>
                </w:p>
              </w:tc>
              <w:tc>
                <w:tcPr>
                  <w:tcW w:w="777" w:type="pct"/>
                  <w:tcBorders>
                    <w:tl2br w:val="nil"/>
                    <w:tr2bl w:val="nil"/>
                  </w:tcBorders>
                  <w:vAlign w:val="center"/>
                </w:tcPr>
                <w:p w14:paraId="526E76E3">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昼间</w:t>
                  </w:r>
                </w:p>
              </w:tc>
              <w:tc>
                <w:tcPr>
                  <w:tcW w:w="677" w:type="pct"/>
                  <w:tcBorders>
                    <w:tl2br w:val="nil"/>
                    <w:tr2bl w:val="nil"/>
                  </w:tcBorders>
                  <w:vAlign w:val="center"/>
                </w:tcPr>
                <w:p w14:paraId="72D3B40F">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夜间</w:t>
                  </w:r>
                </w:p>
              </w:tc>
              <w:tc>
                <w:tcPr>
                  <w:tcW w:w="636" w:type="pct"/>
                  <w:tcBorders>
                    <w:tl2br w:val="nil"/>
                    <w:tr2bl w:val="nil"/>
                  </w:tcBorders>
                  <w:vAlign w:val="center"/>
                </w:tcPr>
                <w:p w14:paraId="3EAF9C3C">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昼间</w:t>
                  </w:r>
                </w:p>
              </w:tc>
              <w:tc>
                <w:tcPr>
                  <w:tcW w:w="575" w:type="pct"/>
                  <w:tcBorders>
                    <w:tl2br w:val="nil"/>
                    <w:tr2bl w:val="nil"/>
                  </w:tcBorders>
                  <w:vAlign w:val="center"/>
                </w:tcPr>
                <w:p w14:paraId="72097C24">
                  <w:pPr>
                    <w:pStyle w:val="74"/>
                    <w:adjustRightInd w:val="0"/>
                    <w:snapToGrid w:val="0"/>
                    <w:jc w:val="center"/>
                    <w:rPr>
                      <w:rFonts w:ascii="Times New Roman" w:hAnsi="Times New Roman" w:cs="Times New Roman"/>
                      <w:b/>
                      <w:bCs/>
                      <w:color w:val="auto"/>
                      <w:spacing w:val="-2"/>
                      <w:sz w:val="21"/>
                      <w:szCs w:val="21"/>
                      <w:lang w:eastAsia="zh-CN"/>
                    </w:rPr>
                  </w:pPr>
                  <w:r>
                    <w:rPr>
                      <w:rFonts w:ascii="Times New Roman" w:hAnsi="Times New Roman" w:cs="Times New Roman"/>
                      <w:b/>
                      <w:bCs/>
                      <w:color w:val="auto"/>
                      <w:spacing w:val="-2"/>
                      <w:sz w:val="21"/>
                      <w:szCs w:val="21"/>
                      <w:lang w:eastAsia="zh-CN"/>
                    </w:rPr>
                    <w:t>夜间</w:t>
                  </w:r>
                </w:p>
              </w:tc>
              <w:tc>
                <w:tcPr>
                  <w:tcW w:w="848" w:type="pct"/>
                  <w:vMerge w:val="continue"/>
                  <w:tcBorders>
                    <w:tl2br w:val="nil"/>
                    <w:tr2bl w:val="nil"/>
                  </w:tcBorders>
                  <w:vAlign w:val="center"/>
                </w:tcPr>
                <w:p w14:paraId="70EC62D1">
                  <w:pPr>
                    <w:pStyle w:val="74"/>
                    <w:adjustRightInd w:val="0"/>
                    <w:snapToGrid w:val="0"/>
                    <w:jc w:val="center"/>
                    <w:rPr>
                      <w:rFonts w:ascii="Times New Roman" w:hAnsi="Times New Roman" w:cs="Times New Roman"/>
                      <w:color w:val="auto"/>
                      <w:spacing w:val="-2"/>
                      <w:sz w:val="21"/>
                      <w:szCs w:val="21"/>
                      <w:lang w:eastAsia="zh-CN"/>
                    </w:rPr>
                  </w:pPr>
                </w:p>
              </w:tc>
            </w:tr>
            <w:tr w14:paraId="0400B5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23" w:type="pct"/>
                  <w:tcBorders>
                    <w:tl2br w:val="nil"/>
                    <w:tr2bl w:val="nil"/>
                  </w:tcBorders>
                  <w:vAlign w:val="center"/>
                </w:tcPr>
                <w:p w14:paraId="58C39152">
                  <w:pPr>
                    <w:pStyle w:val="74"/>
                    <w:adjustRightInd w:val="0"/>
                    <w:snapToGrid w:val="0"/>
                    <w:jc w:val="center"/>
                    <w:rPr>
                      <w:rFonts w:ascii="Times New Roman" w:hAnsi="Times New Roman" w:cs="Times New Roman"/>
                      <w:color w:val="auto"/>
                      <w:spacing w:val="-2"/>
                      <w:sz w:val="21"/>
                      <w:szCs w:val="21"/>
                      <w:lang w:eastAsia="zh-CN"/>
                    </w:rPr>
                  </w:pPr>
                  <w:r>
                    <w:rPr>
                      <w:rFonts w:ascii="Times New Roman" w:hAnsi="Times New Roman" w:cs="Times New Roman"/>
                      <w:color w:val="auto"/>
                      <w:spacing w:val="-2"/>
                      <w:sz w:val="21"/>
                      <w:szCs w:val="21"/>
                      <w:lang w:eastAsia="zh-CN"/>
                    </w:rPr>
                    <w:t>N</w:t>
                  </w:r>
                  <w:r>
                    <w:rPr>
                      <w:rFonts w:hint="eastAsia" w:ascii="Times New Roman" w:hAnsi="Times New Roman" w:cs="Times New Roman"/>
                      <w:color w:val="auto"/>
                      <w:spacing w:val="-2"/>
                      <w:sz w:val="21"/>
                      <w:szCs w:val="21"/>
                      <w:lang w:eastAsia="zh-CN"/>
                    </w:rPr>
                    <w:t>1</w:t>
                  </w:r>
                </w:p>
              </w:tc>
              <w:tc>
                <w:tcPr>
                  <w:tcW w:w="1061" w:type="pct"/>
                  <w:tcBorders>
                    <w:tl2br w:val="nil"/>
                    <w:tr2bl w:val="nil"/>
                  </w:tcBorders>
                  <w:vAlign w:val="center"/>
                </w:tcPr>
                <w:p w14:paraId="61AAEE86">
                  <w:pPr>
                    <w:pStyle w:val="74"/>
                    <w:adjustRightInd w:val="0"/>
                    <w:snapToGrid w:val="0"/>
                    <w:jc w:val="center"/>
                    <w:rPr>
                      <w:rFonts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eastAsia="zh-CN"/>
                    </w:rPr>
                    <w:t>拟建站址中心</w:t>
                  </w:r>
                </w:p>
              </w:tc>
              <w:tc>
                <w:tcPr>
                  <w:tcW w:w="777" w:type="pct"/>
                  <w:tcBorders>
                    <w:tl2br w:val="nil"/>
                    <w:tr2bl w:val="nil"/>
                  </w:tcBorders>
                  <w:vAlign w:val="center"/>
                </w:tcPr>
                <w:p w14:paraId="758D6E8E">
                  <w:pPr>
                    <w:pStyle w:val="74"/>
                    <w:adjustRightInd w:val="0"/>
                    <w:snapToGrid w:val="0"/>
                    <w:jc w:val="center"/>
                    <w:rPr>
                      <w:rFonts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eastAsia="zh-CN"/>
                    </w:rPr>
                    <w:t>40</w:t>
                  </w:r>
                </w:p>
              </w:tc>
              <w:tc>
                <w:tcPr>
                  <w:tcW w:w="677" w:type="pct"/>
                  <w:tcBorders>
                    <w:tl2br w:val="nil"/>
                    <w:tr2bl w:val="nil"/>
                  </w:tcBorders>
                  <w:vAlign w:val="center"/>
                </w:tcPr>
                <w:p w14:paraId="4DD742A8">
                  <w:pPr>
                    <w:pStyle w:val="74"/>
                    <w:adjustRightInd w:val="0"/>
                    <w:snapToGrid w:val="0"/>
                    <w:jc w:val="center"/>
                    <w:rPr>
                      <w:rFonts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eastAsia="zh-CN"/>
                    </w:rPr>
                    <w:t>38</w:t>
                  </w:r>
                </w:p>
              </w:tc>
              <w:tc>
                <w:tcPr>
                  <w:tcW w:w="636" w:type="pct"/>
                  <w:tcBorders>
                    <w:tl2br w:val="nil"/>
                    <w:tr2bl w:val="nil"/>
                  </w:tcBorders>
                  <w:vAlign w:val="center"/>
                </w:tcPr>
                <w:p w14:paraId="562517A6">
                  <w:pPr>
                    <w:pStyle w:val="74"/>
                    <w:adjustRightInd w:val="0"/>
                    <w:snapToGrid w:val="0"/>
                    <w:jc w:val="center"/>
                    <w:rPr>
                      <w:rFonts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eastAsia="zh-CN"/>
                    </w:rPr>
                    <w:t>55</w:t>
                  </w:r>
                </w:p>
              </w:tc>
              <w:tc>
                <w:tcPr>
                  <w:tcW w:w="575" w:type="pct"/>
                  <w:tcBorders>
                    <w:tl2br w:val="nil"/>
                    <w:tr2bl w:val="nil"/>
                  </w:tcBorders>
                  <w:vAlign w:val="center"/>
                </w:tcPr>
                <w:p w14:paraId="6809155E">
                  <w:pPr>
                    <w:pStyle w:val="74"/>
                    <w:adjustRightInd w:val="0"/>
                    <w:snapToGrid w:val="0"/>
                    <w:jc w:val="center"/>
                    <w:rPr>
                      <w:rFonts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eastAsia="zh-CN"/>
                    </w:rPr>
                    <w:t>45</w:t>
                  </w:r>
                </w:p>
              </w:tc>
              <w:tc>
                <w:tcPr>
                  <w:tcW w:w="848" w:type="pct"/>
                  <w:tcBorders>
                    <w:tl2br w:val="nil"/>
                    <w:tr2bl w:val="nil"/>
                  </w:tcBorders>
                  <w:vAlign w:val="center"/>
                </w:tcPr>
                <w:p w14:paraId="3F859DBA">
                  <w:pPr>
                    <w:pStyle w:val="74"/>
                    <w:adjustRightInd w:val="0"/>
                    <w:snapToGrid w:val="0"/>
                    <w:jc w:val="center"/>
                    <w:rPr>
                      <w:rFonts w:ascii="Times New Roman" w:hAnsi="Times New Roman" w:cs="Times New Roman"/>
                      <w:color w:val="auto"/>
                      <w:spacing w:val="-2"/>
                      <w:sz w:val="21"/>
                      <w:szCs w:val="21"/>
                      <w:lang w:eastAsia="zh-CN"/>
                    </w:rPr>
                  </w:pPr>
                  <w:r>
                    <w:rPr>
                      <w:rFonts w:ascii="Times New Roman" w:hAnsi="Times New Roman" w:cs="Times New Roman"/>
                      <w:color w:val="auto"/>
                      <w:spacing w:val="-2"/>
                      <w:sz w:val="21"/>
                      <w:szCs w:val="21"/>
                      <w:lang w:eastAsia="zh-CN"/>
                    </w:rPr>
                    <w:t>达标</w:t>
                  </w:r>
                </w:p>
              </w:tc>
            </w:tr>
          </w:tbl>
          <w:p w14:paraId="2A437DE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rPr>
              <w:t>根据监测结果，拟建</w:t>
            </w:r>
            <w:r>
              <w:rPr>
                <w:rFonts w:hint="eastAsia" w:ascii="Times New Roman" w:hAnsi="Times New Roman"/>
                <w:color w:val="auto"/>
                <w:kern w:val="0"/>
                <w:sz w:val="24"/>
                <w:szCs w:val="24"/>
              </w:rPr>
              <w:t>500kV乐业变电</w:t>
            </w:r>
            <w:r>
              <w:rPr>
                <w:rFonts w:ascii="Times New Roman" w:hAnsi="Times New Roman"/>
                <w:color w:val="auto"/>
                <w:kern w:val="0"/>
                <w:sz w:val="24"/>
                <w:szCs w:val="24"/>
              </w:rPr>
              <w:t>站址区域昼间噪声监测值为40dB（A），夜间噪声监测值为38dB（A），满足《声环境质量标准》（GB3096-2008）中</w:t>
            </w:r>
            <w:r>
              <w:rPr>
                <w:rFonts w:hint="eastAsia" w:ascii="Times New Roman" w:hAnsi="Times New Roman"/>
                <w:color w:val="auto"/>
                <w:kern w:val="0"/>
                <w:sz w:val="24"/>
                <w:szCs w:val="24"/>
              </w:rPr>
              <w:t>1</w:t>
            </w:r>
            <w:r>
              <w:rPr>
                <w:rFonts w:ascii="Times New Roman" w:hAnsi="Times New Roman"/>
                <w:color w:val="auto"/>
                <w:kern w:val="0"/>
                <w:sz w:val="24"/>
                <w:szCs w:val="24"/>
              </w:rPr>
              <w:t>类标准限值要求。</w:t>
            </w:r>
          </w:p>
        </w:tc>
      </w:tr>
      <w:tr w14:paraId="632F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shd w:val="clear" w:color="auto" w:fill="auto"/>
            <w:vAlign w:val="center"/>
          </w:tcPr>
          <w:p w14:paraId="76A47CFA">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与项目有关的原有环境污染和生态破坏问题</w:t>
            </w:r>
          </w:p>
        </w:tc>
        <w:tc>
          <w:tcPr>
            <w:tcW w:w="8645" w:type="dxa"/>
            <w:shd w:val="clear" w:color="auto" w:fill="auto"/>
          </w:tcPr>
          <w:p w14:paraId="1F5B6966">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（1）与本项目有关的原有环境问题</w:t>
            </w:r>
          </w:p>
          <w:p w14:paraId="10E73B29">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①</w:t>
            </w:r>
            <w:r>
              <w:rPr>
                <w:rFonts w:hint="eastAsia" w:ascii="Times New Roman" w:hAnsi="Times New Roman"/>
                <w:b/>
                <w:bCs/>
                <w:color w:val="auto"/>
                <w:sz w:val="24"/>
                <w:szCs w:val="24"/>
              </w:rPr>
              <w:t>500kV乐业变电站</w:t>
            </w:r>
          </w:p>
          <w:p w14:paraId="11D543D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根据调查，500kV乐业变电站</w:t>
            </w:r>
            <w:r>
              <w:rPr>
                <w:rFonts w:hint="eastAsia" w:ascii="Times New Roman" w:hAnsi="Times New Roman"/>
                <w:color w:val="auto"/>
                <w:sz w:val="24"/>
                <w:szCs w:val="24"/>
              </w:rPr>
              <w:t>位于曲靖市会泽县乐业镇罗布古社区，</w:t>
            </w:r>
            <w:r>
              <w:rPr>
                <w:rFonts w:ascii="Times New Roman" w:hAnsi="Times New Roman"/>
                <w:color w:val="auto"/>
                <w:sz w:val="24"/>
                <w:szCs w:val="24"/>
              </w:rPr>
              <w:t>由云南电网有限责任公司负责投资建设及运行管理，预计2026年</w:t>
            </w:r>
            <w:r>
              <w:rPr>
                <w:rFonts w:hint="eastAsia" w:ascii="Times New Roman" w:hAnsi="Times New Roman"/>
                <w:color w:val="auto"/>
                <w:sz w:val="24"/>
                <w:szCs w:val="24"/>
              </w:rPr>
              <w:t>底</w:t>
            </w:r>
            <w:r>
              <w:rPr>
                <w:rFonts w:ascii="Times New Roman" w:hAnsi="Times New Roman"/>
                <w:color w:val="auto"/>
                <w:sz w:val="24"/>
                <w:szCs w:val="24"/>
              </w:rPr>
              <w:t>投产</w:t>
            </w:r>
            <w:r>
              <w:rPr>
                <w:rFonts w:hint="eastAsia" w:ascii="Times New Roman" w:hAnsi="Times New Roman"/>
                <w:color w:val="auto"/>
                <w:sz w:val="24"/>
                <w:szCs w:val="24"/>
              </w:rPr>
              <w:t>。</w:t>
            </w:r>
            <w:r>
              <w:rPr>
                <w:rFonts w:ascii="Times New Roman" w:hAnsi="Times New Roman"/>
                <w:color w:val="auto"/>
                <w:sz w:val="24"/>
                <w:szCs w:val="24"/>
              </w:rPr>
              <w:t>于</w:t>
            </w:r>
            <w:r>
              <w:rPr>
                <w:rFonts w:hint="eastAsia" w:ascii="Times New Roman" w:hAnsi="Times New Roman"/>
                <w:color w:val="auto"/>
                <w:sz w:val="24"/>
                <w:szCs w:val="24"/>
              </w:rPr>
              <w:t>2024年9月18日取得云南省生态环境厅关于500千伏乐业输变电工程环境影响报告书的批复（云环审〔2024〕2-15号），目前，未完工，未开展竣工环保验收工作。</w:t>
            </w:r>
          </w:p>
          <w:p w14:paraId="3D98BF4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目前，500kV乐业变电站正在建设中，均按照环评及批复要求落实环保措施，未发生环境污染事故和环保纠纷及投诉等事件，不存在与项目有关的原有环境污染和生态破坏问题</w:t>
            </w:r>
            <w:r>
              <w:rPr>
                <w:rFonts w:hint="eastAsia" w:ascii="Times New Roman" w:hAnsi="Times New Roman"/>
                <w:color w:val="auto"/>
                <w:sz w:val="24"/>
                <w:szCs w:val="24"/>
              </w:rPr>
              <w:t>。</w:t>
            </w:r>
          </w:p>
          <w:p w14:paraId="27EE489B">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②220kV</w:t>
            </w:r>
            <w:r>
              <w:rPr>
                <w:rFonts w:hint="eastAsia" w:ascii="Times New Roman" w:hAnsi="Times New Roman"/>
                <w:b/>
                <w:bCs/>
                <w:color w:val="auto"/>
                <w:sz w:val="24"/>
                <w:szCs w:val="24"/>
              </w:rPr>
              <w:t>六合一</w:t>
            </w:r>
            <w:r>
              <w:rPr>
                <w:rFonts w:ascii="Times New Roman" w:hAnsi="Times New Roman"/>
                <w:b/>
                <w:bCs/>
                <w:color w:val="auto"/>
                <w:sz w:val="24"/>
                <w:szCs w:val="24"/>
              </w:rPr>
              <w:t>升压站</w:t>
            </w:r>
          </w:p>
          <w:p w14:paraId="7B641EE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根据调查，220kV</w:t>
            </w:r>
            <w:r>
              <w:rPr>
                <w:rFonts w:hint="eastAsia" w:ascii="Times New Roman" w:hAnsi="Times New Roman"/>
                <w:color w:val="auto"/>
                <w:sz w:val="24"/>
                <w:szCs w:val="24"/>
              </w:rPr>
              <w:t>六合一</w:t>
            </w:r>
            <w:r>
              <w:rPr>
                <w:rFonts w:ascii="Times New Roman" w:hAnsi="Times New Roman"/>
                <w:color w:val="auto"/>
                <w:sz w:val="24"/>
                <w:szCs w:val="24"/>
              </w:rPr>
              <w:t>光伏升压站位于乐业镇六合村西面山包上，由</w:t>
            </w:r>
            <w:r>
              <w:rPr>
                <w:rFonts w:hint="eastAsia" w:ascii="Times New Roman" w:hAnsi="Times New Roman"/>
                <w:color w:val="auto"/>
                <w:sz w:val="24"/>
                <w:szCs w:val="24"/>
              </w:rPr>
              <w:t>云南华电道成清洁能源有限公司</w:t>
            </w:r>
            <w:r>
              <w:rPr>
                <w:rFonts w:ascii="Times New Roman" w:hAnsi="Times New Roman"/>
                <w:color w:val="auto"/>
                <w:sz w:val="24"/>
                <w:szCs w:val="24"/>
              </w:rPr>
              <w:t>负责投资建设及运行管理，预计2026年</w:t>
            </w:r>
            <w:r>
              <w:rPr>
                <w:rFonts w:hint="eastAsia" w:ascii="Times New Roman" w:hAnsi="Times New Roman"/>
                <w:color w:val="auto"/>
                <w:sz w:val="24"/>
                <w:szCs w:val="24"/>
              </w:rPr>
              <w:t>12</w:t>
            </w:r>
            <w:r>
              <w:rPr>
                <w:rFonts w:ascii="Times New Roman" w:hAnsi="Times New Roman"/>
                <w:color w:val="auto"/>
                <w:sz w:val="24"/>
                <w:szCs w:val="24"/>
              </w:rPr>
              <w:t>投产</w:t>
            </w:r>
            <w:r>
              <w:rPr>
                <w:rFonts w:hint="eastAsia" w:ascii="Times New Roman" w:hAnsi="Times New Roman"/>
                <w:color w:val="auto"/>
                <w:sz w:val="24"/>
                <w:szCs w:val="24"/>
              </w:rPr>
              <w:t>运行。于2022年8月25日取得曲靖市生态环境局关于乐业镇六合村一期光伏项目（复合型光伏发电项目）环境影响报告表的批复（曲环审〔2022〕44号）。</w:t>
            </w:r>
            <w:r>
              <w:rPr>
                <w:rFonts w:ascii="Times New Roman" w:hAnsi="Times New Roman"/>
                <w:color w:val="auto"/>
                <w:sz w:val="24"/>
                <w:szCs w:val="24"/>
              </w:rPr>
              <w:t>目前，</w:t>
            </w:r>
            <w:r>
              <w:rPr>
                <w:rFonts w:hint="eastAsia" w:ascii="Times New Roman" w:hAnsi="Times New Roman"/>
                <w:color w:val="auto"/>
                <w:sz w:val="24"/>
                <w:szCs w:val="24"/>
              </w:rPr>
              <w:t>22</w:t>
            </w:r>
            <w:r>
              <w:rPr>
                <w:rFonts w:ascii="Times New Roman" w:hAnsi="Times New Roman"/>
                <w:color w:val="auto"/>
                <w:sz w:val="24"/>
                <w:szCs w:val="24"/>
              </w:rPr>
              <w:t>0kV</w:t>
            </w:r>
            <w:r>
              <w:rPr>
                <w:rFonts w:hint="eastAsia" w:ascii="Times New Roman" w:hAnsi="Times New Roman"/>
                <w:color w:val="auto"/>
                <w:sz w:val="24"/>
                <w:szCs w:val="24"/>
              </w:rPr>
              <w:t>六合一升压站</w:t>
            </w:r>
            <w:r>
              <w:rPr>
                <w:rFonts w:ascii="Times New Roman" w:hAnsi="Times New Roman"/>
                <w:color w:val="auto"/>
                <w:sz w:val="24"/>
                <w:szCs w:val="24"/>
              </w:rPr>
              <w:t>正在建设中，未完工，未开展竣工环保验收工作。</w:t>
            </w:r>
          </w:p>
          <w:p w14:paraId="4B0341E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目前，220kV</w:t>
            </w:r>
            <w:r>
              <w:rPr>
                <w:rFonts w:hint="eastAsia" w:ascii="Times New Roman" w:hAnsi="Times New Roman"/>
                <w:color w:val="auto"/>
                <w:sz w:val="24"/>
                <w:szCs w:val="24"/>
              </w:rPr>
              <w:t>六合一</w:t>
            </w:r>
            <w:r>
              <w:rPr>
                <w:rFonts w:ascii="Times New Roman" w:hAnsi="Times New Roman"/>
                <w:color w:val="auto"/>
                <w:sz w:val="24"/>
                <w:szCs w:val="24"/>
              </w:rPr>
              <w:t>光伏升压站正在建设中，均按照环评及批复要求落实环保措施，未发生环境污染事故和环保纠纷及投诉等事件，不存在与项目有关的原有环境污染和生态破坏问题</w:t>
            </w:r>
            <w:r>
              <w:rPr>
                <w:rFonts w:hint="eastAsia" w:ascii="Times New Roman" w:hAnsi="Times New Roman"/>
                <w:color w:val="auto"/>
                <w:sz w:val="24"/>
                <w:szCs w:val="24"/>
              </w:rPr>
              <w:t>。</w:t>
            </w:r>
          </w:p>
          <w:p w14:paraId="5704835A">
            <w:pPr>
              <w:adjustRightInd w:val="0"/>
              <w:snapToGrid w:val="0"/>
              <w:spacing w:line="440" w:lineRule="exact"/>
              <w:ind w:firstLine="480" w:firstLineChars="200"/>
              <w:rPr>
                <w:rFonts w:ascii="Times New Roman" w:hAnsi="Times New Roman"/>
                <w:color w:val="auto"/>
              </w:rPr>
            </w:pPr>
            <w:r>
              <w:rPr>
                <w:rFonts w:hint="eastAsia" w:ascii="Times New Roman" w:hAnsi="Times New Roman"/>
                <w:color w:val="auto"/>
                <w:kern w:val="0"/>
                <w:sz w:val="24"/>
              </w:rPr>
              <w:t>本项目为新建项目，项目区占地现状主要为林地、耕地及草地，项目未开工建设，</w:t>
            </w:r>
            <w:r>
              <w:rPr>
                <w:rFonts w:hint="eastAsia" w:ascii="Times New Roman" w:hAnsi="Times New Roman"/>
                <w:color w:val="auto"/>
                <w:sz w:val="24"/>
                <w:szCs w:val="24"/>
              </w:rPr>
              <w:t>区域环境质量良好，生态环境较好，未出现过环境空气、生态环境等方面的环境污染问题。因此，无与本项目有关的原有生态破坏问题。</w:t>
            </w:r>
          </w:p>
        </w:tc>
      </w:tr>
      <w:tr w14:paraId="54D3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shd w:val="clear" w:color="auto" w:fill="auto"/>
          </w:tcPr>
          <w:p w14:paraId="401499D0">
            <w:pPr>
              <w:jc w:val="center"/>
              <w:rPr>
                <w:rFonts w:ascii="Times New Roman" w:hAnsi="Times New Roman"/>
                <w:b/>
                <w:color w:val="auto"/>
                <w:sz w:val="24"/>
                <w:szCs w:val="24"/>
              </w:rPr>
            </w:pPr>
          </w:p>
          <w:p w14:paraId="715D9EAB">
            <w:pPr>
              <w:jc w:val="center"/>
              <w:rPr>
                <w:rFonts w:ascii="Times New Roman" w:hAnsi="Times New Roman"/>
                <w:b/>
                <w:color w:val="auto"/>
                <w:sz w:val="24"/>
                <w:szCs w:val="24"/>
              </w:rPr>
            </w:pPr>
          </w:p>
          <w:p w14:paraId="2F9D0BB8">
            <w:pPr>
              <w:jc w:val="center"/>
              <w:rPr>
                <w:rFonts w:ascii="Times New Roman" w:hAnsi="Times New Roman"/>
                <w:b/>
                <w:color w:val="auto"/>
                <w:sz w:val="24"/>
                <w:szCs w:val="24"/>
              </w:rPr>
            </w:pPr>
          </w:p>
          <w:p w14:paraId="36D76697">
            <w:pPr>
              <w:jc w:val="center"/>
              <w:rPr>
                <w:rFonts w:ascii="Times New Roman" w:hAnsi="Times New Roman"/>
                <w:b/>
                <w:color w:val="auto"/>
                <w:sz w:val="24"/>
                <w:szCs w:val="24"/>
              </w:rPr>
            </w:pPr>
          </w:p>
          <w:p w14:paraId="0087730B">
            <w:pPr>
              <w:jc w:val="center"/>
              <w:rPr>
                <w:rFonts w:ascii="Times New Roman" w:hAnsi="Times New Roman"/>
                <w:b/>
                <w:color w:val="auto"/>
                <w:sz w:val="24"/>
                <w:szCs w:val="24"/>
              </w:rPr>
            </w:pPr>
          </w:p>
          <w:p w14:paraId="67552BB6">
            <w:pPr>
              <w:jc w:val="center"/>
              <w:rPr>
                <w:rFonts w:ascii="Times New Roman" w:hAnsi="Times New Roman"/>
                <w:b/>
                <w:color w:val="auto"/>
                <w:sz w:val="24"/>
                <w:szCs w:val="24"/>
              </w:rPr>
            </w:pPr>
          </w:p>
          <w:p w14:paraId="497AC03B">
            <w:pPr>
              <w:jc w:val="center"/>
              <w:rPr>
                <w:rFonts w:ascii="Times New Roman" w:hAnsi="Times New Roman"/>
                <w:b/>
                <w:color w:val="auto"/>
                <w:sz w:val="24"/>
                <w:szCs w:val="24"/>
              </w:rPr>
            </w:pPr>
          </w:p>
          <w:p w14:paraId="052D77F2">
            <w:pPr>
              <w:jc w:val="center"/>
              <w:rPr>
                <w:rFonts w:ascii="Times New Roman" w:hAnsi="Times New Roman"/>
                <w:b/>
                <w:color w:val="auto"/>
                <w:sz w:val="24"/>
                <w:szCs w:val="24"/>
              </w:rPr>
            </w:pPr>
            <w:r>
              <w:rPr>
                <w:rFonts w:ascii="Times New Roman" w:hAnsi="Times New Roman"/>
                <w:b/>
                <w:color w:val="auto"/>
                <w:sz w:val="24"/>
                <w:szCs w:val="24"/>
              </w:rPr>
              <w:t>生态环境保护目标</w:t>
            </w:r>
          </w:p>
          <w:p w14:paraId="3C5F3098">
            <w:pPr>
              <w:jc w:val="center"/>
              <w:rPr>
                <w:rFonts w:ascii="Times New Roman" w:hAnsi="Times New Roman"/>
                <w:b/>
                <w:color w:val="auto"/>
                <w:sz w:val="24"/>
                <w:szCs w:val="24"/>
              </w:rPr>
            </w:pPr>
          </w:p>
          <w:p w14:paraId="2AD7FB1B">
            <w:pPr>
              <w:jc w:val="center"/>
              <w:rPr>
                <w:rFonts w:ascii="Times New Roman" w:hAnsi="Times New Roman"/>
                <w:b/>
                <w:color w:val="auto"/>
                <w:sz w:val="24"/>
                <w:szCs w:val="24"/>
              </w:rPr>
            </w:pPr>
          </w:p>
          <w:p w14:paraId="3AC90404">
            <w:pPr>
              <w:jc w:val="center"/>
              <w:rPr>
                <w:rFonts w:ascii="Times New Roman" w:hAnsi="Times New Roman"/>
                <w:b/>
                <w:color w:val="auto"/>
                <w:sz w:val="24"/>
                <w:szCs w:val="24"/>
              </w:rPr>
            </w:pPr>
          </w:p>
          <w:p w14:paraId="4CABD2B0">
            <w:pPr>
              <w:jc w:val="center"/>
              <w:rPr>
                <w:rFonts w:ascii="Times New Roman" w:hAnsi="Times New Roman"/>
                <w:b/>
                <w:color w:val="auto"/>
                <w:sz w:val="24"/>
                <w:szCs w:val="24"/>
              </w:rPr>
            </w:pPr>
          </w:p>
          <w:p w14:paraId="76BE7D7B">
            <w:pPr>
              <w:jc w:val="center"/>
              <w:rPr>
                <w:rFonts w:ascii="Times New Roman" w:hAnsi="Times New Roman"/>
                <w:b/>
                <w:color w:val="auto"/>
                <w:sz w:val="24"/>
                <w:szCs w:val="24"/>
              </w:rPr>
            </w:pPr>
          </w:p>
          <w:p w14:paraId="04E0C5D5">
            <w:pPr>
              <w:jc w:val="center"/>
              <w:rPr>
                <w:rFonts w:ascii="Times New Roman" w:hAnsi="Times New Roman"/>
                <w:b/>
                <w:color w:val="auto"/>
                <w:sz w:val="24"/>
                <w:szCs w:val="24"/>
              </w:rPr>
            </w:pPr>
          </w:p>
          <w:p w14:paraId="3E123074">
            <w:pPr>
              <w:jc w:val="center"/>
              <w:rPr>
                <w:rFonts w:ascii="Times New Roman" w:hAnsi="Times New Roman"/>
                <w:b/>
                <w:color w:val="auto"/>
                <w:sz w:val="24"/>
                <w:szCs w:val="24"/>
              </w:rPr>
            </w:pPr>
          </w:p>
          <w:p w14:paraId="5AD9B532">
            <w:pPr>
              <w:jc w:val="center"/>
              <w:rPr>
                <w:rFonts w:ascii="Times New Roman" w:hAnsi="Times New Roman"/>
                <w:b/>
                <w:color w:val="auto"/>
                <w:sz w:val="24"/>
                <w:szCs w:val="24"/>
              </w:rPr>
            </w:pPr>
          </w:p>
          <w:p w14:paraId="6D091DF2">
            <w:pPr>
              <w:jc w:val="center"/>
              <w:rPr>
                <w:rFonts w:ascii="Times New Roman" w:hAnsi="Times New Roman"/>
                <w:b/>
                <w:color w:val="auto"/>
                <w:sz w:val="24"/>
                <w:szCs w:val="24"/>
              </w:rPr>
            </w:pPr>
          </w:p>
          <w:p w14:paraId="11CEC481">
            <w:pPr>
              <w:jc w:val="center"/>
              <w:rPr>
                <w:rFonts w:ascii="Times New Roman" w:hAnsi="Times New Roman"/>
                <w:b/>
                <w:color w:val="auto"/>
                <w:sz w:val="24"/>
                <w:szCs w:val="24"/>
              </w:rPr>
            </w:pPr>
          </w:p>
          <w:p w14:paraId="44553871">
            <w:pPr>
              <w:jc w:val="center"/>
              <w:rPr>
                <w:rFonts w:ascii="Times New Roman" w:hAnsi="Times New Roman"/>
                <w:b/>
                <w:color w:val="auto"/>
                <w:sz w:val="24"/>
                <w:szCs w:val="24"/>
              </w:rPr>
            </w:pPr>
          </w:p>
          <w:p w14:paraId="14632E01">
            <w:pPr>
              <w:jc w:val="center"/>
              <w:rPr>
                <w:rFonts w:ascii="Times New Roman" w:hAnsi="Times New Roman"/>
                <w:b/>
                <w:color w:val="auto"/>
                <w:sz w:val="24"/>
                <w:szCs w:val="24"/>
              </w:rPr>
            </w:pPr>
          </w:p>
          <w:p w14:paraId="3BE8A5DE">
            <w:pPr>
              <w:jc w:val="center"/>
              <w:rPr>
                <w:rFonts w:ascii="Times New Roman" w:hAnsi="Times New Roman"/>
                <w:b/>
                <w:color w:val="auto"/>
                <w:sz w:val="24"/>
                <w:szCs w:val="24"/>
              </w:rPr>
            </w:pPr>
          </w:p>
          <w:p w14:paraId="673016C1">
            <w:pPr>
              <w:jc w:val="center"/>
              <w:rPr>
                <w:rFonts w:ascii="Times New Roman" w:hAnsi="Times New Roman"/>
                <w:b/>
                <w:color w:val="auto"/>
                <w:sz w:val="24"/>
                <w:szCs w:val="24"/>
              </w:rPr>
            </w:pPr>
          </w:p>
          <w:p w14:paraId="3AE5D38A">
            <w:pPr>
              <w:jc w:val="center"/>
              <w:rPr>
                <w:rFonts w:ascii="Times New Roman" w:hAnsi="Times New Roman"/>
                <w:b/>
                <w:color w:val="auto"/>
                <w:sz w:val="24"/>
                <w:szCs w:val="24"/>
              </w:rPr>
            </w:pPr>
          </w:p>
          <w:p w14:paraId="1DF11E6A">
            <w:pPr>
              <w:jc w:val="center"/>
              <w:rPr>
                <w:rFonts w:ascii="Times New Roman" w:hAnsi="Times New Roman"/>
                <w:b/>
                <w:color w:val="auto"/>
                <w:sz w:val="24"/>
                <w:szCs w:val="24"/>
              </w:rPr>
            </w:pPr>
          </w:p>
          <w:p w14:paraId="462894B6">
            <w:pPr>
              <w:jc w:val="center"/>
              <w:rPr>
                <w:rFonts w:ascii="Times New Roman" w:hAnsi="Times New Roman"/>
                <w:b/>
                <w:color w:val="auto"/>
                <w:sz w:val="24"/>
                <w:szCs w:val="24"/>
              </w:rPr>
            </w:pPr>
          </w:p>
          <w:p w14:paraId="1DDDD98B">
            <w:pPr>
              <w:jc w:val="center"/>
              <w:rPr>
                <w:rFonts w:ascii="Times New Roman" w:hAnsi="Times New Roman"/>
                <w:b/>
                <w:color w:val="auto"/>
                <w:sz w:val="24"/>
                <w:szCs w:val="24"/>
              </w:rPr>
            </w:pPr>
          </w:p>
          <w:p w14:paraId="62EF71A6">
            <w:pPr>
              <w:jc w:val="center"/>
              <w:rPr>
                <w:rFonts w:ascii="Times New Roman" w:hAnsi="Times New Roman"/>
                <w:b/>
                <w:color w:val="auto"/>
                <w:sz w:val="24"/>
                <w:szCs w:val="24"/>
              </w:rPr>
            </w:pPr>
          </w:p>
          <w:p w14:paraId="16E7EA70">
            <w:pPr>
              <w:jc w:val="center"/>
              <w:rPr>
                <w:rFonts w:ascii="Times New Roman" w:hAnsi="Times New Roman"/>
                <w:b/>
                <w:color w:val="auto"/>
                <w:sz w:val="24"/>
                <w:szCs w:val="24"/>
              </w:rPr>
            </w:pPr>
          </w:p>
          <w:p w14:paraId="5A198B33">
            <w:pPr>
              <w:jc w:val="center"/>
              <w:rPr>
                <w:rFonts w:ascii="Times New Roman" w:hAnsi="Times New Roman"/>
                <w:b/>
                <w:color w:val="auto"/>
                <w:sz w:val="24"/>
                <w:szCs w:val="24"/>
              </w:rPr>
            </w:pPr>
          </w:p>
          <w:p w14:paraId="20FE0C6E">
            <w:pPr>
              <w:jc w:val="center"/>
              <w:rPr>
                <w:rFonts w:ascii="Times New Roman" w:hAnsi="Times New Roman"/>
                <w:b/>
                <w:color w:val="auto"/>
                <w:sz w:val="24"/>
                <w:szCs w:val="24"/>
              </w:rPr>
            </w:pPr>
          </w:p>
          <w:p w14:paraId="4D2F96D3">
            <w:pPr>
              <w:jc w:val="center"/>
              <w:rPr>
                <w:rFonts w:ascii="Times New Roman" w:hAnsi="Times New Roman"/>
                <w:b/>
                <w:color w:val="auto"/>
                <w:sz w:val="24"/>
                <w:szCs w:val="24"/>
              </w:rPr>
            </w:pPr>
          </w:p>
          <w:p w14:paraId="35BA05B4">
            <w:pPr>
              <w:jc w:val="center"/>
              <w:rPr>
                <w:rFonts w:ascii="Times New Roman" w:hAnsi="Times New Roman"/>
                <w:b/>
                <w:color w:val="auto"/>
                <w:sz w:val="24"/>
                <w:szCs w:val="24"/>
              </w:rPr>
            </w:pPr>
          </w:p>
          <w:p w14:paraId="3C799731">
            <w:pPr>
              <w:jc w:val="center"/>
              <w:rPr>
                <w:rFonts w:ascii="Times New Roman" w:hAnsi="Times New Roman"/>
                <w:b/>
                <w:color w:val="auto"/>
                <w:sz w:val="24"/>
                <w:szCs w:val="24"/>
              </w:rPr>
            </w:pPr>
          </w:p>
          <w:p w14:paraId="1FAA139C">
            <w:pPr>
              <w:jc w:val="center"/>
              <w:rPr>
                <w:rFonts w:ascii="Times New Roman" w:hAnsi="Times New Roman"/>
                <w:b/>
                <w:color w:val="auto"/>
                <w:sz w:val="24"/>
                <w:szCs w:val="24"/>
              </w:rPr>
            </w:pPr>
          </w:p>
          <w:p w14:paraId="5ABF1539">
            <w:pPr>
              <w:jc w:val="center"/>
              <w:rPr>
                <w:rFonts w:ascii="Times New Roman" w:hAnsi="Times New Roman"/>
                <w:b/>
                <w:color w:val="auto"/>
                <w:sz w:val="24"/>
                <w:szCs w:val="24"/>
              </w:rPr>
            </w:pPr>
          </w:p>
          <w:p w14:paraId="6F9E0578">
            <w:pPr>
              <w:jc w:val="center"/>
              <w:rPr>
                <w:rFonts w:ascii="Times New Roman" w:hAnsi="Times New Roman"/>
                <w:b/>
                <w:color w:val="auto"/>
                <w:sz w:val="24"/>
                <w:szCs w:val="24"/>
              </w:rPr>
            </w:pPr>
          </w:p>
          <w:p w14:paraId="1C44BDAA">
            <w:pPr>
              <w:jc w:val="center"/>
              <w:rPr>
                <w:rFonts w:ascii="Times New Roman" w:hAnsi="Times New Roman"/>
                <w:b/>
                <w:color w:val="auto"/>
                <w:sz w:val="24"/>
                <w:szCs w:val="24"/>
              </w:rPr>
            </w:pPr>
          </w:p>
          <w:p w14:paraId="142CD9FC">
            <w:pPr>
              <w:jc w:val="center"/>
              <w:rPr>
                <w:rFonts w:ascii="Times New Roman" w:hAnsi="Times New Roman"/>
                <w:b/>
                <w:color w:val="auto"/>
                <w:sz w:val="24"/>
                <w:szCs w:val="24"/>
              </w:rPr>
            </w:pPr>
          </w:p>
          <w:p w14:paraId="17B34701">
            <w:pPr>
              <w:jc w:val="center"/>
              <w:rPr>
                <w:rFonts w:ascii="Times New Roman" w:hAnsi="Times New Roman"/>
                <w:b/>
                <w:color w:val="auto"/>
                <w:sz w:val="24"/>
                <w:szCs w:val="24"/>
              </w:rPr>
            </w:pPr>
          </w:p>
          <w:p w14:paraId="53B7BC84">
            <w:pPr>
              <w:pStyle w:val="3"/>
              <w:rPr>
                <w:rFonts w:ascii="Times New Roman" w:hAnsi="Times New Roman"/>
                <w:color w:val="auto"/>
                <w:sz w:val="24"/>
                <w:szCs w:val="24"/>
              </w:rPr>
            </w:pPr>
          </w:p>
          <w:p w14:paraId="4AC7F4E9">
            <w:pPr>
              <w:rPr>
                <w:rFonts w:ascii="Times New Roman" w:hAnsi="Times New Roman"/>
                <w:b/>
                <w:color w:val="auto"/>
                <w:sz w:val="24"/>
                <w:szCs w:val="24"/>
              </w:rPr>
            </w:pPr>
          </w:p>
          <w:p w14:paraId="740B6A21">
            <w:pPr>
              <w:pStyle w:val="3"/>
              <w:rPr>
                <w:color w:val="auto"/>
              </w:rPr>
            </w:pPr>
          </w:p>
          <w:p w14:paraId="74F36BDF">
            <w:pPr>
              <w:jc w:val="center"/>
              <w:rPr>
                <w:rFonts w:ascii="Times New Roman" w:hAnsi="Times New Roman"/>
                <w:b/>
                <w:color w:val="auto"/>
                <w:sz w:val="24"/>
                <w:szCs w:val="24"/>
              </w:rPr>
            </w:pPr>
          </w:p>
          <w:p w14:paraId="397E3BD4">
            <w:pPr>
              <w:jc w:val="center"/>
              <w:rPr>
                <w:rFonts w:ascii="Times New Roman" w:hAnsi="Times New Roman"/>
                <w:b/>
                <w:color w:val="auto"/>
                <w:sz w:val="24"/>
                <w:szCs w:val="24"/>
              </w:rPr>
            </w:pPr>
            <w:r>
              <w:rPr>
                <w:rFonts w:ascii="Times New Roman" w:hAnsi="Times New Roman"/>
                <w:b/>
                <w:color w:val="auto"/>
                <w:sz w:val="24"/>
                <w:szCs w:val="24"/>
              </w:rPr>
              <w:t>生态环境保护目标</w:t>
            </w:r>
          </w:p>
          <w:p w14:paraId="3ACA0A8F">
            <w:pPr>
              <w:jc w:val="center"/>
              <w:rPr>
                <w:rFonts w:ascii="Times New Roman" w:hAnsi="Times New Roman"/>
                <w:b/>
                <w:color w:val="auto"/>
                <w:sz w:val="24"/>
                <w:szCs w:val="24"/>
              </w:rPr>
            </w:pPr>
          </w:p>
          <w:p w14:paraId="7403E1EB">
            <w:pPr>
              <w:jc w:val="center"/>
              <w:rPr>
                <w:rFonts w:ascii="Times New Roman" w:hAnsi="Times New Roman"/>
                <w:b/>
                <w:color w:val="auto"/>
                <w:sz w:val="24"/>
                <w:szCs w:val="24"/>
              </w:rPr>
            </w:pPr>
          </w:p>
        </w:tc>
        <w:tc>
          <w:tcPr>
            <w:tcW w:w="8645" w:type="dxa"/>
            <w:shd w:val="clear" w:color="auto" w:fill="auto"/>
          </w:tcPr>
          <w:p w14:paraId="53FEE9A2">
            <w:pPr>
              <w:adjustRightInd w:val="0"/>
              <w:snapToGrid w:val="0"/>
              <w:spacing w:line="440" w:lineRule="exact"/>
              <w:ind w:firstLine="241"/>
              <w:rPr>
                <w:rFonts w:ascii="Times New Roman" w:hAnsi="Times New Roman"/>
                <w:b/>
                <w:color w:val="auto"/>
                <w:sz w:val="24"/>
                <w:szCs w:val="24"/>
              </w:rPr>
            </w:pPr>
            <w:r>
              <w:rPr>
                <w:rFonts w:ascii="Times New Roman" w:hAnsi="Times New Roman"/>
                <w:b/>
                <w:color w:val="auto"/>
                <w:sz w:val="24"/>
                <w:szCs w:val="24"/>
              </w:rPr>
              <w:t>3.7环境保护目标</w:t>
            </w:r>
          </w:p>
          <w:p w14:paraId="7555D007">
            <w:pPr>
              <w:adjustRightInd w:val="0"/>
              <w:snapToGrid w:val="0"/>
              <w:spacing w:line="440" w:lineRule="exact"/>
              <w:ind w:firstLine="241"/>
              <w:rPr>
                <w:rFonts w:ascii="Times New Roman" w:hAnsi="Times New Roman"/>
                <w:b/>
                <w:color w:val="auto"/>
                <w:sz w:val="24"/>
                <w:szCs w:val="24"/>
              </w:rPr>
            </w:pPr>
            <w:r>
              <w:rPr>
                <w:rFonts w:ascii="Times New Roman" w:hAnsi="Times New Roman"/>
                <w:b/>
                <w:color w:val="auto"/>
                <w:sz w:val="24"/>
                <w:szCs w:val="24"/>
              </w:rPr>
              <w:t>3.7.1环境影响评价工作等级、评价范围、评价重点及评价因子</w:t>
            </w:r>
          </w:p>
          <w:p w14:paraId="781A971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根据HJ24-2020《环境影响评价技术导则  输变电》、HJ19-2022《环境影响评价技术导则  生态影响》、HJ2.4-2021《环境影响评价技术导则  声环境》和HJ2.3-2018《环境影响评价技术导则  地表水环境》的要求，确定本项目的环境影响评价工作等级、评价范围、评价因子如下：</w:t>
            </w:r>
          </w:p>
          <w:p w14:paraId="2F2486C2">
            <w:pPr>
              <w:adjustRightInd w:val="0"/>
              <w:snapToGrid w:val="0"/>
              <w:spacing w:line="440" w:lineRule="exact"/>
              <w:ind w:firstLine="241"/>
              <w:rPr>
                <w:rFonts w:ascii="Times New Roman" w:hAnsi="Times New Roman"/>
                <w:b/>
                <w:color w:val="auto"/>
                <w:sz w:val="24"/>
                <w:szCs w:val="24"/>
              </w:rPr>
            </w:pPr>
            <w:r>
              <w:rPr>
                <w:rFonts w:ascii="Times New Roman" w:hAnsi="Times New Roman"/>
                <w:b/>
                <w:color w:val="auto"/>
                <w:sz w:val="24"/>
                <w:szCs w:val="24"/>
              </w:rPr>
              <w:t>3.7.1.1评价因子</w:t>
            </w:r>
          </w:p>
          <w:p w14:paraId="27529C1E">
            <w:pPr>
              <w:adjustRightInd w:val="0"/>
              <w:snapToGrid w:val="0"/>
              <w:jc w:val="center"/>
              <w:rPr>
                <w:rFonts w:ascii="Times New Roman" w:hAnsi="Times New Roman"/>
                <w:color w:val="auto"/>
                <w:sz w:val="24"/>
                <w:szCs w:val="24"/>
              </w:rPr>
            </w:pPr>
            <w:r>
              <w:rPr>
                <w:rFonts w:ascii="Times New Roman" w:hAnsi="Times New Roman"/>
                <w:b/>
                <w:color w:val="auto"/>
                <w:sz w:val="24"/>
                <w:szCs w:val="24"/>
              </w:rPr>
              <w:t>表3-</w:t>
            </w:r>
            <w:r>
              <w:rPr>
                <w:rFonts w:hint="eastAsia" w:ascii="Times New Roman" w:hAnsi="Times New Roman"/>
                <w:b/>
                <w:color w:val="auto"/>
                <w:sz w:val="24"/>
                <w:szCs w:val="24"/>
              </w:rPr>
              <w:t>28</w:t>
            </w:r>
            <w:r>
              <w:rPr>
                <w:rFonts w:ascii="Times New Roman" w:hAnsi="Times New Roman"/>
                <w:b/>
                <w:color w:val="auto"/>
                <w:sz w:val="24"/>
                <w:szCs w:val="24"/>
              </w:rPr>
              <w:t xml:space="preserve">  环境影响评价因子</w:t>
            </w:r>
          </w:p>
          <w:tbl>
            <w:tblPr>
              <w:tblStyle w:val="27"/>
              <w:tblW w:w="842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157"/>
              <w:gridCol w:w="2719"/>
              <w:gridCol w:w="2793"/>
              <w:gridCol w:w="866"/>
            </w:tblGrid>
            <w:tr w14:paraId="624FC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shd w:val="clear" w:color="auto" w:fill="auto"/>
                  <w:noWrap/>
                  <w:vAlign w:val="center"/>
                </w:tcPr>
                <w:p w14:paraId="273BE3FF">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评价阶段</w:t>
                  </w:r>
                </w:p>
              </w:tc>
              <w:tc>
                <w:tcPr>
                  <w:tcW w:w="1157" w:type="dxa"/>
                  <w:shd w:val="clear" w:color="auto" w:fill="auto"/>
                  <w:noWrap/>
                  <w:vAlign w:val="center"/>
                </w:tcPr>
                <w:p w14:paraId="3FA670D9">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评价项目</w:t>
                  </w:r>
                </w:p>
              </w:tc>
              <w:tc>
                <w:tcPr>
                  <w:tcW w:w="2719" w:type="dxa"/>
                  <w:shd w:val="clear" w:color="auto" w:fill="auto"/>
                  <w:noWrap/>
                  <w:vAlign w:val="center"/>
                </w:tcPr>
                <w:p w14:paraId="6F440C0C">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现状评价因子</w:t>
                  </w:r>
                </w:p>
              </w:tc>
              <w:tc>
                <w:tcPr>
                  <w:tcW w:w="2793" w:type="dxa"/>
                  <w:shd w:val="clear" w:color="auto" w:fill="auto"/>
                  <w:noWrap/>
                  <w:vAlign w:val="center"/>
                </w:tcPr>
                <w:p w14:paraId="208F12AF">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预测评价因子</w:t>
                  </w:r>
                </w:p>
              </w:tc>
              <w:tc>
                <w:tcPr>
                  <w:tcW w:w="866" w:type="dxa"/>
                  <w:shd w:val="clear" w:color="auto" w:fill="auto"/>
                  <w:noWrap/>
                  <w:vAlign w:val="center"/>
                </w:tcPr>
                <w:p w14:paraId="2BCC93D3">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单位</w:t>
                  </w:r>
                </w:p>
              </w:tc>
            </w:tr>
            <w:tr w14:paraId="3D765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restart"/>
                  <w:shd w:val="clear" w:color="auto" w:fill="auto"/>
                  <w:noWrap/>
                  <w:vAlign w:val="center"/>
                </w:tcPr>
                <w:p w14:paraId="2A947519">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施工期</w:t>
                  </w:r>
                </w:p>
              </w:tc>
              <w:tc>
                <w:tcPr>
                  <w:tcW w:w="1157" w:type="dxa"/>
                  <w:shd w:val="clear" w:color="auto" w:fill="auto"/>
                  <w:noWrap/>
                  <w:vAlign w:val="center"/>
                </w:tcPr>
                <w:p w14:paraId="1C5D04B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声环境</w:t>
                  </w:r>
                </w:p>
              </w:tc>
              <w:tc>
                <w:tcPr>
                  <w:tcW w:w="2719" w:type="dxa"/>
                  <w:shd w:val="clear" w:color="auto" w:fill="auto"/>
                  <w:noWrap/>
                  <w:vAlign w:val="center"/>
                </w:tcPr>
                <w:p w14:paraId="378AC902">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昼间、夜间等效声级，Leq</w:t>
                  </w:r>
                </w:p>
              </w:tc>
              <w:tc>
                <w:tcPr>
                  <w:tcW w:w="2793" w:type="dxa"/>
                  <w:shd w:val="clear" w:color="auto" w:fill="auto"/>
                  <w:noWrap/>
                  <w:vAlign w:val="center"/>
                </w:tcPr>
                <w:p w14:paraId="624E141C">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昼间、夜间等效声级，Leq</w:t>
                  </w:r>
                </w:p>
              </w:tc>
              <w:tc>
                <w:tcPr>
                  <w:tcW w:w="866" w:type="dxa"/>
                  <w:shd w:val="clear" w:color="auto" w:fill="auto"/>
                  <w:noWrap/>
                  <w:vAlign w:val="center"/>
                </w:tcPr>
                <w:p w14:paraId="686673D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dB（A</w:t>
                  </w:r>
                  <w:r>
                    <w:rPr>
                      <w:rFonts w:hint="eastAsia" w:ascii="Times New Roman" w:hAnsi="Times New Roman"/>
                      <w:color w:val="auto"/>
                      <w:kern w:val="0"/>
                      <w:szCs w:val="21"/>
                    </w:rPr>
                    <w:t>)</w:t>
                  </w:r>
                </w:p>
              </w:tc>
            </w:tr>
            <w:tr w14:paraId="27632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shd w:val="clear" w:color="auto" w:fill="auto"/>
                  <w:noWrap/>
                  <w:vAlign w:val="center"/>
                </w:tcPr>
                <w:p w14:paraId="7FF24DF6">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0DA5E496">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生态环境</w:t>
                  </w:r>
                </w:p>
              </w:tc>
              <w:tc>
                <w:tcPr>
                  <w:tcW w:w="2719" w:type="dxa"/>
                  <w:shd w:val="clear" w:color="auto" w:fill="auto"/>
                  <w:noWrap/>
                  <w:vAlign w:val="center"/>
                </w:tcPr>
                <w:p w14:paraId="303EF8AE">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生态系统及其生物因子、非生物因子</w:t>
                  </w:r>
                </w:p>
              </w:tc>
              <w:tc>
                <w:tcPr>
                  <w:tcW w:w="2793" w:type="dxa"/>
                  <w:shd w:val="clear" w:color="auto" w:fill="auto"/>
                  <w:noWrap/>
                  <w:vAlign w:val="center"/>
                </w:tcPr>
                <w:p w14:paraId="7AD6E8CC">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生态系统及其生物因子、非生物因子</w:t>
                  </w:r>
                </w:p>
              </w:tc>
              <w:tc>
                <w:tcPr>
                  <w:tcW w:w="866" w:type="dxa"/>
                  <w:shd w:val="clear" w:color="auto" w:fill="auto"/>
                  <w:noWrap/>
                  <w:vAlign w:val="center"/>
                </w:tcPr>
                <w:p w14:paraId="21ADE627">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r>
            <w:tr w14:paraId="66E013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shd w:val="clear" w:color="auto" w:fill="auto"/>
                  <w:noWrap/>
                  <w:vAlign w:val="center"/>
                </w:tcPr>
                <w:p w14:paraId="22AA4049">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7870E916">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地表水</w:t>
                  </w:r>
                </w:p>
              </w:tc>
              <w:tc>
                <w:tcPr>
                  <w:tcW w:w="2719" w:type="dxa"/>
                  <w:shd w:val="clear" w:color="auto" w:fill="auto"/>
                  <w:noWrap/>
                  <w:vAlign w:val="center"/>
                </w:tcPr>
                <w:p w14:paraId="1EAAF684">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PH、COD、BOD</w:t>
                  </w:r>
                  <w:r>
                    <w:rPr>
                      <w:rFonts w:ascii="Times New Roman" w:hAnsi="Times New Roman"/>
                      <w:color w:val="auto"/>
                      <w:kern w:val="0"/>
                      <w:szCs w:val="21"/>
                      <w:vertAlign w:val="subscript"/>
                    </w:rPr>
                    <w:t>5</w:t>
                  </w:r>
                  <w:r>
                    <w:rPr>
                      <w:rFonts w:ascii="Times New Roman" w:hAnsi="Times New Roman"/>
                      <w:color w:val="auto"/>
                      <w:kern w:val="0"/>
                      <w:szCs w:val="21"/>
                    </w:rPr>
                    <w:t>、NH</w:t>
                  </w:r>
                  <w:r>
                    <w:rPr>
                      <w:rFonts w:ascii="Times New Roman" w:hAnsi="Times New Roman"/>
                      <w:color w:val="auto"/>
                      <w:kern w:val="0"/>
                      <w:szCs w:val="21"/>
                      <w:vertAlign w:val="subscript"/>
                    </w:rPr>
                    <w:t>3</w:t>
                  </w:r>
                  <w:r>
                    <w:rPr>
                      <w:rFonts w:ascii="Times New Roman" w:hAnsi="Times New Roman"/>
                      <w:color w:val="auto"/>
                      <w:kern w:val="0"/>
                      <w:szCs w:val="21"/>
                    </w:rPr>
                    <w:t>-N、石油类</w:t>
                  </w:r>
                </w:p>
              </w:tc>
              <w:tc>
                <w:tcPr>
                  <w:tcW w:w="2793" w:type="dxa"/>
                  <w:shd w:val="clear" w:color="auto" w:fill="auto"/>
                  <w:noWrap/>
                  <w:vAlign w:val="center"/>
                </w:tcPr>
                <w:p w14:paraId="1FBFF3CE">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PH、COD、BOD</w:t>
                  </w:r>
                  <w:r>
                    <w:rPr>
                      <w:rFonts w:ascii="Times New Roman" w:hAnsi="Times New Roman"/>
                      <w:color w:val="auto"/>
                      <w:kern w:val="0"/>
                      <w:szCs w:val="21"/>
                      <w:vertAlign w:val="subscript"/>
                    </w:rPr>
                    <w:t>5</w:t>
                  </w:r>
                  <w:r>
                    <w:rPr>
                      <w:rFonts w:ascii="Times New Roman" w:hAnsi="Times New Roman"/>
                      <w:color w:val="auto"/>
                      <w:kern w:val="0"/>
                      <w:szCs w:val="21"/>
                    </w:rPr>
                    <w:t>、NH</w:t>
                  </w:r>
                  <w:r>
                    <w:rPr>
                      <w:rFonts w:ascii="Times New Roman" w:hAnsi="Times New Roman"/>
                      <w:color w:val="auto"/>
                      <w:kern w:val="0"/>
                      <w:szCs w:val="21"/>
                      <w:vertAlign w:val="subscript"/>
                    </w:rPr>
                    <w:t>3</w:t>
                  </w:r>
                  <w:r>
                    <w:rPr>
                      <w:rFonts w:ascii="Times New Roman" w:hAnsi="Times New Roman"/>
                      <w:color w:val="auto"/>
                      <w:kern w:val="0"/>
                      <w:szCs w:val="21"/>
                    </w:rPr>
                    <w:t>-N、石油类</w:t>
                  </w:r>
                </w:p>
              </w:tc>
              <w:tc>
                <w:tcPr>
                  <w:tcW w:w="866" w:type="dxa"/>
                  <w:shd w:val="clear" w:color="auto" w:fill="auto"/>
                  <w:noWrap/>
                  <w:vAlign w:val="center"/>
                </w:tcPr>
                <w:p w14:paraId="21F8F51D">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mg/L</w:t>
                  </w:r>
                </w:p>
              </w:tc>
            </w:tr>
            <w:tr w14:paraId="2E214B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shd w:val="clear" w:color="auto" w:fill="auto"/>
                  <w:noWrap/>
                  <w:vAlign w:val="center"/>
                </w:tcPr>
                <w:p w14:paraId="3D62B21F">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0E58356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大气环境</w:t>
                  </w:r>
                </w:p>
              </w:tc>
              <w:tc>
                <w:tcPr>
                  <w:tcW w:w="2719" w:type="dxa"/>
                  <w:shd w:val="clear" w:color="auto" w:fill="auto"/>
                  <w:noWrap/>
                  <w:vAlign w:val="center"/>
                </w:tcPr>
                <w:p w14:paraId="690506E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SO</w:t>
                  </w:r>
                  <w:r>
                    <w:rPr>
                      <w:rFonts w:ascii="Times New Roman" w:hAnsi="Times New Roman"/>
                      <w:color w:val="auto"/>
                      <w:kern w:val="0"/>
                      <w:szCs w:val="21"/>
                      <w:vertAlign w:val="subscript"/>
                    </w:rPr>
                    <w:t>2</w:t>
                  </w:r>
                  <w:r>
                    <w:rPr>
                      <w:rFonts w:hint="eastAsia" w:ascii="Times New Roman" w:hAnsi="Times New Roman"/>
                      <w:color w:val="auto"/>
                      <w:kern w:val="0"/>
                      <w:szCs w:val="21"/>
                    </w:rPr>
                    <w:t>、</w:t>
                  </w:r>
                  <w:r>
                    <w:rPr>
                      <w:rFonts w:ascii="Times New Roman" w:hAnsi="Times New Roman"/>
                      <w:color w:val="auto"/>
                      <w:kern w:val="0"/>
                      <w:szCs w:val="21"/>
                    </w:rPr>
                    <w:t>NO</w:t>
                  </w:r>
                  <w:r>
                    <w:rPr>
                      <w:rFonts w:ascii="Times New Roman" w:hAnsi="Times New Roman"/>
                      <w:color w:val="auto"/>
                      <w:kern w:val="0"/>
                      <w:szCs w:val="21"/>
                      <w:vertAlign w:val="subscript"/>
                    </w:rPr>
                    <w:t>2</w:t>
                  </w:r>
                  <w:r>
                    <w:rPr>
                      <w:rFonts w:hint="eastAsia" w:ascii="Times New Roman" w:hAnsi="Times New Roman"/>
                      <w:color w:val="auto"/>
                      <w:kern w:val="0"/>
                      <w:szCs w:val="21"/>
                    </w:rPr>
                    <w:t>、</w:t>
                  </w:r>
                  <w:r>
                    <w:rPr>
                      <w:rFonts w:ascii="Times New Roman" w:hAnsi="Times New Roman"/>
                      <w:color w:val="auto"/>
                      <w:kern w:val="0"/>
                      <w:szCs w:val="21"/>
                    </w:rPr>
                    <w:t>PM</w:t>
                  </w:r>
                  <w:r>
                    <w:rPr>
                      <w:rFonts w:ascii="Times New Roman" w:hAnsi="Times New Roman"/>
                      <w:color w:val="auto"/>
                      <w:kern w:val="0"/>
                      <w:szCs w:val="21"/>
                      <w:vertAlign w:val="subscript"/>
                    </w:rPr>
                    <w:t>10</w:t>
                  </w:r>
                  <w:r>
                    <w:rPr>
                      <w:rFonts w:hint="eastAsia" w:ascii="Times New Roman" w:hAnsi="Times New Roman"/>
                      <w:color w:val="auto"/>
                      <w:kern w:val="0"/>
                      <w:szCs w:val="21"/>
                    </w:rPr>
                    <w:t>、</w:t>
                  </w:r>
                  <w:r>
                    <w:rPr>
                      <w:rFonts w:ascii="Times New Roman" w:hAnsi="Times New Roman"/>
                      <w:color w:val="auto"/>
                      <w:kern w:val="0"/>
                      <w:szCs w:val="21"/>
                    </w:rPr>
                    <w:t>PM</w:t>
                  </w:r>
                  <w:r>
                    <w:rPr>
                      <w:rFonts w:ascii="Times New Roman" w:hAnsi="Times New Roman"/>
                      <w:color w:val="auto"/>
                      <w:kern w:val="0"/>
                      <w:szCs w:val="21"/>
                      <w:vertAlign w:val="subscript"/>
                    </w:rPr>
                    <w:t>2.5</w:t>
                  </w:r>
                  <w:r>
                    <w:rPr>
                      <w:rFonts w:hint="eastAsia" w:ascii="Times New Roman" w:hAnsi="Times New Roman"/>
                      <w:color w:val="auto"/>
                      <w:kern w:val="0"/>
                      <w:szCs w:val="21"/>
                    </w:rPr>
                    <w:t>、</w:t>
                  </w:r>
                  <w:r>
                    <w:rPr>
                      <w:rFonts w:ascii="Times New Roman" w:hAnsi="Times New Roman"/>
                      <w:color w:val="auto"/>
                      <w:kern w:val="0"/>
                      <w:szCs w:val="21"/>
                    </w:rPr>
                    <w:t>CO</w:t>
                  </w:r>
                  <w:r>
                    <w:rPr>
                      <w:rFonts w:hint="eastAsia" w:ascii="Times New Roman" w:hAnsi="Times New Roman"/>
                      <w:color w:val="auto"/>
                      <w:kern w:val="0"/>
                      <w:szCs w:val="21"/>
                    </w:rPr>
                    <w:t>、</w:t>
                  </w:r>
                  <w:r>
                    <w:rPr>
                      <w:rFonts w:ascii="Times New Roman" w:hAnsi="Times New Roman"/>
                      <w:color w:val="auto"/>
                      <w:kern w:val="0"/>
                      <w:szCs w:val="21"/>
                    </w:rPr>
                    <w:t>O</w:t>
                  </w:r>
                  <w:r>
                    <w:rPr>
                      <w:rFonts w:ascii="Times New Roman" w:hAnsi="Times New Roman"/>
                      <w:color w:val="auto"/>
                      <w:kern w:val="0"/>
                      <w:szCs w:val="21"/>
                      <w:vertAlign w:val="subscript"/>
                    </w:rPr>
                    <w:t>3</w:t>
                  </w:r>
                </w:p>
              </w:tc>
              <w:tc>
                <w:tcPr>
                  <w:tcW w:w="2793" w:type="dxa"/>
                  <w:shd w:val="clear" w:color="auto" w:fill="auto"/>
                  <w:noWrap/>
                  <w:vAlign w:val="center"/>
                </w:tcPr>
                <w:p w14:paraId="00E6DA5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颗粒物（TSP）</w:t>
                  </w:r>
                </w:p>
              </w:tc>
              <w:tc>
                <w:tcPr>
                  <w:tcW w:w="866" w:type="dxa"/>
                  <w:shd w:val="clear" w:color="auto" w:fill="auto"/>
                  <w:noWrap/>
                  <w:vAlign w:val="center"/>
                </w:tcPr>
                <w:p w14:paraId="3353BA5D">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mg/</w:t>
                  </w:r>
                  <w:r>
                    <w:rPr>
                      <w:rFonts w:hint="eastAsia" w:ascii="Times New Roman" w:hAnsi="Times New Roman"/>
                      <w:color w:val="auto"/>
                      <w:kern w:val="0"/>
                      <w:szCs w:val="21"/>
                    </w:rPr>
                    <w:t>m</w:t>
                  </w:r>
                  <w:r>
                    <w:rPr>
                      <w:rFonts w:hint="eastAsia" w:ascii="Times New Roman" w:hAnsi="Times New Roman"/>
                      <w:color w:val="auto"/>
                      <w:kern w:val="0"/>
                      <w:szCs w:val="21"/>
                      <w:vertAlign w:val="superscript"/>
                    </w:rPr>
                    <w:t>3</w:t>
                  </w:r>
                </w:p>
              </w:tc>
            </w:tr>
            <w:tr w14:paraId="331C1F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shd w:val="clear" w:color="auto" w:fill="auto"/>
                  <w:noWrap/>
                  <w:vAlign w:val="center"/>
                </w:tcPr>
                <w:p w14:paraId="4E58023B">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215A814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固废</w:t>
                  </w:r>
                </w:p>
              </w:tc>
              <w:tc>
                <w:tcPr>
                  <w:tcW w:w="2719" w:type="dxa"/>
                  <w:shd w:val="clear" w:color="auto" w:fill="auto"/>
                  <w:noWrap/>
                  <w:vAlign w:val="center"/>
                </w:tcPr>
                <w:p w14:paraId="281DD82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w:t>
                  </w:r>
                </w:p>
              </w:tc>
              <w:tc>
                <w:tcPr>
                  <w:tcW w:w="2793" w:type="dxa"/>
                  <w:shd w:val="clear" w:color="auto" w:fill="auto"/>
                  <w:noWrap/>
                  <w:vAlign w:val="center"/>
                </w:tcPr>
                <w:p w14:paraId="1BFB4BAF">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废土石方、生活垃圾、建筑垃圾等</w:t>
                  </w:r>
                </w:p>
              </w:tc>
              <w:tc>
                <w:tcPr>
                  <w:tcW w:w="866" w:type="dxa"/>
                  <w:shd w:val="clear" w:color="auto" w:fill="auto"/>
                  <w:noWrap/>
                  <w:vAlign w:val="center"/>
                </w:tcPr>
                <w:p w14:paraId="12932C6D">
                  <w:pPr>
                    <w:widowControl/>
                    <w:adjustRightInd w:val="0"/>
                    <w:snapToGrid w:val="0"/>
                    <w:jc w:val="center"/>
                    <w:rPr>
                      <w:rFonts w:ascii="Times New Roman" w:hAnsi="Times New Roman"/>
                      <w:color w:val="auto"/>
                      <w:kern w:val="0"/>
                      <w:szCs w:val="21"/>
                    </w:rPr>
                  </w:pPr>
                </w:p>
              </w:tc>
            </w:tr>
            <w:tr w14:paraId="5D692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restart"/>
                  <w:shd w:val="clear" w:color="auto" w:fill="auto"/>
                  <w:noWrap/>
                  <w:vAlign w:val="center"/>
                </w:tcPr>
                <w:p w14:paraId="58FACD8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运行期</w:t>
                  </w:r>
                </w:p>
              </w:tc>
              <w:tc>
                <w:tcPr>
                  <w:tcW w:w="1157" w:type="dxa"/>
                  <w:vMerge w:val="restart"/>
                  <w:shd w:val="clear" w:color="auto" w:fill="auto"/>
                  <w:noWrap/>
                  <w:vAlign w:val="center"/>
                </w:tcPr>
                <w:p w14:paraId="28ABD0D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电磁环境</w:t>
                  </w:r>
                </w:p>
              </w:tc>
              <w:tc>
                <w:tcPr>
                  <w:tcW w:w="2719" w:type="dxa"/>
                  <w:shd w:val="clear" w:color="auto" w:fill="auto"/>
                  <w:noWrap/>
                  <w:vAlign w:val="center"/>
                </w:tcPr>
                <w:p w14:paraId="6278B52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工频电场</w:t>
                  </w:r>
                </w:p>
              </w:tc>
              <w:tc>
                <w:tcPr>
                  <w:tcW w:w="2793" w:type="dxa"/>
                  <w:shd w:val="clear" w:color="auto" w:fill="auto"/>
                  <w:noWrap/>
                  <w:vAlign w:val="center"/>
                </w:tcPr>
                <w:p w14:paraId="4BCA9792">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工频电场</w:t>
                  </w:r>
                </w:p>
              </w:tc>
              <w:tc>
                <w:tcPr>
                  <w:tcW w:w="866" w:type="dxa"/>
                  <w:shd w:val="clear" w:color="auto" w:fill="auto"/>
                  <w:noWrap/>
                  <w:vAlign w:val="center"/>
                </w:tcPr>
                <w:p w14:paraId="3625A64A">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kV/m</w:t>
                  </w:r>
                </w:p>
              </w:tc>
            </w:tr>
            <w:tr w14:paraId="142ED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vAlign w:val="center"/>
                </w:tcPr>
                <w:p w14:paraId="2719ED97">
                  <w:pPr>
                    <w:widowControl/>
                    <w:adjustRightInd w:val="0"/>
                    <w:snapToGrid w:val="0"/>
                    <w:jc w:val="center"/>
                    <w:rPr>
                      <w:rFonts w:ascii="Times New Roman" w:hAnsi="Times New Roman"/>
                      <w:color w:val="auto"/>
                      <w:kern w:val="0"/>
                      <w:szCs w:val="21"/>
                    </w:rPr>
                  </w:pPr>
                </w:p>
              </w:tc>
              <w:tc>
                <w:tcPr>
                  <w:tcW w:w="1157" w:type="dxa"/>
                  <w:vMerge w:val="continue"/>
                  <w:vAlign w:val="center"/>
                </w:tcPr>
                <w:p w14:paraId="28BC8D67">
                  <w:pPr>
                    <w:widowControl/>
                    <w:adjustRightInd w:val="0"/>
                    <w:snapToGrid w:val="0"/>
                    <w:jc w:val="center"/>
                    <w:rPr>
                      <w:rFonts w:ascii="Times New Roman" w:hAnsi="Times New Roman"/>
                      <w:color w:val="auto"/>
                      <w:kern w:val="0"/>
                      <w:szCs w:val="21"/>
                    </w:rPr>
                  </w:pPr>
                </w:p>
              </w:tc>
              <w:tc>
                <w:tcPr>
                  <w:tcW w:w="2719" w:type="dxa"/>
                  <w:shd w:val="clear" w:color="auto" w:fill="auto"/>
                  <w:noWrap/>
                  <w:vAlign w:val="center"/>
                </w:tcPr>
                <w:p w14:paraId="6489703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工频磁场</w:t>
                  </w:r>
                </w:p>
              </w:tc>
              <w:tc>
                <w:tcPr>
                  <w:tcW w:w="2793" w:type="dxa"/>
                  <w:shd w:val="clear" w:color="auto" w:fill="auto"/>
                  <w:noWrap/>
                  <w:vAlign w:val="center"/>
                </w:tcPr>
                <w:p w14:paraId="07A22ED2">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工频磁场</w:t>
                  </w:r>
                </w:p>
              </w:tc>
              <w:tc>
                <w:tcPr>
                  <w:tcW w:w="866" w:type="dxa"/>
                  <w:shd w:val="clear" w:color="auto" w:fill="auto"/>
                  <w:noWrap/>
                  <w:vAlign w:val="center"/>
                </w:tcPr>
                <w:p w14:paraId="73EADD0B">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μT</w:t>
                  </w:r>
                </w:p>
              </w:tc>
            </w:tr>
            <w:tr w14:paraId="6D6AE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vAlign w:val="center"/>
                </w:tcPr>
                <w:p w14:paraId="63D574BA">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0EEBE787">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声环境</w:t>
                  </w:r>
                </w:p>
              </w:tc>
              <w:tc>
                <w:tcPr>
                  <w:tcW w:w="2719" w:type="dxa"/>
                  <w:shd w:val="clear" w:color="auto" w:fill="auto"/>
                  <w:noWrap/>
                  <w:vAlign w:val="center"/>
                </w:tcPr>
                <w:p w14:paraId="0B1DE55C">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昼间、夜间等效声级，Leq</w:t>
                  </w:r>
                </w:p>
              </w:tc>
              <w:tc>
                <w:tcPr>
                  <w:tcW w:w="2793" w:type="dxa"/>
                  <w:shd w:val="clear" w:color="auto" w:fill="auto"/>
                  <w:noWrap/>
                  <w:vAlign w:val="center"/>
                </w:tcPr>
                <w:p w14:paraId="14F4C08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昼间、夜间等效声级，Leq</w:t>
                  </w:r>
                </w:p>
              </w:tc>
              <w:tc>
                <w:tcPr>
                  <w:tcW w:w="866" w:type="dxa"/>
                  <w:shd w:val="clear" w:color="auto" w:fill="auto"/>
                  <w:noWrap/>
                  <w:vAlign w:val="center"/>
                </w:tcPr>
                <w:p w14:paraId="0C8BE207">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dB（A</w:t>
                  </w:r>
                  <w:r>
                    <w:rPr>
                      <w:rFonts w:hint="eastAsia" w:ascii="Times New Roman" w:hAnsi="Times New Roman"/>
                      <w:color w:val="auto"/>
                      <w:kern w:val="0"/>
                      <w:szCs w:val="21"/>
                    </w:rPr>
                    <w:t>)</w:t>
                  </w:r>
                </w:p>
              </w:tc>
            </w:tr>
            <w:tr w14:paraId="169B6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vAlign w:val="center"/>
                </w:tcPr>
                <w:p w14:paraId="389C5395">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603F4C6D">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固废</w:t>
                  </w:r>
                </w:p>
              </w:tc>
              <w:tc>
                <w:tcPr>
                  <w:tcW w:w="2719" w:type="dxa"/>
                  <w:shd w:val="clear" w:color="auto" w:fill="auto"/>
                  <w:noWrap/>
                  <w:vAlign w:val="center"/>
                </w:tcPr>
                <w:p w14:paraId="7763CE81">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p>
              </w:tc>
              <w:tc>
                <w:tcPr>
                  <w:tcW w:w="2793" w:type="dxa"/>
                  <w:shd w:val="clear" w:color="auto" w:fill="auto"/>
                  <w:noWrap/>
                  <w:vAlign w:val="center"/>
                </w:tcPr>
                <w:p w14:paraId="4AF6340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生活垃圾、废旧材料</w:t>
                  </w:r>
                </w:p>
              </w:tc>
              <w:tc>
                <w:tcPr>
                  <w:tcW w:w="866" w:type="dxa"/>
                  <w:shd w:val="clear" w:color="auto" w:fill="auto"/>
                  <w:noWrap/>
                  <w:vAlign w:val="center"/>
                </w:tcPr>
                <w:p w14:paraId="6237ED67">
                  <w:pPr>
                    <w:widowControl/>
                    <w:adjustRightInd w:val="0"/>
                    <w:snapToGrid w:val="0"/>
                    <w:jc w:val="center"/>
                    <w:rPr>
                      <w:rFonts w:ascii="Times New Roman" w:hAnsi="Times New Roman"/>
                      <w:color w:val="auto"/>
                      <w:kern w:val="0"/>
                      <w:szCs w:val="21"/>
                    </w:rPr>
                  </w:pPr>
                </w:p>
              </w:tc>
            </w:tr>
            <w:tr w14:paraId="73FD0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vAlign w:val="center"/>
                </w:tcPr>
                <w:p w14:paraId="63B05D27">
                  <w:pPr>
                    <w:widowControl/>
                    <w:adjustRightInd w:val="0"/>
                    <w:snapToGrid w:val="0"/>
                    <w:jc w:val="center"/>
                    <w:rPr>
                      <w:rFonts w:ascii="Times New Roman" w:hAnsi="Times New Roman"/>
                      <w:color w:val="auto"/>
                      <w:kern w:val="0"/>
                      <w:szCs w:val="21"/>
                    </w:rPr>
                  </w:pPr>
                </w:p>
              </w:tc>
              <w:tc>
                <w:tcPr>
                  <w:tcW w:w="1157" w:type="dxa"/>
                  <w:shd w:val="clear" w:color="auto" w:fill="auto"/>
                  <w:noWrap/>
                  <w:vAlign w:val="center"/>
                </w:tcPr>
                <w:p w14:paraId="7FF2930E">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生态环境</w:t>
                  </w:r>
                </w:p>
              </w:tc>
              <w:tc>
                <w:tcPr>
                  <w:tcW w:w="2719" w:type="dxa"/>
                  <w:shd w:val="clear" w:color="auto" w:fill="auto"/>
                  <w:noWrap/>
                  <w:vAlign w:val="center"/>
                </w:tcPr>
                <w:p w14:paraId="180083E3">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生态系统及其生物因子、非生物因子</w:t>
                  </w:r>
                </w:p>
              </w:tc>
              <w:tc>
                <w:tcPr>
                  <w:tcW w:w="2793" w:type="dxa"/>
                  <w:shd w:val="clear" w:color="auto" w:fill="auto"/>
                  <w:noWrap/>
                  <w:vAlign w:val="center"/>
                </w:tcPr>
                <w:p w14:paraId="66D0626B">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生态系统及其生物因子、非生物因子</w:t>
                  </w:r>
                </w:p>
              </w:tc>
              <w:tc>
                <w:tcPr>
                  <w:tcW w:w="866" w:type="dxa"/>
                  <w:shd w:val="clear" w:color="auto" w:fill="auto"/>
                  <w:noWrap/>
                  <w:vAlign w:val="center"/>
                </w:tcPr>
                <w:p w14:paraId="635CA399">
                  <w:pPr>
                    <w:widowControl/>
                    <w:adjustRightInd w:val="0"/>
                    <w:snapToGrid w:val="0"/>
                    <w:jc w:val="center"/>
                    <w:rPr>
                      <w:rFonts w:ascii="Times New Roman" w:hAnsi="Times New Roman"/>
                      <w:color w:val="auto"/>
                      <w:kern w:val="0"/>
                      <w:szCs w:val="21"/>
                    </w:rPr>
                  </w:pPr>
                </w:p>
              </w:tc>
            </w:tr>
          </w:tbl>
          <w:p w14:paraId="4C0F8307">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3.7.1.2评价范围</w:t>
            </w:r>
          </w:p>
          <w:p w14:paraId="0A227465">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表3-</w:t>
            </w:r>
            <w:r>
              <w:rPr>
                <w:rFonts w:hint="eastAsia" w:ascii="Times New Roman" w:hAnsi="Times New Roman"/>
                <w:b/>
                <w:color w:val="auto"/>
                <w:sz w:val="24"/>
                <w:szCs w:val="24"/>
              </w:rPr>
              <w:t>29</w:t>
            </w:r>
            <w:r>
              <w:rPr>
                <w:rFonts w:ascii="Times New Roman" w:hAnsi="Times New Roman"/>
                <w:b/>
                <w:color w:val="auto"/>
                <w:sz w:val="24"/>
                <w:szCs w:val="24"/>
              </w:rPr>
              <w:t xml:space="preserve">  环境影响评价范围</w:t>
            </w:r>
          </w:p>
          <w:tbl>
            <w:tblPr>
              <w:tblStyle w:val="27"/>
              <w:tblW w:w="842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1"/>
              <w:gridCol w:w="976"/>
              <w:gridCol w:w="1256"/>
              <w:gridCol w:w="5465"/>
            </w:tblGrid>
            <w:tr w14:paraId="38CA25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shd w:val="clear" w:color="auto" w:fill="auto"/>
                  <w:noWrap/>
                  <w:vAlign w:val="center"/>
                </w:tcPr>
                <w:p w14:paraId="66D7F9CA">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分类</w:t>
                  </w:r>
                </w:p>
              </w:tc>
              <w:tc>
                <w:tcPr>
                  <w:tcW w:w="2232" w:type="dxa"/>
                  <w:gridSpan w:val="2"/>
                  <w:shd w:val="clear" w:color="auto" w:fill="auto"/>
                  <w:noWrap/>
                  <w:vAlign w:val="center"/>
                </w:tcPr>
                <w:p w14:paraId="0696B5F2">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工程</w:t>
                  </w:r>
                </w:p>
              </w:tc>
              <w:tc>
                <w:tcPr>
                  <w:tcW w:w="5465" w:type="dxa"/>
                  <w:shd w:val="clear" w:color="auto" w:fill="auto"/>
                  <w:vAlign w:val="center"/>
                </w:tcPr>
                <w:p w14:paraId="5ECEA62E">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评价范围</w:t>
                  </w:r>
                </w:p>
              </w:tc>
            </w:tr>
            <w:tr w14:paraId="0B15E4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vMerge w:val="restart"/>
                  <w:shd w:val="clear" w:color="auto" w:fill="auto"/>
                  <w:noWrap/>
                  <w:vAlign w:val="center"/>
                </w:tcPr>
                <w:p w14:paraId="3E0AA3F5">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220kV</w:t>
                  </w:r>
                  <w:r>
                    <w:rPr>
                      <w:rFonts w:ascii="Times New Roman" w:hAnsi="Times New Roman"/>
                      <w:color w:val="auto"/>
                      <w:kern w:val="0"/>
                      <w:szCs w:val="21"/>
                    </w:rPr>
                    <w:t>交流</w:t>
                  </w:r>
                </w:p>
              </w:tc>
              <w:tc>
                <w:tcPr>
                  <w:tcW w:w="976" w:type="dxa"/>
                  <w:shd w:val="clear" w:color="auto" w:fill="auto"/>
                  <w:noWrap/>
                  <w:vAlign w:val="center"/>
                </w:tcPr>
                <w:p w14:paraId="3940D448">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电磁环境影响</w:t>
                  </w:r>
                </w:p>
              </w:tc>
              <w:tc>
                <w:tcPr>
                  <w:tcW w:w="1256" w:type="dxa"/>
                  <w:shd w:val="clear" w:color="auto" w:fill="auto"/>
                  <w:noWrap/>
                  <w:vAlign w:val="center"/>
                </w:tcPr>
                <w:p w14:paraId="071CA5AD">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架空线路</w:t>
                  </w:r>
                </w:p>
              </w:tc>
              <w:tc>
                <w:tcPr>
                  <w:tcW w:w="5465" w:type="dxa"/>
                  <w:shd w:val="clear" w:color="auto" w:fill="auto"/>
                  <w:vAlign w:val="center"/>
                </w:tcPr>
                <w:p w14:paraId="710C9751">
                  <w:pPr>
                    <w:widowControl/>
                    <w:adjustRightInd w:val="0"/>
                    <w:snapToGrid w:val="0"/>
                    <w:jc w:val="left"/>
                    <w:rPr>
                      <w:rFonts w:ascii="Times New Roman" w:hAnsi="Times New Roman"/>
                      <w:color w:val="auto"/>
                      <w:kern w:val="0"/>
                      <w:szCs w:val="21"/>
                    </w:rPr>
                  </w:pPr>
                  <w:r>
                    <w:rPr>
                      <w:rFonts w:ascii="Times New Roman" w:hAnsi="Times New Roman"/>
                      <w:color w:val="auto"/>
                      <w:kern w:val="0"/>
                      <w:szCs w:val="21"/>
                    </w:rPr>
                    <w:t>边导线地面投影外两侧各40m</w:t>
                  </w:r>
                </w:p>
              </w:tc>
            </w:tr>
            <w:tr w14:paraId="40AEF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14:paraId="61EB0571">
                  <w:pPr>
                    <w:widowControl/>
                    <w:adjustRightInd w:val="0"/>
                    <w:snapToGrid w:val="0"/>
                    <w:jc w:val="center"/>
                    <w:rPr>
                      <w:rFonts w:ascii="Times New Roman" w:hAnsi="Times New Roman"/>
                      <w:color w:val="auto"/>
                      <w:kern w:val="0"/>
                      <w:szCs w:val="21"/>
                    </w:rPr>
                  </w:pPr>
                </w:p>
              </w:tc>
              <w:tc>
                <w:tcPr>
                  <w:tcW w:w="2232" w:type="dxa"/>
                  <w:gridSpan w:val="2"/>
                  <w:shd w:val="clear" w:color="auto" w:fill="auto"/>
                  <w:noWrap/>
                  <w:vAlign w:val="center"/>
                </w:tcPr>
                <w:p w14:paraId="103CBA3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声环境影响</w:t>
                  </w:r>
                </w:p>
              </w:tc>
              <w:tc>
                <w:tcPr>
                  <w:tcW w:w="5465" w:type="dxa"/>
                  <w:shd w:val="clear" w:color="auto" w:fill="auto"/>
                  <w:vAlign w:val="center"/>
                </w:tcPr>
                <w:p w14:paraId="04BF79C4">
                  <w:pPr>
                    <w:widowControl/>
                    <w:adjustRightInd w:val="0"/>
                    <w:snapToGrid w:val="0"/>
                    <w:jc w:val="left"/>
                    <w:rPr>
                      <w:rFonts w:ascii="Times New Roman" w:hAnsi="Times New Roman"/>
                      <w:color w:val="auto"/>
                      <w:kern w:val="0"/>
                      <w:szCs w:val="21"/>
                    </w:rPr>
                  </w:pPr>
                  <w:r>
                    <w:rPr>
                      <w:rFonts w:ascii="Times New Roman" w:hAnsi="Times New Roman"/>
                      <w:color w:val="auto"/>
                      <w:kern w:val="0"/>
                      <w:szCs w:val="21"/>
                    </w:rPr>
                    <w:t>输电线路：边导线地面投影外两侧各40m。</w:t>
                  </w:r>
                </w:p>
              </w:tc>
            </w:tr>
            <w:tr w14:paraId="5A2AD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14:paraId="13FD6473">
                  <w:pPr>
                    <w:widowControl/>
                    <w:adjustRightInd w:val="0"/>
                    <w:snapToGrid w:val="0"/>
                    <w:jc w:val="center"/>
                    <w:rPr>
                      <w:rFonts w:ascii="Times New Roman" w:hAnsi="Times New Roman"/>
                      <w:color w:val="auto"/>
                      <w:kern w:val="0"/>
                      <w:szCs w:val="21"/>
                    </w:rPr>
                  </w:pPr>
                </w:p>
              </w:tc>
              <w:tc>
                <w:tcPr>
                  <w:tcW w:w="2232" w:type="dxa"/>
                  <w:gridSpan w:val="2"/>
                  <w:shd w:val="clear" w:color="auto" w:fill="auto"/>
                  <w:noWrap/>
                  <w:vAlign w:val="center"/>
                </w:tcPr>
                <w:p w14:paraId="7B0345DF">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生态环境影响</w:t>
                  </w:r>
                </w:p>
              </w:tc>
              <w:tc>
                <w:tcPr>
                  <w:tcW w:w="5465" w:type="dxa"/>
                  <w:shd w:val="clear" w:color="auto" w:fill="auto"/>
                  <w:vAlign w:val="center"/>
                </w:tcPr>
                <w:p w14:paraId="479C81C2">
                  <w:pPr>
                    <w:widowControl/>
                    <w:adjustRightInd w:val="0"/>
                    <w:snapToGrid w:val="0"/>
                    <w:jc w:val="left"/>
                    <w:rPr>
                      <w:color w:val="auto"/>
                    </w:rPr>
                  </w:pPr>
                  <w:r>
                    <w:rPr>
                      <w:rFonts w:ascii="Times New Roman" w:hAnsi="Times New Roman"/>
                      <w:color w:val="auto"/>
                      <w:kern w:val="0"/>
                      <w:szCs w:val="21"/>
                    </w:rPr>
                    <w:t>输电线路：以线路</w:t>
                  </w:r>
                  <w:r>
                    <w:rPr>
                      <w:rFonts w:hint="eastAsia" w:ascii="Times New Roman" w:hAnsi="Times New Roman"/>
                      <w:color w:val="auto"/>
                      <w:kern w:val="0"/>
                      <w:szCs w:val="21"/>
                    </w:rPr>
                    <w:t>边导线</w:t>
                  </w:r>
                  <w:r>
                    <w:rPr>
                      <w:rFonts w:ascii="Times New Roman" w:hAnsi="Times New Roman"/>
                      <w:color w:val="auto"/>
                      <w:kern w:val="0"/>
                      <w:szCs w:val="21"/>
                    </w:rPr>
                    <w:t>向两侧外延300m的范围内。</w:t>
                  </w:r>
                </w:p>
              </w:tc>
            </w:tr>
          </w:tbl>
          <w:p w14:paraId="37CD2AD7">
            <w:pPr>
              <w:adjustRightInd w:val="0"/>
              <w:snapToGrid w:val="0"/>
              <w:spacing w:line="440" w:lineRule="exact"/>
              <w:ind w:firstLine="241"/>
              <w:rPr>
                <w:rFonts w:ascii="Times New Roman" w:hAnsi="Times New Roman"/>
                <w:b/>
                <w:color w:val="auto"/>
                <w:sz w:val="24"/>
                <w:szCs w:val="24"/>
              </w:rPr>
            </w:pPr>
            <w:r>
              <w:rPr>
                <w:rFonts w:ascii="Times New Roman" w:hAnsi="Times New Roman"/>
                <w:b/>
                <w:color w:val="auto"/>
                <w:sz w:val="24"/>
                <w:szCs w:val="24"/>
              </w:rPr>
              <w:t>3.7.2</w:t>
            </w:r>
            <w:r>
              <w:rPr>
                <w:rFonts w:hint="eastAsia" w:ascii="Times New Roman" w:hAnsi="Times New Roman"/>
                <w:b/>
                <w:color w:val="auto"/>
                <w:sz w:val="24"/>
                <w:szCs w:val="24"/>
              </w:rPr>
              <w:t>环境保护目标</w:t>
            </w:r>
          </w:p>
          <w:p w14:paraId="54F13992">
            <w:pPr>
              <w:adjustRightInd w:val="0"/>
              <w:snapToGrid w:val="0"/>
              <w:spacing w:line="440" w:lineRule="exact"/>
              <w:ind w:firstLine="241"/>
              <w:rPr>
                <w:rFonts w:ascii="Times New Roman" w:hAnsi="Times New Roman"/>
                <w:b/>
                <w:color w:val="auto"/>
                <w:sz w:val="24"/>
                <w:szCs w:val="24"/>
              </w:rPr>
            </w:pPr>
            <w:r>
              <w:rPr>
                <w:rFonts w:hint="eastAsia" w:ascii="Times New Roman" w:hAnsi="Times New Roman"/>
                <w:b/>
                <w:color w:val="auto"/>
                <w:sz w:val="24"/>
                <w:szCs w:val="24"/>
              </w:rPr>
              <w:t>3.7.2.1生态环境保护目标</w:t>
            </w:r>
          </w:p>
          <w:p w14:paraId="453A6A1C">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①生态敏感区</w:t>
            </w:r>
          </w:p>
          <w:p w14:paraId="6D05865E">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根据《环境影响评价技术导则 生态影响》（HJ19-2022）中生态敏感区包括法定生态保护区域、重要生境以及其他具有重要生态功能、对保护生物多样性具有重要意义的区域。其中，法定生态保护区域包括：依据法律法规、政策等规范性文件划定或确认的国家公园、自然保护区、自然公园等自然保护地、世界自然遗产、生态保护红线等区域；重要生境包括：重要物种的天然集中分布区、栖息地，重要水生生物的产卵场、索饵场、越冬场和洄游通道，迁徙鸟类的重要繁殖地、停歇地、越冬地以及野生动物迁徙通道等。</w:t>
            </w:r>
          </w:p>
          <w:p w14:paraId="0800A7F5">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项目评价范围内均不涉及重要物种及重要生境，以及其他具有重要生态功能、对保护生物多样性具有重要意义的区域，不涉及占用国家公园、自然保护区、自然公园等自然保护地、世界自然遗产，不涉及基本草原、自然公园（森林公园、地质公园、海洋公园等）、重要湿地，重点保护野生动物栖息地，重点保护野生植物生长繁殖地，重要水生生物的自然产卵场、索饵场、越冬场和洄游通道，天然渔场，沙化土地封禁保护区、封闭及半封闭海域等生态敏感区。</w:t>
            </w:r>
          </w:p>
          <w:p w14:paraId="1C381362">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根据2026年6月22日会泽县林业和草原局关于六合一至乐业变220kV送出线路工程情况说明，会泽县六合一至乐业变220kV送出线路工程不涉及占用自然保护区（地）（包括：自然保护区、自然公园、风景名胜区）。</w:t>
            </w:r>
          </w:p>
          <w:p w14:paraId="2E4C64FA">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②</w:t>
            </w:r>
            <w:r>
              <w:rPr>
                <w:rFonts w:hint="eastAsia" w:ascii="Times New Roman" w:hAnsi="Times New Roman"/>
                <w:b/>
                <w:color w:val="auto"/>
                <w:sz w:val="24"/>
                <w:szCs w:val="24"/>
              </w:rPr>
              <w:t>永久基本农田</w:t>
            </w:r>
          </w:p>
          <w:p w14:paraId="43CAA48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ascii="Times New Roman" w:hAnsi="Times New Roman"/>
                <w:color w:val="auto"/>
                <w:sz w:val="24"/>
                <w:szCs w:val="24"/>
              </w:rPr>
              <w:t>2023年6月23日会泽县自然资源局关于六合一至乐业变220kV送出线路工程查询的情况说明，不涉及占用“三区三线”划定的会泽县生态保护红线，不位于城镇开发边界及中心城区；涉及占用永久基本农田核实处置成果面积237.56平方米，涉及占用“三区三线”划定的耕地保护目标面积1237.53平方米，占用耕地后备资源数据374.55平方米，不在村庄建设边界内。</w:t>
            </w:r>
          </w:p>
          <w:p w14:paraId="5015F953">
            <w:pPr>
              <w:pStyle w:val="80"/>
              <w:snapToGrid w:val="0"/>
              <w:spacing w:line="440" w:lineRule="exact"/>
              <w:ind w:firstLine="480" w:firstLineChars="200"/>
              <w:jc w:val="both"/>
              <w:outlineLvl w:val="9"/>
              <w:rPr>
                <w:rFonts w:ascii="Times New Roman" w:hAnsi="Times New Roman"/>
                <w:b w:val="0"/>
                <w:color w:val="auto"/>
                <w:sz w:val="24"/>
              </w:rPr>
            </w:pPr>
            <w:r>
              <w:rPr>
                <w:rFonts w:hint="eastAsia" w:ascii="Times New Roman" w:hAnsi="Times New Roman"/>
                <w:b w:val="0"/>
                <w:color w:val="auto"/>
                <w:sz w:val="24"/>
              </w:rPr>
              <w:t>位置关系图如下：</w:t>
            </w:r>
          </w:p>
          <w:tbl>
            <w:tblPr>
              <w:tblStyle w:val="27"/>
              <w:tblW w:w="8434" w:type="dxa"/>
              <w:jc w:val="center"/>
              <w:tblLayout w:type="fixed"/>
              <w:tblCellMar>
                <w:top w:w="0" w:type="dxa"/>
                <w:left w:w="108" w:type="dxa"/>
                <w:bottom w:w="0" w:type="dxa"/>
                <w:right w:w="108" w:type="dxa"/>
              </w:tblCellMar>
            </w:tblPr>
            <w:tblGrid>
              <w:gridCol w:w="8434"/>
            </w:tblGrid>
            <w:tr w14:paraId="1678DA80">
              <w:tblPrEx>
                <w:tblCellMar>
                  <w:top w:w="0" w:type="dxa"/>
                  <w:left w:w="108" w:type="dxa"/>
                  <w:bottom w:w="0" w:type="dxa"/>
                  <w:right w:w="108" w:type="dxa"/>
                </w:tblCellMar>
              </w:tblPrEx>
              <w:trPr>
                <w:jc w:val="center"/>
              </w:trPr>
              <w:tc>
                <w:tcPr>
                  <w:tcW w:w="8434" w:type="dxa"/>
                  <w:shd w:val="clear" w:color="auto" w:fill="auto"/>
                  <w:vAlign w:val="center"/>
                </w:tcPr>
                <w:p w14:paraId="760AC6C8">
                  <w:pPr>
                    <w:adjustRightInd w:val="0"/>
                    <w:snapToGrid w:val="0"/>
                    <w:jc w:val="center"/>
                    <w:rPr>
                      <w:rFonts w:ascii="Times New Roman" w:hAnsi="Times New Roman"/>
                      <w:b/>
                      <w:bCs/>
                      <w:color w:val="auto"/>
                      <w:szCs w:val="21"/>
                    </w:rPr>
                  </w:pPr>
                  <w:bookmarkStart w:id="89" w:name="_Toc522"/>
                  <w:r>
                    <w:rPr>
                      <w:rFonts w:ascii="Times New Roman" w:hAnsi="Times New Roman"/>
                      <w:b/>
                      <w:bCs/>
                      <w:color w:val="auto"/>
                      <w:spacing w:val="-9"/>
                      <w:szCs w:val="21"/>
                    </w:rPr>
                    <w:drawing>
                      <wp:inline distT="0" distB="0" distL="114300" distR="114300">
                        <wp:extent cx="5267325" cy="3038475"/>
                        <wp:effectExtent l="0" t="0" r="9525" b="9525"/>
                        <wp:docPr id="95" name="图片 21" descr="d1b9540e7c15118d72e49aaf4788d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1" descr="d1b9540e7c15118d72e49aaf4788dbe4"/>
                                <pic:cNvPicPr>
                                  <a:picLocks noChangeAspect="1"/>
                                </pic:cNvPicPr>
                              </pic:nvPicPr>
                              <pic:blipFill>
                                <a:blip r:embed="rId30"/>
                                <a:stretch>
                                  <a:fillRect/>
                                </a:stretch>
                              </pic:blipFill>
                              <pic:spPr>
                                <a:xfrm>
                                  <a:off x="0" y="0"/>
                                  <a:ext cx="5267325" cy="3038475"/>
                                </a:xfrm>
                                <a:prstGeom prst="rect">
                                  <a:avLst/>
                                </a:prstGeom>
                                <a:noFill/>
                                <a:ln>
                                  <a:noFill/>
                                </a:ln>
                              </pic:spPr>
                            </pic:pic>
                          </a:graphicData>
                        </a:graphic>
                      </wp:inline>
                    </w:drawing>
                  </w:r>
                </w:p>
              </w:tc>
            </w:tr>
            <w:tr w14:paraId="33F9BB64">
              <w:tblPrEx>
                <w:tblCellMar>
                  <w:top w:w="0" w:type="dxa"/>
                  <w:left w:w="108" w:type="dxa"/>
                  <w:bottom w:w="0" w:type="dxa"/>
                  <w:right w:w="108" w:type="dxa"/>
                </w:tblCellMar>
              </w:tblPrEx>
              <w:trPr>
                <w:jc w:val="center"/>
              </w:trPr>
              <w:tc>
                <w:tcPr>
                  <w:tcW w:w="8434" w:type="dxa"/>
                  <w:shd w:val="clear" w:color="auto" w:fill="auto"/>
                  <w:vAlign w:val="center"/>
                </w:tcPr>
                <w:p w14:paraId="35630D15">
                  <w:pPr>
                    <w:adjustRightInd w:val="0"/>
                    <w:snapToGrid w:val="0"/>
                    <w:jc w:val="center"/>
                    <w:rPr>
                      <w:rFonts w:ascii="Times New Roman" w:hAnsi="Times New Roman"/>
                      <w:b/>
                      <w:bCs/>
                      <w:color w:val="auto"/>
                      <w:szCs w:val="21"/>
                    </w:rPr>
                  </w:pPr>
                  <w:r>
                    <w:rPr>
                      <w:rFonts w:ascii="Times New Roman" w:hAnsi="Times New Roman"/>
                      <w:b/>
                      <w:bCs/>
                      <w:color w:val="auto"/>
                      <w:spacing w:val="-5"/>
                      <w:szCs w:val="21"/>
                    </w:rPr>
                    <w:t>N36与永久基本农田保护红线的位置关系图</w:t>
                  </w:r>
                </w:p>
              </w:tc>
            </w:tr>
            <w:bookmarkEnd w:id="89"/>
            <w:tr w14:paraId="48591CD4">
              <w:tblPrEx>
                <w:tblCellMar>
                  <w:top w:w="0" w:type="dxa"/>
                  <w:left w:w="108" w:type="dxa"/>
                  <w:bottom w:w="0" w:type="dxa"/>
                  <w:right w:w="108" w:type="dxa"/>
                </w:tblCellMar>
              </w:tblPrEx>
              <w:trPr>
                <w:jc w:val="center"/>
              </w:trPr>
              <w:tc>
                <w:tcPr>
                  <w:tcW w:w="8434" w:type="dxa"/>
                  <w:shd w:val="clear" w:color="auto" w:fill="auto"/>
                  <w:vAlign w:val="center"/>
                </w:tcPr>
                <w:p w14:paraId="0E96C03A">
                  <w:pPr>
                    <w:adjustRightInd w:val="0"/>
                    <w:snapToGrid w:val="0"/>
                    <w:jc w:val="center"/>
                    <w:rPr>
                      <w:rFonts w:ascii="Times New Roman" w:hAnsi="Times New Roman"/>
                      <w:b/>
                      <w:bCs/>
                      <w:color w:val="auto"/>
                      <w:szCs w:val="21"/>
                    </w:rPr>
                  </w:pPr>
                  <w:r>
                    <w:rPr>
                      <w:rFonts w:ascii="Times New Roman" w:hAnsi="Times New Roman"/>
                      <w:b/>
                      <w:bCs/>
                      <w:color w:val="auto"/>
                      <w:szCs w:val="21"/>
                    </w:rPr>
                    <w:drawing>
                      <wp:inline distT="0" distB="0" distL="114300" distR="114300">
                        <wp:extent cx="5267325" cy="3003550"/>
                        <wp:effectExtent l="0" t="0" r="9525" b="6350"/>
                        <wp:docPr id="96" name="图片 22" descr="eff0cd1b14fa49460e1c2ddcbeb1b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2" descr="eff0cd1b14fa49460e1c2ddcbeb1b710"/>
                                <pic:cNvPicPr>
                                  <a:picLocks noChangeAspect="1"/>
                                </pic:cNvPicPr>
                              </pic:nvPicPr>
                              <pic:blipFill>
                                <a:blip r:embed="rId31"/>
                                <a:stretch>
                                  <a:fillRect/>
                                </a:stretch>
                              </pic:blipFill>
                              <pic:spPr>
                                <a:xfrm>
                                  <a:off x="0" y="0"/>
                                  <a:ext cx="5267325" cy="3003550"/>
                                </a:xfrm>
                                <a:prstGeom prst="rect">
                                  <a:avLst/>
                                </a:prstGeom>
                                <a:noFill/>
                                <a:ln>
                                  <a:noFill/>
                                </a:ln>
                              </pic:spPr>
                            </pic:pic>
                          </a:graphicData>
                        </a:graphic>
                      </wp:inline>
                    </w:drawing>
                  </w:r>
                </w:p>
              </w:tc>
            </w:tr>
            <w:tr w14:paraId="15ED000F">
              <w:tblPrEx>
                <w:tblCellMar>
                  <w:top w:w="0" w:type="dxa"/>
                  <w:left w:w="108" w:type="dxa"/>
                  <w:bottom w:w="0" w:type="dxa"/>
                  <w:right w:w="108" w:type="dxa"/>
                </w:tblCellMar>
              </w:tblPrEx>
              <w:trPr>
                <w:jc w:val="center"/>
              </w:trPr>
              <w:tc>
                <w:tcPr>
                  <w:tcW w:w="8434" w:type="dxa"/>
                  <w:shd w:val="clear" w:color="auto" w:fill="auto"/>
                  <w:vAlign w:val="center"/>
                </w:tcPr>
                <w:p w14:paraId="1DB3CDDB">
                  <w:pPr>
                    <w:adjustRightInd w:val="0"/>
                    <w:snapToGrid w:val="0"/>
                    <w:jc w:val="center"/>
                    <w:rPr>
                      <w:rFonts w:ascii="Times New Roman" w:hAnsi="Times New Roman"/>
                      <w:b/>
                      <w:bCs/>
                      <w:color w:val="auto"/>
                      <w:szCs w:val="21"/>
                    </w:rPr>
                  </w:pPr>
                  <w:r>
                    <w:rPr>
                      <w:rFonts w:ascii="Times New Roman" w:hAnsi="Times New Roman"/>
                      <w:b/>
                      <w:bCs/>
                      <w:color w:val="auto"/>
                      <w:spacing w:val="-5"/>
                      <w:szCs w:val="21"/>
                    </w:rPr>
                    <w:t>N58、N59与永久基本农田保护红线的位置关系图</w:t>
                  </w:r>
                </w:p>
              </w:tc>
            </w:tr>
          </w:tbl>
          <w:p w14:paraId="40280D73">
            <w:pPr>
              <w:adjustRightInd w:val="0"/>
              <w:snapToGrid w:val="0"/>
              <w:jc w:val="center"/>
              <w:rPr>
                <w:rFonts w:ascii="Times New Roman" w:hAnsi="Times New Roman"/>
                <w:b/>
                <w:bCs/>
                <w:color w:val="auto"/>
                <w:sz w:val="24"/>
                <w:szCs w:val="24"/>
              </w:rPr>
            </w:pPr>
            <w:r>
              <w:rPr>
                <w:rFonts w:hint="eastAsia" w:ascii="Times New Roman" w:hAnsi="Times New Roman"/>
                <w:b/>
                <w:bCs/>
                <w:color w:val="auto"/>
                <w:sz w:val="24"/>
                <w:szCs w:val="24"/>
              </w:rPr>
              <w:t>图3-5  项目占用永久基本农田保护红线的位置关系图</w:t>
            </w:r>
          </w:p>
          <w:p w14:paraId="5B98D1FD">
            <w:pPr>
              <w:pStyle w:val="80"/>
              <w:snapToGrid w:val="0"/>
              <w:spacing w:line="440" w:lineRule="exact"/>
              <w:ind w:firstLine="482" w:firstLineChars="200"/>
              <w:jc w:val="both"/>
              <w:outlineLvl w:val="9"/>
              <w:rPr>
                <w:rFonts w:ascii="Times New Roman" w:hAnsi="Times New Roman"/>
                <w:color w:val="auto"/>
                <w:sz w:val="24"/>
              </w:rPr>
            </w:pPr>
            <w:r>
              <w:rPr>
                <w:rFonts w:ascii="Times New Roman" w:hAnsi="Times New Roman"/>
                <w:color w:val="auto"/>
                <w:sz w:val="24"/>
              </w:rPr>
              <w:t>③</w:t>
            </w:r>
            <w:r>
              <w:rPr>
                <w:rFonts w:hint="eastAsia" w:ascii="Times New Roman" w:hAnsi="Times New Roman"/>
                <w:color w:val="auto"/>
                <w:sz w:val="24"/>
              </w:rPr>
              <w:t>公益林</w:t>
            </w:r>
          </w:p>
          <w:p w14:paraId="10BCAF4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根据管理部门意见及林业调查数据结果，项目不涉及占用国家一级公益林和国家二级公益林。但线路涉及占用省级公益林0.02445hm²</w:t>
            </w:r>
            <w:r>
              <w:rPr>
                <w:rFonts w:hint="eastAsia" w:ascii="Times New Roman" w:hAnsi="Times New Roman"/>
                <w:color w:val="auto"/>
                <w:sz w:val="24"/>
                <w:szCs w:val="24"/>
              </w:rPr>
              <w:t>，</w:t>
            </w:r>
            <w:r>
              <w:rPr>
                <w:rFonts w:ascii="Times New Roman" w:hAnsi="Times New Roman"/>
                <w:color w:val="auto"/>
                <w:sz w:val="24"/>
                <w:szCs w:val="24"/>
              </w:rPr>
              <w:t>其中塔基N19、N43、N44、N45、N46、N56共6个塔基占用省级公益林，主要功能为水土保持。</w:t>
            </w:r>
          </w:p>
          <w:p w14:paraId="319C0A02">
            <w:pPr>
              <w:adjustRightInd w:val="0"/>
              <w:snapToGrid w:val="0"/>
              <w:jc w:val="center"/>
              <w:rPr>
                <w:rFonts w:ascii="Times New Roman" w:hAnsi="Times New Roman"/>
                <w:b/>
                <w:bCs/>
                <w:color w:val="auto"/>
                <w:sz w:val="24"/>
                <w:szCs w:val="24"/>
              </w:rPr>
            </w:pPr>
            <w:r>
              <w:rPr>
                <w:rFonts w:hint="eastAsia" w:ascii="Times New Roman" w:hAnsi="Times New Roman"/>
                <w:b/>
                <w:bCs/>
                <w:color w:val="auto"/>
                <w:sz w:val="24"/>
                <w:szCs w:val="24"/>
              </w:rPr>
              <w:t>表3-30  生态环境保护目标一览表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390"/>
              <w:gridCol w:w="1741"/>
              <w:gridCol w:w="1114"/>
            </w:tblGrid>
            <w:tr w14:paraId="53FD5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l2br w:val="nil"/>
                    <w:tr2bl w:val="nil"/>
                  </w:tcBorders>
                  <w:shd w:val="clear" w:color="auto" w:fill="auto"/>
                  <w:vAlign w:val="center"/>
                </w:tcPr>
                <w:p w14:paraId="4A38CDCF">
                  <w:pPr>
                    <w:adjustRightInd w:val="0"/>
                    <w:snapToGrid w:val="0"/>
                    <w:jc w:val="center"/>
                    <w:rPr>
                      <w:rFonts w:ascii="Times New Roman" w:hAnsi="Times New Roman"/>
                      <w:b/>
                      <w:bCs/>
                      <w:color w:val="auto"/>
                      <w:szCs w:val="21"/>
                    </w:rPr>
                  </w:pPr>
                  <w:r>
                    <w:rPr>
                      <w:rFonts w:ascii="Times New Roman" w:hAnsi="Times New Roman"/>
                      <w:b/>
                      <w:bCs/>
                      <w:color w:val="auto"/>
                      <w:szCs w:val="21"/>
                    </w:rPr>
                    <w:t>保护目标</w:t>
                  </w:r>
                </w:p>
              </w:tc>
              <w:tc>
                <w:tcPr>
                  <w:tcW w:w="2603" w:type="pct"/>
                  <w:tcBorders>
                    <w:tl2br w:val="nil"/>
                    <w:tr2bl w:val="nil"/>
                  </w:tcBorders>
                  <w:shd w:val="clear" w:color="auto" w:fill="auto"/>
                  <w:vAlign w:val="center"/>
                </w:tcPr>
                <w:p w14:paraId="003C6B4D">
                  <w:pPr>
                    <w:adjustRightInd w:val="0"/>
                    <w:snapToGrid w:val="0"/>
                    <w:jc w:val="center"/>
                    <w:rPr>
                      <w:rFonts w:ascii="Times New Roman" w:hAnsi="Times New Roman"/>
                      <w:b/>
                      <w:bCs/>
                      <w:color w:val="auto"/>
                      <w:szCs w:val="21"/>
                    </w:rPr>
                  </w:pPr>
                  <w:r>
                    <w:rPr>
                      <w:rFonts w:ascii="Times New Roman" w:hAnsi="Times New Roman"/>
                      <w:b/>
                      <w:bCs/>
                      <w:color w:val="auto"/>
                      <w:szCs w:val="21"/>
                    </w:rPr>
                    <w:t>主要保护内容及对象</w:t>
                  </w:r>
                </w:p>
              </w:tc>
              <w:tc>
                <w:tcPr>
                  <w:tcW w:w="1032" w:type="pct"/>
                  <w:tcBorders>
                    <w:tl2br w:val="nil"/>
                    <w:tr2bl w:val="nil"/>
                  </w:tcBorders>
                  <w:shd w:val="clear" w:color="auto" w:fill="auto"/>
                  <w:vAlign w:val="center"/>
                </w:tcPr>
                <w:p w14:paraId="28ED0812">
                  <w:pPr>
                    <w:adjustRightInd w:val="0"/>
                    <w:snapToGrid w:val="0"/>
                    <w:jc w:val="center"/>
                    <w:rPr>
                      <w:rFonts w:ascii="Times New Roman" w:hAnsi="Times New Roman"/>
                      <w:b/>
                      <w:bCs/>
                      <w:color w:val="auto"/>
                      <w:szCs w:val="21"/>
                    </w:rPr>
                  </w:pPr>
                  <w:r>
                    <w:rPr>
                      <w:rFonts w:ascii="Times New Roman" w:hAnsi="Times New Roman"/>
                      <w:b/>
                      <w:bCs/>
                      <w:color w:val="auto"/>
                      <w:szCs w:val="21"/>
                    </w:rPr>
                    <w:t>位置关系</w:t>
                  </w:r>
                </w:p>
              </w:tc>
              <w:tc>
                <w:tcPr>
                  <w:tcW w:w="661" w:type="pct"/>
                  <w:tcBorders>
                    <w:tl2br w:val="nil"/>
                    <w:tr2bl w:val="nil"/>
                  </w:tcBorders>
                  <w:shd w:val="clear" w:color="auto" w:fill="auto"/>
                  <w:vAlign w:val="center"/>
                </w:tcPr>
                <w:p w14:paraId="285B5CA1">
                  <w:pPr>
                    <w:adjustRightInd w:val="0"/>
                    <w:snapToGrid w:val="0"/>
                    <w:jc w:val="center"/>
                    <w:rPr>
                      <w:rFonts w:ascii="Times New Roman" w:hAnsi="Times New Roman"/>
                      <w:b/>
                      <w:bCs/>
                      <w:color w:val="auto"/>
                      <w:szCs w:val="21"/>
                    </w:rPr>
                  </w:pPr>
                  <w:r>
                    <w:rPr>
                      <w:rFonts w:ascii="Times New Roman" w:hAnsi="Times New Roman"/>
                      <w:b/>
                      <w:bCs/>
                      <w:color w:val="auto"/>
                      <w:szCs w:val="21"/>
                    </w:rPr>
                    <w:t>保护要求</w:t>
                  </w:r>
                </w:p>
              </w:tc>
            </w:tr>
            <w:tr w14:paraId="11B57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l2br w:val="nil"/>
                    <w:tr2bl w:val="nil"/>
                  </w:tcBorders>
                  <w:shd w:val="clear" w:color="auto" w:fill="auto"/>
                  <w:vAlign w:val="center"/>
                </w:tcPr>
                <w:p w14:paraId="38E451DD">
                  <w:pPr>
                    <w:adjustRightInd w:val="0"/>
                    <w:snapToGrid w:val="0"/>
                    <w:jc w:val="center"/>
                    <w:rPr>
                      <w:rFonts w:ascii="Times New Roman" w:hAnsi="Times New Roman"/>
                      <w:color w:val="auto"/>
                      <w:szCs w:val="21"/>
                    </w:rPr>
                  </w:pPr>
                  <w:r>
                    <w:rPr>
                      <w:rFonts w:ascii="Times New Roman" w:hAnsi="Times New Roman"/>
                      <w:color w:val="auto"/>
                      <w:szCs w:val="21"/>
                    </w:rPr>
                    <w:t>自然植被</w:t>
                  </w:r>
                </w:p>
              </w:tc>
              <w:tc>
                <w:tcPr>
                  <w:tcW w:w="2603" w:type="pct"/>
                  <w:tcBorders>
                    <w:tl2br w:val="nil"/>
                    <w:tr2bl w:val="nil"/>
                  </w:tcBorders>
                  <w:shd w:val="clear" w:color="auto" w:fill="auto"/>
                  <w:vAlign w:val="center"/>
                </w:tcPr>
                <w:p w14:paraId="2A25643A">
                  <w:pPr>
                    <w:adjustRightInd w:val="0"/>
                    <w:snapToGrid w:val="0"/>
                    <w:jc w:val="center"/>
                    <w:rPr>
                      <w:rFonts w:ascii="Times New Roman" w:hAnsi="Times New Roman"/>
                      <w:color w:val="auto"/>
                      <w:szCs w:val="21"/>
                    </w:rPr>
                  </w:pPr>
                  <w:r>
                    <w:rPr>
                      <w:rFonts w:ascii="Times New Roman" w:hAnsi="Times New Roman"/>
                      <w:color w:val="auto"/>
                      <w:szCs w:val="21"/>
                    </w:rPr>
                    <w:t>自然植被：暖温性针叶林、暖温性稀树灌草丛和暖性石灰岩灌丛、人工植被等</w:t>
                  </w:r>
                </w:p>
              </w:tc>
              <w:tc>
                <w:tcPr>
                  <w:tcW w:w="1032" w:type="pct"/>
                  <w:vMerge w:val="restart"/>
                  <w:tcBorders>
                    <w:tl2br w:val="nil"/>
                    <w:tr2bl w:val="nil"/>
                  </w:tcBorders>
                  <w:shd w:val="clear" w:color="auto" w:fill="auto"/>
                  <w:vAlign w:val="center"/>
                </w:tcPr>
                <w:p w14:paraId="7782CFD8">
                  <w:pPr>
                    <w:adjustRightInd w:val="0"/>
                    <w:snapToGrid w:val="0"/>
                    <w:jc w:val="center"/>
                    <w:rPr>
                      <w:rFonts w:ascii="Times New Roman" w:hAnsi="Times New Roman"/>
                      <w:color w:val="auto"/>
                      <w:szCs w:val="21"/>
                    </w:rPr>
                  </w:pPr>
                  <w:r>
                    <w:rPr>
                      <w:rFonts w:ascii="Times New Roman" w:hAnsi="Times New Roman"/>
                      <w:color w:val="auto"/>
                      <w:szCs w:val="21"/>
                    </w:rPr>
                    <w:t>全线，线路两侧各300m内的范围</w:t>
                  </w:r>
                </w:p>
              </w:tc>
              <w:tc>
                <w:tcPr>
                  <w:tcW w:w="661" w:type="pct"/>
                  <w:vMerge w:val="restart"/>
                  <w:tcBorders>
                    <w:tl2br w:val="nil"/>
                    <w:tr2bl w:val="nil"/>
                  </w:tcBorders>
                  <w:shd w:val="clear" w:color="auto" w:fill="auto"/>
                  <w:vAlign w:val="center"/>
                </w:tcPr>
                <w:p w14:paraId="706C9C4F">
                  <w:pPr>
                    <w:adjustRightInd w:val="0"/>
                    <w:snapToGrid w:val="0"/>
                    <w:jc w:val="center"/>
                    <w:rPr>
                      <w:rFonts w:ascii="Times New Roman" w:hAnsi="Times New Roman"/>
                      <w:color w:val="auto"/>
                      <w:szCs w:val="21"/>
                    </w:rPr>
                  </w:pPr>
                  <w:r>
                    <w:rPr>
                      <w:rFonts w:ascii="Times New Roman" w:hAnsi="Times New Roman"/>
                      <w:color w:val="auto"/>
                      <w:szCs w:val="21"/>
                    </w:rPr>
                    <w:t>保持生态系统稳定性和完整性，保护评价区内植物资源、生物多样性</w:t>
                  </w:r>
                </w:p>
              </w:tc>
            </w:tr>
            <w:tr w14:paraId="2FAEB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l2br w:val="nil"/>
                    <w:tr2bl w:val="nil"/>
                  </w:tcBorders>
                  <w:shd w:val="clear" w:color="auto" w:fill="auto"/>
                  <w:vAlign w:val="center"/>
                </w:tcPr>
                <w:p w14:paraId="79048556">
                  <w:pPr>
                    <w:adjustRightInd w:val="0"/>
                    <w:snapToGrid w:val="0"/>
                    <w:jc w:val="center"/>
                    <w:rPr>
                      <w:rFonts w:ascii="Times New Roman" w:hAnsi="Times New Roman"/>
                      <w:color w:val="auto"/>
                      <w:szCs w:val="21"/>
                    </w:rPr>
                  </w:pPr>
                  <w:r>
                    <w:rPr>
                      <w:rFonts w:ascii="Times New Roman" w:hAnsi="Times New Roman"/>
                      <w:color w:val="auto"/>
                      <w:szCs w:val="21"/>
                    </w:rPr>
                    <w:t>维管束植物</w:t>
                  </w:r>
                </w:p>
              </w:tc>
              <w:tc>
                <w:tcPr>
                  <w:tcW w:w="2603" w:type="pct"/>
                  <w:tcBorders>
                    <w:tl2br w:val="nil"/>
                    <w:tr2bl w:val="nil"/>
                  </w:tcBorders>
                  <w:shd w:val="clear" w:color="auto" w:fill="auto"/>
                  <w:vAlign w:val="center"/>
                </w:tcPr>
                <w:p w14:paraId="3D7C3A84">
                  <w:pPr>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野生维管植物资源（4</w:t>
                  </w:r>
                  <w:r>
                    <w:rPr>
                      <w:rFonts w:hint="eastAsia" w:ascii="Times New Roman" w:hAnsi="Times New Roman"/>
                      <w:color w:val="auto"/>
                      <w:szCs w:val="21"/>
                      <w:lang w:val="en-US" w:eastAsia="zh-CN"/>
                    </w:rPr>
                    <w:t>69</w:t>
                  </w:r>
                  <w:r>
                    <w:rPr>
                      <w:rFonts w:ascii="Times New Roman" w:hAnsi="Times New Roman"/>
                      <w:color w:val="auto"/>
                      <w:szCs w:val="21"/>
                    </w:rPr>
                    <w:t>种），隶属于10</w:t>
                  </w:r>
                  <w:r>
                    <w:rPr>
                      <w:rFonts w:hint="eastAsia" w:ascii="Times New Roman" w:hAnsi="Times New Roman"/>
                      <w:color w:val="auto"/>
                      <w:szCs w:val="21"/>
                      <w:lang w:val="en-US" w:eastAsia="zh-CN"/>
                    </w:rPr>
                    <w:t>2</w:t>
                  </w:r>
                  <w:r>
                    <w:rPr>
                      <w:rFonts w:ascii="Times New Roman" w:hAnsi="Times New Roman"/>
                      <w:color w:val="auto"/>
                      <w:szCs w:val="21"/>
                    </w:rPr>
                    <w:t>科、3</w:t>
                  </w:r>
                  <w:r>
                    <w:rPr>
                      <w:rFonts w:hint="eastAsia" w:ascii="Times New Roman" w:hAnsi="Times New Roman"/>
                      <w:color w:val="auto"/>
                      <w:szCs w:val="21"/>
                      <w:lang w:val="en-US" w:eastAsia="zh-CN"/>
                    </w:rPr>
                    <w:t>35</w:t>
                  </w:r>
                  <w:r>
                    <w:rPr>
                      <w:rFonts w:ascii="Times New Roman" w:hAnsi="Times New Roman"/>
                      <w:color w:val="auto"/>
                      <w:szCs w:val="21"/>
                    </w:rPr>
                    <w:t>属。</w:t>
                  </w:r>
                  <w:r>
                    <w:rPr>
                      <w:rFonts w:ascii="Times New Roman" w:hAnsi="Times New Roman"/>
                      <w:color w:val="auto"/>
                      <w:szCs w:val="21"/>
                      <w:lang w:val="zh-CN"/>
                    </w:rPr>
                    <w:t>其中蕨类植物有</w:t>
                  </w:r>
                  <w:r>
                    <w:rPr>
                      <w:rFonts w:ascii="Times New Roman" w:hAnsi="Times New Roman"/>
                      <w:color w:val="auto"/>
                      <w:szCs w:val="21"/>
                    </w:rPr>
                    <w:t>11</w:t>
                  </w:r>
                  <w:r>
                    <w:rPr>
                      <w:rFonts w:ascii="Times New Roman" w:hAnsi="Times New Roman"/>
                      <w:color w:val="auto"/>
                      <w:szCs w:val="21"/>
                      <w:lang w:val="zh-CN"/>
                    </w:rPr>
                    <w:t>科、</w:t>
                  </w:r>
                  <w:r>
                    <w:rPr>
                      <w:rFonts w:ascii="Times New Roman" w:hAnsi="Times New Roman"/>
                      <w:color w:val="auto"/>
                      <w:szCs w:val="21"/>
                    </w:rPr>
                    <w:t>15</w:t>
                  </w:r>
                  <w:r>
                    <w:rPr>
                      <w:rFonts w:ascii="Times New Roman" w:hAnsi="Times New Roman"/>
                      <w:color w:val="auto"/>
                      <w:szCs w:val="21"/>
                      <w:lang w:val="zh-CN"/>
                    </w:rPr>
                    <w:t>属、</w:t>
                  </w:r>
                  <w:r>
                    <w:rPr>
                      <w:rFonts w:ascii="Times New Roman" w:hAnsi="Times New Roman"/>
                      <w:color w:val="auto"/>
                      <w:szCs w:val="21"/>
                    </w:rPr>
                    <w:t>19</w:t>
                  </w:r>
                  <w:r>
                    <w:rPr>
                      <w:rFonts w:ascii="Times New Roman" w:hAnsi="Times New Roman"/>
                      <w:color w:val="auto"/>
                      <w:szCs w:val="21"/>
                      <w:lang w:val="zh-CN"/>
                    </w:rPr>
                    <w:t>种；裸子植物有3科、4属、5种；被子植物有</w:t>
                  </w:r>
                  <w:r>
                    <w:rPr>
                      <w:rFonts w:ascii="Times New Roman" w:hAnsi="Times New Roman"/>
                      <w:color w:val="auto"/>
                      <w:szCs w:val="21"/>
                    </w:rPr>
                    <w:t>88</w:t>
                  </w:r>
                  <w:r>
                    <w:rPr>
                      <w:rFonts w:ascii="Times New Roman" w:hAnsi="Times New Roman"/>
                      <w:color w:val="auto"/>
                      <w:szCs w:val="21"/>
                      <w:lang w:val="zh-CN"/>
                    </w:rPr>
                    <w:t>科、316属、445种</w:t>
                  </w:r>
                  <w:r>
                    <w:rPr>
                      <w:rFonts w:ascii="Times New Roman" w:hAnsi="Times New Roman"/>
                      <w:color w:val="auto"/>
                      <w:szCs w:val="21"/>
                    </w:rPr>
                    <w:t>。未发现国家级、云南省级保护野生植物。</w:t>
                  </w:r>
                </w:p>
              </w:tc>
              <w:tc>
                <w:tcPr>
                  <w:tcW w:w="1032" w:type="pct"/>
                  <w:vMerge w:val="continue"/>
                  <w:tcBorders>
                    <w:tl2br w:val="nil"/>
                    <w:tr2bl w:val="nil"/>
                  </w:tcBorders>
                  <w:shd w:val="clear" w:color="auto" w:fill="auto"/>
                  <w:vAlign w:val="center"/>
                </w:tcPr>
                <w:p w14:paraId="61DDA09C">
                  <w:pPr>
                    <w:adjustRightInd w:val="0"/>
                    <w:snapToGrid w:val="0"/>
                    <w:jc w:val="center"/>
                    <w:rPr>
                      <w:rFonts w:ascii="Times New Roman" w:hAnsi="Times New Roman"/>
                      <w:color w:val="auto"/>
                      <w:szCs w:val="21"/>
                    </w:rPr>
                  </w:pPr>
                </w:p>
              </w:tc>
              <w:tc>
                <w:tcPr>
                  <w:tcW w:w="661" w:type="pct"/>
                  <w:vMerge w:val="continue"/>
                  <w:tcBorders>
                    <w:tl2br w:val="nil"/>
                    <w:tr2bl w:val="nil"/>
                  </w:tcBorders>
                  <w:shd w:val="clear" w:color="auto" w:fill="auto"/>
                  <w:vAlign w:val="center"/>
                </w:tcPr>
                <w:p w14:paraId="0E676587">
                  <w:pPr>
                    <w:adjustRightInd w:val="0"/>
                    <w:snapToGrid w:val="0"/>
                    <w:jc w:val="center"/>
                    <w:rPr>
                      <w:rFonts w:ascii="Times New Roman" w:hAnsi="Times New Roman"/>
                      <w:color w:val="auto"/>
                      <w:szCs w:val="21"/>
                    </w:rPr>
                  </w:pPr>
                </w:p>
              </w:tc>
            </w:tr>
            <w:tr w14:paraId="24746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l2br w:val="nil"/>
                    <w:tr2bl w:val="nil"/>
                  </w:tcBorders>
                  <w:shd w:val="clear" w:color="auto" w:fill="auto"/>
                  <w:vAlign w:val="center"/>
                </w:tcPr>
                <w:p w14:paraId="5BF922A8">
                  <w:pPr>
                    <w:adjustRightInd w:val="0"/>
                    <w:snapToGrid w:val="0"/>
                    <w:jc w:val="center"/>
                    <w:rPr>
                      <w:rFonts w:ascii="Times New Roman" w:hAnsi="Times New Roman"/>
                      <w:color w:val="auto"/>
                      <w:szCs w:val="21"/>
                    </w:rPr>
                  </w:pPr>
                  <w:r>
                    <w:rPr>
                      <w:rFonts w:ascii="Times New Roman" w:hAnsi="Times New Roman"/>
                      <w:color w:val="auto"/>
                      <w:szCs w:val="21"/>
                    </w:rPr>
                    <w:t>陆生脊椎动物</w:t>
                  </w:r>
                </w:p>
              </w:tc>
              <w:tc>
                <w:tcPr>
                  <w:tcW w:w="2603" w:type="pct"/>
                  <w:tcBorders>
                    <w:tl2br w:val="nil"/>
                    <w:tr2bl w:val="nil"/>
                  </w:tcBorders>
                  <w:shd w:val="clear" w:color="auto" w:fill="auto"/>
                  <w:vAlign w:val="center"/>
                </w:tcPr>
                <w:p w14:paraId="7FB365F6">
                  <w:pPr>
                    <w:adjustRightInd w:val="0"/>
                    <w:snapToGrid w:val="0"/>
                    <w:jc w:val="center"/>
                    <w:rPr>
                      <w:rFonts w:ascii="Times New Roman" w:hAnsi="Times New Roman"/>
                      <w:color w:val="auto"/>
                      <w:szCs w:val="21"/>
                      <w:highlight w:val="yellow"/>
                    </w:rPr>
                  </w:pPr>
                  <w:r>
                    <w:rPr>
                      <w:rFonts w:ascii="Times New Roman" w:hAnsi="Times New Roman"/>
                      <w:bCs/>
                      <w:color w:val="auto"/>
                      <w:kern w:val="0"/>
                      <w:szCs w:val="21"/>
                      <w:lang w:val="zh-CN"/>
                    </w:rPr>
                    <w:t>野生动物</w:t>
                  </w:r>
                  <w:r>
                    <w:rPr>
                      <w:rFonts w:hint="eastAsia" w:ascii="Times New Roman" w:hAnsi="Times New Roman"/>
                      <w:bCs/>
                      <w:color w:val="auto"/>
                      <w:kern w:val="0"/>
                      <w:szCs w:val="21"/>
                      <w:lang w:val="en-US" w:eastAsia="zh-CN"/>
                    </w:rPr>
                    <w:t>72</w:t>
                  </w:r>
                  <w:r>
                    <w:rPr>
                      <w:rFonts w:hint="eastAsia" w:ascii="Times New Roman" w:hAnsi="Times New Roman"/>
                      <w:bCs/>
                      <w:color w:val="auto"/>
                      <w:kern w:val="0"/>
                      <w:szCs w:val="21"/>
                    </w:rPr>
                    <w:t>种</w:t>
                  </w:r>
                  <w:r>
                    <w:rPr>
                      <w:rFonts w:ascii="Times New Roman" w:hAnsi="Times New Roman"/>
                      <w:bCs/>
                      <w:color w:val="auto"/>
                      <w:kern w:val="0"/>
                      <w:szCs w:val="21"/>
                      <w:lang w:val="zh-CN"/>
                    </w:rPr>
                    <w:t>，其中两栖类</w:t>
                  </w:r>
                  <w:r>
                    <w:rPr>
                      <w:rFonts w:hint="eastAsia" w:ascii="Times New Roman" w:hAnsi="Times New Roman"/>
                      <w:bCs/>
                      <w:color w:val="auto"/>
                      <w:kern w:val="0"/>
                      <w:szCs w:val="21"/>
                      <w:lang w:val="en-US" w:eastAsia="zh-CN"/>
                    </w:rPr>
                    <w:t>6</w:t>
                  </w:r>
                  <w:r>
                    <w:rPr>
                      <w:rFonts w:ascii="Times New Roman" w:hAnsi="Times New Roman"/>
                      <w:bCs/>
                      <w:color w:val="auto"/>
                      <w:kern w:val="0"/>
                      <w:szCs w:val="21"/>
                      <w:lang w:val="zh-CN"/>
                    </w:rPr>
                    <w:t>种，爬行动物</w:t>
                  </w:r>
                  <w:r>
                    <w:rPr>
                      <w:rFonts w:hint="eastAsia" w:ascii="Times New Roman" w:hAnsi="Times New Roman"/>
                      <w:bCs/>
                      <w:color w:val="auto"/>
                      <w:kern w:val="0"/>
                      <w:szCs w:val="21"/>
                      <w:lang w:val="en-US" w:eastAsia="zh-CN"/>
                    </w:rPr>
                    <w:t>5</w:t>
                  </w:r>
                  <w:r>
                    <w:rPr>
                      <w:rFonts w:ascii="Times New Roman" w:hAnsi="Times New Roman"/>
                      <w:bCs/>
                      <w:color w:val="auto"/>
                      <w:kern w:val="0"/>
                      <w:szCs w:val="21"/>
                      <w:lang w:val="zh-CN"/>
                    </w:rPr>
                    <w:t>种，鸟类</w:t>
                  </w:r>
                  <w:r>
                    <w:rPr>
                      <w:rFonts w:ascii="Times New Roman" w:hAnsi="Times New Roman"/>
                      <w:bCs/>
                      <w:color w:val="auto"/>
                      <w:kern w:val="0"/>
                      <w:szCs w:val="21"/>
                    </w:rPr>
                    <w:t>51</w:t>
                  </w:r>
                  <w:r>
                    <w:rPr>
                      <w:rFonts w:ascii="Times New Roman" w:hAnsi="Times New Roman"/>
                      <w:bCs/>
                      <w:color w:val="auto"/>
                      <w:kern w:val="0"/>
                      <w:szCs w:val="21"/>
                      <w:lang w:val="zh-CN"/>
                    </w:rPr>
                    <w:t>种，哺乳类</w:t>
                  </w:r>
                  <w:r>
                    <w:rPr>
                      <w:rFonts w:ascii="Times New Roman" w:hAnsi="Times New Roman"/>
                      <w:bCs/>
                      <w:color w:val="auto"/>
                      <w:kern w:val="0"/>
                      <w:szCs w:val="21"/>
                    </w:rPr>
                    <w:t>10种</w:t>
                  </w:r>
                  <w:r>
                    <w:rPr>
                      <w:rFonts w:ascii="Times New Roman" w:hAnsi="Times New Roman"/>
                      <w:bCs/>
                      <w:color w:val="auto"/>
                      <w:kern w:val="0"/>
                      <w:szCs w:val="21"/>
                      <w:lang w:val="zh-CN"/>
                    </w:rPr>
                    <w:t>。</w:t>
                  </w:r>
                  <w:r>
                    <w:rPr>
                      <w:rFonts w:ascii="Times New Roman" w:hAnsi="Times New Roman"/>
                      <w:bCs/>
                      <w:color w:val="auto"/>
                      <w:kern w:val="0"/>
                      <w:szCs w:val="21"/>
                    </w:rPr>
                    <w:t>其中</w:t>
                  </w:r>
                  <w:r>
                    <w:rPr>
                      <w:rFonts w:hint="eastAsia" w:ascii="Times New Roman" w:hAnsi="Times New Roman"/>
                      <w:bCs/>
                      <w:color w:val="auto"/>
                      <w:kern w:val="0"/>
                      <w:szCs w:val="21"/>
                      <w:lang w:val="en-US" w:eastAsia="zh-CN"/>
                    </w:rPr>
                    <w:t>5</w:t>
                  </w:r>
                  <w:r>
                    <w:rPr>
                      <w:rFonts w:ascii="Times New Roman" w:hAnsi="Times New Roman"/>
                      <w:bCs/>
                      <w:color w:val="auto"/>
                      <w:kern w:val="0"/>
                      <w:szCs w:val="21"/>
                    </w:rPr>
                    <w:t>种国家</w:t>
                  </w:r>
                  <w:r>
                    <w:rPr>
                      <w:rFonts w:hint="eastAsia" w:ascii="Times New Roman" w:hAnsi="Times New Roman"/>
                      <w:bCs/>
                      <w:color w:val="auto"/>
                      <w:kern w:val="0"/>
                      <w:szCs w:val="21"/>
                    </w:rPr>
                    <w:t>Ⅱ级</w:t>
                  </w:r>
                  <w:r>
                    <w:rPr>
                      <w:rFonts w:ascii="Times New Roman" w:hAnsi="Times New Roman"/>
                      <w:bCs/>
                      <w:color w:val="auto"/>
                      <w:kern w:val="0"/>
                      <w:szCs w:val="21"/>
                    </w:rPr>
                    <w:t>重点保护野生动物，鸟类</w:t>
                  </w:r>
                  <w:r>
                    <w:rPr>
                      <w:rFonts w:hint="eastAsia" w:ascii="Times New Roman" w:hAnsi="Times New Roman"/>
                      <w:bCs/>
                      <w:color w:val="auto"/>
                      <w:kern w:val="0"/>
                      <w:szCs w:val="21"/>
                      <w:lang w:val="en-US" w:eastAsia="zh-CN"/>
                    </w:rPr>
                    <w:t>4</w:t>
                  </w:r>
                  <w:r>
                    <w:rPr>
                      <w:rFonts w:ascii="Times New Roman" w:hAnsi="Times New Roman"/>
                      <w:bCs/>
                      <w:color w:val="auto"/>
                      <w:kern w:val="0"/>
                      <w:szCs w:val="21"/>
                    </w:rPr>
                    <w:t>种，松雀鹰、红隼、普通鵟</w:t>
                  </w:r>
                  <w:r>
                    <w:rPr>
                      <w:rFonts w:hint="eastAsia" w:ascii="Times New Roman" w:hAnsi="Times New Roman"/>
                      <w:bCs/>
                      <w:color w:val="auto"/>
                      <w:kern w:val="0"/>
                      <w:szCs w:val="21"/>
                      <w:lang w:eastAsia="zh-CN"/>
                    </w:rPr>
                    <w:t>、</w:t>
                  </w:r>
                  <w:r>
                    <w:rPr>
                      <w:rFonts w:hint="eastAsia" w:ascii="Times New Roman" w:hAnsi="Times New Roman"/>
                      <w:color w:val="auto"/>
                      <w:kern w:val="0"/>
                      <w:szCs w:val="21"/>
                    </w:rPr>
                    <w:t>画眉</w:t>
                  </w:r>
                  <w:r>
                    <w:rPr>
                      <w:rFonts w:ascii="Times New Roman" w:hAnsi="Times New Roman"/>
                      <w:bCs/>
                      <w:color w:val="auto"/>
                      <w:kern w:val="0"/>
                      <w:szCs w:val="21"/>
                    </w:rPr>
                    <w:t>；</w:t>
                  </w:r>
                  <w:r>
                    <w:rPr>
                      <w:rFonts w:hint="eastAsia" w:ascii="Times New Roman" w:hAnsi="Times New Roman"/>
                      <w:bCs/>
                      <w:color w:val="auto"/>
                      <w:kern w:val="0"/>
                      <w:szCs w:val="21"/>
                      <w:lang w:eastAsia="zh-CN"/>
                    </w:rPr>
                    <w:t>哺乳类</w:t>
                  </w:r>
                  <w:r>
                    <w:rPr>
                      <w:rFonts w:hint="eastAsia" w:ascii="Times New Roman" w:hAnsi="Times New Roman"/>
                      <w:bCs/>
                      <w:color w:val="auto"/>
                      <w:kern w:val="0"/>
                      <w:szCs w:val="21"/>
                      <w:lang w:val="en-US" w:eastAsia="zh-CN"/>
                    </w:rPr>
                    <w:t>1种：</w:t>
                  </w:r>
                  <w:r>
                    <w:rPr>
                      <w:rFonts w:hint="eastAsia" w:ascii="Times New Roman" w:hAnsi="Times New Roman"/>
                      <w:bCs/>
                      <w:color w:val="auto"/>
                      <w:kern w:val="0"/>
                      <w:szCs w:val="21"/>
                    </w:rPr>
                    <w:t>豹猫</w:t>
                  </w:r>
                  <w:r>
                    <w:rPr>
                      <w:rFonts w:hint="eastAsia" w:ascii="Times New Roman" w:hAnsi="Times New Roman"/>
                      <w:bCs/>
                      <w:color w:val="auto"/>
                      <w:kern w:val="0"/>
                      <w:szCs w:val="21"/>
                      <w:lang w:eastAsia="zh-CN"/>
                    </w:rPr>
                    <w:t>；</w:t>
                  </w:r>
                  <w:r>
                    <w:rPr>
                      <w:rFonts w:hint="eastAsia" w:ascii="Times New Roman" w:hAnsi="Times New Roman"/>
                      <w:bCs/>
                      <w:color w:val="auto"/>
                      <w:kern w:val="0"/>
                      <w:szCs w:val="21"/>
                      <w:lang w:val="en-US" w:eastAsia="zh-CN"/>
                    </w:rPr>
                    <w:t>评价区有1种</w:t>
                  </w:r>
                  <w:r>
                    <w:rPr>
                      <w:rFonts w:ascii="Times New Roman" w:hAnsi="Times New Roman"/>
                      <w:bCs/>
                      <w:color w:val="auto"/>
                      <w:kern w:val="0"/>
                      <w:szCs w:val="21"/>
                      <w:lang w:val="zh-CN"/>
                    </w:rPr>
                    <w:t>《中国生物多样性红色名录—脊椎动物卷（2020）》</w:t>
                  </w:r>
                  <w:r>
                    <w:rPr>
                      <w:rFonts w:hint="eastAsia" w:ascii="Times New Roman" w:hAnsi="Times New Roman"/>
                      <w:bCs/>
                      <w:color w:val="auto"/>
                      <w:kern w:val="0"/>
                      <w:szCs w:val="21"/>
                      <w:lang w:val="en-US" w:eastAsia="zh-CN"/>
                    </w:rPr>
                    <w:t>中</w:t>
                  </w:r>
                  <w:r>
                    <w:rPr>
                      <w:rFonts w:ascii="Times New Roman" w:hAnsi="Times New Roman"/>
                      <w:color w:val="auto"/>
                      <w:spacing w:val="6"/>
                      <w:szCs w:val="21"/>
                    </w:rPr>
                    <w:t>易危（</w:t>
                  </w:r>
                  <w:r>
                    <w:rPr>
                      <w:rFonts w:ascii="Times New Roman" w:hAnsi="Times New Roman"/>
                      <w:i/>
                      <w:iCs/>
                      <w:color w:val="auto"/>
                      <w:spacing w:val="6"/>
                      <w:szCs w:val="21"/>
                    </w:rPr>
                    <w:t>Vulnerable</w:t>
                  </w:r>
                  <w:r>
                    <w:rPr>
                      <w:rFonts w:ascii="Times New Roman" w:hAnsi="Times New Roman"/>
                      <w:color w:val="auto"/>
                      <w:spacing w:val="6"/>
                      <w:szCs w:val="21"/>
                    </w:rPr>
                    <w:t>）</w:t>
                  </w:r>
                  <w:r>
                    <w:rPr>
                      <w:rFonts w:ascii="Times New Roman" w:hAnsi="Times New Roman"/>
                      <w:color w:val="auto"/>
                      <w:szCs w:val="21"/>
                    </w:rPr>
                    <w:t>物种</w:t>
                  </w:r>
                  <w:r>
                    <w:rPr>
                      <w:rFonts w:hint="eastAsia" w:ascii="Times New Roman" w:hAnsi="Times New Roman"/>
                      <w:bCs/>
                      <w:color w:val="auto"/>
                      <w:kern w:val="0"/>
                      <w:szCs w:val="21"/>
                      <w:lang w:val="zh-CN"/>
                    </w:rPr>
                    <w:t>，为豹猫。无局限分布于该区域的特有种类。</w:t>
                  </w:r>
                </w:p>
              </w:tc>
              <w:tc>
                <w:tcPr>
                  <w:tcW w:w="1032" w:type="pct"/>
                  <w:vMerge w:val="continue"/>
                  <w:tcBorders>
                    <w:tl2br w:val="nil"/>
                    <w:tr2bl w:val="nil"/>
                  </w:tcBorders>
                  <w:shd w:val="clear" w:color="auto" w:fill="auto"/>
                  <w:vAlign w:val="center"/>
                </w:tcPr>
                <w:p w14:paraId="205B93E4">
                  <w:pPr>
                    <w:adjustRightInd w:val="0"/>
                    <w:snapToGrid w:val="0"/>
                    <w:jc w:val="center"/>
                    <w:rPr>
                      <w:rFonts w:ascii="Times New Roman" w:hAnsi="Times New Roman"/>
                      <w:color w:val="auto"/>
                      <w:szCs w:val="21"/>
                    </w:rPr>
                  </w:pPr>
                </w:p>
              </w:tc>
              <w:tc>
                <w:tcPr>
                  <w:tcW w:w="661" w:type="pct"/>
                  <w:vMerge w:val="continue"/>
                  <w:tcBorders>
                    <w:tl2br w:val="nil"/>
                    <w:tr2bl w:val="nil"/>
                  </w:tcBorders>
                  <w:shd w:val="clear" w:color="auto" w:fill="auto"/>
                  <w:vAlign w:val="center"/>
                </w:tcPr>
                <w:p w14:paraId="74455FAD">
                  <w:pPr>
                    <w:adjustRightInd w:val="0"/>
                    <w:snapToGrid w:val="0"/>
                    <w:jc w:val="center"/>
                    <w:rPr>
                      <w:rFonts w:ascii="Times New Roman" w:hAnsi="Times New Roman"/>
                      <w:color w:val="auto"/>
                      <w:szCs w:val="21"/>
                    </w:rPr>
                  </w:pPr>
                </w:p>
              </w:tc>
            </w:tr>
            <w:tr w14:paraId="42361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tl2br w:val="nil"/>
                    <w:tr2bl w:val="nil"/>
                  </w:tcBorders>
                  <w:shd w:val="clear" w:color="auto" w:fill="auto"/>
                  <w:vAlign w:val="center"/>
                </w:tcPr>
                <w:p w14:paraId="206626C8">
                  <w:pPr>
                    <w:adjustRightInd w:val="0"/>
                    <w:snapToGrid w:val="0"/>
                    <w:jc w:val="center"/>
                    <w:rPr>
                      <w:rFonts w:ascii="Times New Roman" w:hAnsi="Times New Roman"/>
                      <w:color w:val="auto"/>
                      <w:szCs w:val="21"/>
                    </w:rPr>
                  </w:pPr>
                  <w:r>
                    <w:rPr>
                      <w:rFonts w:ascii="Times New Roman" w:hAnsi="Times New Roman"/>
                      <w:color w:val="auto"/>
                      <w:szCs w:val="21"/>
                    </w:rPr>
                    <w:t>公益林</w:t>
                  </w:r>
                </w:p>
              </w:tc>
              <w:tc>
                <w:tcPr>
                  <w:tcW w:w="2603" w:type="pct"/>
                  <w:tcBorders>
                    <w:tl2br w:val="nil"/>
                    <w:tr2bl w:val="nil"/>
                  </w:tcBorders>
                  <w:shd w:val="clear" w:color="auto" w:fill="auto"/>
                  <w:vAlign w:val="center"/>
                </w:tcPr>
                <w:p w14:paraId="09EA8D3E">
                  <w:pPr>
                    <w:adjustRightInd w:val="0"/>
                    <w:snapToGrid w:val="0"/>
                    <w:jc w:val="center"/>
                    <w:rPr>
                      <w:rFonts w:ascii="Times New Roman" w:hAnsi="Times New Roman"/>
                      <w:color w:val="auto"/>
                      <w:szCs w:val="21"/>
                    </w:rPr>
                  </w:pPr>
                  <w:r>
                    <w:rPr>
                      <w:rFonts w:ascii="Times New Roman" w:hAnsi="Times New Roman"/>
                      <w:color w:val="auto"/>
                      <w:szCs w:val="21"/>
                    </w:rPr>
                    <w:t>根据管理部门意见及林业调查数据结果，项目不涉及占用国家一级公益林和国家二级公益林。但线路涉及占用省级公益林</w:t>
                  </w:r>
                  <w:r>
                    <w:rPr>
                      <w:rFonts w:hint="eastAsia" w:ascii="Times New Roman" w:hAnsi="Times New Roman"/>
                      <w:color w:val="auto"/>
                      <w:szCs w:val="21"/>
                    </w:rPr>
                    <w:t>0.1665</w:t>
                  </w:r>
                  <w:r>
                    <w:rPr>
                      <w:rFonts w:ascii="Times New Roman" w:hAnsi="Times New Roman"/>
                      <w:color w:val="auto"/>
                      <w:szCs w:val="21"/>
                    </w:rPr>
                    <w:t>公顷，其中塔基永久占地</w:t>
                  </w:r>
                  <w:r>
                    <w:rPr>
                      <w:rFonts w:hint="eastAsia" w:ascii="Times New Roman" w:hAnsi="Times New Roman"/>
                      <w:color w:val="auto"/>
                      <w:szCs w:val="21"/>
                    </w:rPr>
                    <w:t>0.02445</w:t>
                  </w:r>
                  <w:r>
                    <w:rPr>
                      <w:rFonts w:ascii="Times New Roman" w:hAnsi="Times New Roman"/>
                      <w:color w:val="auto"/>
                      <w:szCs w:val="21"/>
                    </w:rPr>
                    <w:t>公顷，临时占地</w:t>
                  </w:r>
                  <w:r>
                    <w:rPr>
                      <w:rFonts w:hint="eastAsia" w:ascii="Times New Roman" w:hAnsi="Times New Roman"/>
                      <w:color w:val="auto"/>
                      <w:szCs w:val="21"/>
                    </w:rPr>
                    <w:t>0.14205</w:t>
                  </w:r>
                  <w:r>
                    <w:rPr>
                      <w:rFonts w:ascii="Times New Roman" w:hAnsi="Times New Roman"/>
                      <w:color w:val="auto"/>
                      <w:szCs w:val="21"/>
                    </w:rPr>
                    <w:t>公顷</w:t>
                  </w:r>
                  <w:r>
                    <w:rPr>
                      <w:rFonts w:hint="eastAsia" w:ascii="Times New Roman" w:hAnsi="Times New Roman"/>
                      <w:color w:val="auto"/>
                      <w:szCs w:val="21"/>
                      <w:lang w:eastAsia="zh-CN"/>
                    </w:rPr>
                    <w:t>，</w:t>
                  </w:r>
                  <w:r>
                    <w:rPr>
                      <w:rFonts w:ascii="Times New Roman" w:hAnsi="Times New Roman"/>
                      <w:color w:val="auto"/>
                      <w:szCs w:val="21"/>
                    </w:rPr>
                    <w:t>其中塔基N19、N43、N44、N45、N46、N56共6个塔基占用省级公益林，主要功能为水土保持。公益林主要以云南松为优势树种的乔木林地</w:t>
                  </w:r>
                </w:p>
              </w:tc>
              <w:tc>
                <w:tcPr>
                  <w:tcW w:w="1032" w:type="pct"/>
                  <w:tcBorders>
                    <w:tl2br w:val="nil"/>
                    <w:tr2bl w:val="nil"/>
                  </w:tcBorders>
                  <w:shd w:val="clear" w:color="auto" w:fill="auto"/>
                  <w:vAlign w:val="center"/>
                </w:tcPr>
                <w:p w14:paraId="06393B0D">
                  <w:pPr>
                    <w:adjustRightInd w:val="0"/>
                    <w:snapToGrid w:val="0"/>
                    <w:jc w:val="center"/>
                    <w:rPr>
                      <w:rFonts w:ascii="Times New Roman" w:hAnsi="Times New Roman"/>
                      <w:color w:val="auto"/>
                      <w:szCs w:val="21"/>
                    </w:rPr>
                  </w:pPr>
                  <w:r>
                    <w:rPr>
                      <w:rFonts w:ascii="Times New Roman" w:hAnsi="Times New Roman"/>
                      <w:color w:val="auto"/>
                      <w:szCs w:val="21"/>
                    </w:rPr>
                    <w:t>线路沿线</w:t>
                  </w:r>
                  <w:r>
                    <w:rPr>
                      <w:rFonts w:hint="eastAsia" w:ascii="Times New Roman" w:hAnsi="Times New Roman"/>
                      <w:color w:val="auto"/>
                      <w:szCs w:val="21"/>
                    </w:rPr>
                    <w:t>跨越、</w:t>
                  </w:r>
                  <w:r>
                    <w:rPr>
                      <w:rFonts w:ascii="Times New Roman" w:hAnsi="Times New Roman"/>
                      <w:color w:val="auto"/>
                      <w:szCs w:val="21"/>
                    </w:rPr>
                    <w:t>占用生态公益林区域</w:t>
                  </w:r>
                </w:p>
              </w:tc>
              <w:tc>
                <w:tcPr>
                  <w:tcW w:w="661" w:type="pct"/>
                  <w:vMerge w:val="continue"/>
                  <w:tcBorders>
                    <w:tl2br w:val="nil"/>
                    <w:tr2bl w:val="nil"/>
                  </w:tcBorders>
                  <w:shd w:val="clear" w:color="auto" w:fill="auto"/>
                  <w:vAlign w:val="center"/>
                </w:tcPr>
                <w:p w14:paraId="5C9B05B0">
                  <w:pPr>
                    <w:adjustRightInd w:val="0"/>
                    <w:snapToGrid w:val="0"/>
                    <w:jc w:val="center"/>
                    <w:rPr>
                      <w:rFonts w:ascii="Times New Roman" w:hAnsi="Times New Roman"/>
                      <w:color w:val="auto"/>
                      <w:szCs w:val="21"/>
                    </w:rPr>
                  </w:pPr>
                </w:p>
              </w:tc>
            </w:tr>
            <w:tr w14:paraId="59E937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shd w:val="clear" w:color="auto" w:fill="auto"/>
                  <w:vAlign w:val="center"/>
                </w:tcPr>
                <w:p w14:paraId="2F5C398D">
                  <w:pPr>
                    <w:adjustRightInd w:val="0"/>
                    <w:snapToGrid w:val="0"/>
                    <w:jc w:val="center"/>
                    <w:rPr>
                      <w:rFonts w:ascii="Times New Roman" w:hAnsi="Times New Roman"/>
                      <w:color w:val="auto"/>
                      <w:szCs w:val="21"/>
                    </w:rPr>
                  </w:pPr>
                  <w:r>
                    <w:rPr>
                      <w:rFonts w:hint="eastAsia" w:ascii="Times New Roman" w:hAnsi="Times New Roman"/>
                      <w:color w:val="auto"/>
                      <w:szCs w:val="21"/>
                    </w:rPr>
                    <w:t>基本农田</w:t>
                  </w:r>
                </w:p>
              </w:tc>
              <w:tc>
                <w:tcPr>
                  <w:tcW w:w="2603" w:type="pct"/>
                  <w:shd w:val="clear" w:color="auto" w:fill="auto"/>
                  <w:vAlign w:val="center"/>
                </w:tcPr>
                <w:p w14:paraId="0018A3A1">
                  <w:pPr>
                    <w:adjustRightInd w:val="0"/>
                    <w:snapToGrid w:val="0"/>
                    <w:jc w:val="center"/>
                    <w:rPr>
                      <w:rFonts w:hint="default" w:ascii="Times New Roman" w:hAnsi="Times New Roman" w:eastAsia="宋体"/>
                      <w:color w:val="auto"/>
                      <w:szCs w:val="21"/>
                      <w:lang w:val="en-US" w:eastAsia="zh-CN"/>
                    </w:rPr>
                  </w:pPr>
                  <w:r>
                    <w:rPr>
                      <w:rFonts w:ascii="Times New Roman" w:hAnsi="Times New Roman"/>
                      <w:color w:val="auto"/>
                      <w:szCs w:val="21"/>
                    </w:rPr>
                    <w:t>涉及占用永久基本农田的塔基有3个，占用永久基本农田的面积为</w:t>
                  </w:r>
                  <w:r>
                    <w:rPr>
                      <w:rFonts w:hint="eastAsia" w:ascii="Times New Roman" w:hAnsi="Times New Roman"/>
                      <w:color w:val="auto"/>
                      <w:szCs w:val="21"/>
                    </w:rPr>
                    <w:t>237.56m</w:t>
                  </w:r>
                  <w:r>
                    <w:rPr>
                      <w:rFonts w:hint="eastAsia" w:ascii="Times New Roman" w:hAnsi="Times New Roman"/>
                      <w:color w:val="auto"/>
                      <w:szCs w:val="21"/>
                      <w:vertAlign w:val="superscript"/>
                    </w:rPr>
                    <w:t>2</w:t>
                  </w:r>
                  <w:r>
                    <w:rPr>
                      <w:rFonts w:ascii="Times New Roman" w:hAnsi="Times New Roman"/>
                      <w:color w:val="auto"/>
                      <w:szCs w:val="21"/>
                    </w:rPr>
                    <w:t>。其中N36塔基涉及占用永久基本农田0.0038公顷；N58塔基涉及占用永久基本农田0.01公顷；N59塔基涉及占用永久基本农田0.01公顷</w:t>
                  </w:r>
                  <w:r>
                    <w:rPr>
                      <w:rFonts w:hint="default" w:ascii="Times New Roman" w:hAnsi="Times New Roman" w:cs="Times New Roman"/>
                      <w:color w:val="auto"/>
                      <w:szCs w:val="21"/>
                    </w:rPr>
                    <w:t>。</w:t>
                  </w:r>
                  <w:r>
                    <w:rPr>
                      <w:rFonts w:hint="default" w:ascii="Times New Roman" w:hAnsi="Times New Roman" w:cs="Times New Roman"/>
                      <w:color w:val="auto"/>
                    </w:rPr>
                    <w:t>塔基N17-N18输电线路138m、N19-N20输电线路159m、N24-N25输电线路97m、N33-N34输电线路131m、N18-N19输电线路77m、N7-N8输电线路451m、N11-N12输电线路124m、N32-N33输电线路101m、N35-N36输电线路88m、N36-N37输电线路38m、N42-N43输电线路9m、N57-N61输电线路726m上跨永久基本农田</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共跨越基本农田</w:t>
                  </w:r>
                  <w:r>
                    <w:rPr>
                      <w:rFonts w:hint="eastAsia" w:ascii="Times New Roman" w:hAnsi="Times New Roman" w:cs="Times New Roman"/>
                      <w:color w:val="auto"/>
                      <w:lang w:val="en-US" w:eastAsia="zh-CN"/>
                    </w:rPr>
                    <w:t>2139米。</w:t>
                  </w:r>
                </w:p>
              </w:tc>
              <w:tc>
                <w:tcPr>
                  <w:tcW w:w="1032" w:type="pct"/>
                  <w:shd w:val="clear" w:color="auto" w:fill="auto"/>
                  <w:vAlign w:val="center"/>
                </w:tcPr>
                <w:p w14:paraId="4C49FCF4">
                  <w:pPr>
                    <w:adjustRightInd w:val="0"/>
                    <w:snapToGrid w:val="0"/>
                    <w:jc w:val="center"/>
                    <w:rPr>
                      <w:rFonts w:ascii="Times New Roman" w:hAnsi="Times New Roman"/>
                      <w:color w:val="auto"/>
                      <w:szCs w:val="21"/>
                    </w:rPr>
                  </w:pPr>
                  <w:r>
                    <w:rPr>
                      <w:rFonts w:ascii="Times New Roman" w:hAnsi="Times New Roman"/>
                      <w:color w:val="auto"/>
                      <w:szCs w:val="21"/>
                    </w:rPr>
                    <w:t>线路沿线</w:t>
                  </w:r>
                  <w:r>
                    <w:rPr>
                      <w:rFonts w:hint="eastAsia" w:ascii="Times New Roman" w:hAnsi="Times New Roman"/>
                      <w:color w:val="auto"/>
                      <w:szCs w:val="21"/>
                    </w:rPr>
                    <w:t>跨越、</w:t>
                  </w:r>
                  <w:r>
                    <w:rPr>
                      <w:rFonts w:ascii="Times New Roman" w:hAnsi="Times New Roman"/>
                      <w:color w:val="auto"/>
                      <w:szCs w:val="21"/>
                    </w:rPr>
                    <w:t>占用</w:t>
                  </w:r>
                  <w:r>
                    <w:rPr>
                      <w:rFonts w:hint="eastAsia" w:ascii="Times New Roman" w:hAnsi="Times New Roman"/>
                      <w:color w:val="auto"/>
                      <w:szCs w:val="21"/>
                    </w:rPr>
                    <w:t>永久基本农田</w:t>
                  </w:r>
                  <w:r>
                    <w:rPr>
                      <w:rFonts w:ascii="Times New Roman" w:hAnsi="Times New Roman"/>
                      <w:color w:val="auto"/>
                      <w:szCs w:val="21"/>
                    </w:rPr>
                    <w:t>区域</w:t>
                  </w:r>
                </w:p>
              </w:tc>
              <w:tc>
                <w:tcPr>
                  <w:tcW w:w="661" w:type="pct"/>
                  <w:vMerge w:val="continue"/>
                  <w:shd w:val="clear" w:color="auto" w:fill="auto"/>
                  <w:vAlign w:val="center"/>
                </w:tcPr>
                <w:p w14:paraId="4D79EF96">
                  <w:pPr>
                    <w:adjustRightInd w:val="0"/>
                    <w:snapToGrid w:val="0"/>
                    <w:jc w:val="center"/>
                    <w:rPr>
                      <w:rFonts w:ascii="Times New Roman" w:hAnsi="Times New Roman"/>
                      <w:color w:val="auto"/>
                      <w:szCs w:val="21"/>
                    </w:rPr>
                  </w:pPr>
                </w:p>
              </w:tc>
            </w:tr>
          </w:tbl>
          <w:p w14:paraId="6311FCF8">
            <w:pPr>
              <w:adjustRightInd w:val="0"/>
              <w:snapToGrid w:val="0"/>
              <w:spacing w:line="440" w:lineRule="exact"/>
              <w:ind w:firstLine="241"/>
              <w:rPr>
                <w:rFonts w:ascii="Times New Roman" w:hAnsi="Times New Roman"/>
                <w:b/>
                <w:color w:val="auto"/>
                <w:sz w:val="24"/>
                <w:szCs w:val="24"/>
              </w:rPr>
            </w:pPr>
            <w:r>
              <w:rPr>
                <w:rFonts w:ascii="Times New Roman" w:hAnsi="Times New Roman"/>
                <w:b/>
                <w:color w:val="auto"/>
                <w:sz w:val="24"/>
                <w:szCs w:val="24"/>
              </w:rPr>
              <w:t>3.7.</w:t>
            </w:r>
            <w:r>
              <w:rPr>
                <w:rFonts w:hint="eastAsia" w:ascii="Times New Roman" w:hAnsi="Times New Roman"/>
                <w:b/>
                <w:color w:val="auto"/>
                <w:sz w:val="24"/>
                <w:szCs w:val="24"/>
              </w:rPr>
              <w:t>2.2</w:t>
            </w:r>
            <w:r>
              <w:rPr>
                <w:rFonts w:ascii="Times New Roman" w:hAnsi="Times New Roman"/>
                <w:b/>
                <w:color w:val="auto"/>
                <w:sz w:val="24"/>
                <w:szCs w:val="24"/>
              </w:rPr>
              <w:t>水环境保护目标</w:t>
            </w:r>
          </w:p>
          <w:p w14:paraId="44229973">
            <w:pPr>
              <w:adjustRightInd w:val="0"/>
              <w:snapToGrid w:val="0"/>
              <w:spacing w:line="440" w:lineRule="exact"/>
              <w:ind w:firstLine="476" w:firstLineChars="200"/>
              <w:rPr>
                <w:rFonts w:ascii="Times New Roman" w:hAnsi="Times New Roman"/>
                <w:color w:val="auto"/>
                <w:spacing w:val="-1"/>
                <w:sz w:val="24"/>
              </w:rPr>
            </w:pPr>
            <w:r>
              <w:rPr>
                <w:rFonts w:hint="eastAsia" w:ascii="Times New Roman" w:hAnsi="Times New Roman"/>
                <w:color w:val="auto"/>
                <w:spacing w:val="-1"/>
                <w:sz w:val="24"/>
              </w:rPr>
              <w:t>根据2026年6月23日曲靖市生态环境局会泽分局关于六合一至乐业变220kV送出线路工程项目（饮用水源地部分）查询情况说明，与会泽县集中式饮用水水源地保护区矢量数据套叠，该项目所选址区域均不在会泽县集中式饮用水水源地保护区范围内。</w:t>
            </w:r>
          </w:p>
          <w:p w14:paraId="7E65A511">
            <w:pPr>
              <w:adjustRightInd w:val="0"/>
              <w:snapToGrid w:val="0"/>
              <w:spacing w:line="440" w:lineRule="exact"/>
              <w:ind w:firstLine="476" w:firstLineChars="200"/>
              <w:rPr>
                <w:rFonts w:ascii="Times New Roman" w:hAnsi="Times New Roman"/>
                <w:color w:val="auto"/>
                <w:sz w:val="24"/>
              </w:rPr>
            </w:pPr>
            <w:r>
              <w:rPr>
                <w:rFonts w:hint="eastAsia" w:ascii="Times New Roman" w:hAnsi="Times New Roman"/>
                <w:color w:val="auto"/>
                <w:spacing w:val="-1"/>
                <w:sz w:val="24"/>
              </w:rPr>
              <w:t>根据调查，</w:t>
            </w:r>
            <w:r>
              <w:rPr>
                <w:rFonts w:ascii="Times New Roman" w:hAnsi="Times New Roman"/>
                <w:color w:val="auto"/>
                <w:spacing w:val="-1"/>
                <w:sz w:val="24"/>
              </w:rPr>
              <w:t>线路沿线500米范围内无地下水集中式饮用水水源和热水、矿泉水、温泉等特殊地下水资源。项目区域涉及地表水主要为六河、龚家冲小河、酸梨树大箐（后河）、西沙冲、卡子河及淌水河，线路塔基N4～N5之间跨越六河、线路塔基N23～N24之间跨越龚家冲小河、线路塔基N39～N40之间跨越后河、线路塔基N50～N51之间跨越西沙冲、线路塔基N57～N58之间跨越卡子河</w:t>
            </w:r>
            <w:r>
              <w:rPr>
                <w:rFonts w:hint="eastAsia" w:ascii="Times New Roman" w:hAnsi="Times New Roman"/>
                <w:color w:val="auto"/>
                <w:spacing w:val="-1"/>
                <w:sz w:val="24"/>
              </w:rPr>
              <w:t>，</w:t>
            </w:r>
            <w:r>
              <w:rPr>
                <w:rFonts w:hint="eastAsia" w:ascii="Times New Roman" w:hAnsi="Times New Roman"/>
                <w:color w:val="auto"/>
                <w:sz w:val="24"/>
              </w:rPr>
              <w:t>均为一档跨越，不在水中立塔</w:t>
            </w:r>
            <w:r>
              <w:rPr>
                <w:rFonts w:ascii="Times New Roman" w:hAnsi="Times New Roman"/>
                <w:color w:val="auto"/>
                <w:sz w:val="24"/>
              </w:rPr>
              <w:t>。</w:t>
            </w:r>
            <w:r>
              <w:rPr>
                <w:rFonts w:ascii="Times New Roman" w:hAnsi="Times New Roman"/>
                <w:color w:val="auto"/>
                <w:spacing w:val="-1"/>
                <w:sz w:val="24"/>
              </w:rPr>
              <w:t>项目终点段位于淌水河南侧，最近距离为210米。</w:t>
            </w:r>
            <w:r>
              <w:rPr>
                <w:rFonts w:ascii="Times New Roman" w:hAnsi="Times New Roman"/>
                <w:color w:val="auto"/>
                <w:sz w:val="24"/>
              </w:rPr>
              <w:t>淌水河</w:t>
            </w:r>
            <w:r>
              <w:rPr>
                <w:rFonts w:hint="eastAsia" w:ascii="Times New Roman" w:hAnsi="Times New Roman"/>
                <w:color w:val="auto"/>
                <w:sz w:val="24"/>
              </w:rPr>
              <w:t>为</w:t>
            </w:r>
            <w:r>
              <w:rPr>
                <w:rFonts w:ascii="Times New Roman" w:hAnsi="Times New Roman"/>
                <w:color w:val="auto"/>
                <w:sz w:val="24"/>
              </w:rPr>
              <w:t>硝厂河</w:t>
            </w:r>
            <w:r>
              <w:rPr>
                <w:rFonts w:hint="eastAsia" w:ascii="Times New Roman" w:hAnsi="Times New Roman"/>
                <w:color w:val="auto"/>
                <w:sz w:val="24"/>
              </w:rPr>
              <w:t>支流，</w:t>
            </w:r>
            <w:r>
              <w:rPr>
                <w:rFonts w:ascii="Times New Roman" w:hAnsi="Times New Roman"/>
                <w:color w:val="auto"/>
                <w:sz w:val="24"/>
              </w:rPr>
              <w:t>硝厂河由南向北汇入牛栏江。</w:t>
            </w:r>
          </w:p>
          <w:p w14:paraId="1C7A8AA5">
            <w:pPr>
              <w:adjustRightInd w:val="0"/>
              <w:snapToGrid w:val="0"/>
              <w:jc w:val="center"/>
              <w:rPr>
                <w:rFonts w:ascii="Times New Roman" w:hAnsi="Times New Roman"/>
                <w:b/>
                <w:bCs/>
                <w:color w:val="auto"/>
                <w:sz w:val="24"/>
              </w:rPr>
            </w:pPr>
            <w:r>
              <w:rPr>
                <w:rFonts w:hint="eastAsia" w:ascii="Times New Roman" w:hAnsi="Times New Roman"/>
                <w:b/>
                <w:bCs/>
                <w:color w:val="auto"/>
                <w:sz w:val="24"/>
              </w:rPr>
              <w:t>表3-31  工程涉及地表水体一览表</w:t>
            </w:r>
          </w:p>
          <w:tbl>
            <w:tblPr>
              <w:tblStyle w:val="27"/>
              <w:tblW w:w="4995"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19"/>
              <w:gridCol w:w="777"/>
              <w:gridCol w:w="624"/>
              <w:gridCol w:w="1579"/>
              <w:gridCol w:w="2003"/>
              <w:gridCol w:w="500"/>
              <w:gridCol w:w="835"/>
              <w:gridCol w:w="760"/>
              <w:gridCol w:w="1024"/>
            </w:tblGrid>
            <w:tr w14:paraId="366ECD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826" w:hRule="atLeast"/>
              </w:trPr>
              <w:tc>
                <w:tcPr>
                  <w:tcW w:w="189" w:type="pct"/>
                  <w:tcBorders>
                    <w:tl2br w:val="nil"/>
                    <w:tr2bl w:val="nil"/>
                  </w:tcBorders>
                  <w:shd w:val="clear" w:color="auto" w:fill="auto"/>
                  <w:textDirection w:val="tbRlV"/>
                  <w:vAlign w:val="center"/>
                </w:tcPr>
                <w:p w14:paraId="24258D05">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461" w:type="pct"/>
                  <w:tcBorders>
                    <w:tl2br w:val="nil"/>
                    <w:tr2bl w:val="nil"/>
                  </w:tcBorders>
                  <w:shd w:val="clear" w:color="auto" w:fill="auto"/>
                  <w:vAlign w:val="center"/>
                </w:tcPr>
                <w:p w14:paraId="4F9FD1AE">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名称</w:t>
                  </w:r>
                </w:p>
              </w:tc>
              <w:tc>
                <w:tcPr>
                  <w:tcW w:w="370" w:type="pct"/>
                  <w:tcBorders>
                    <w:tl2br w:val="nil"/>
                    <w:tr2bl w:val="nil"/>
                  </w:tcBorders>
                  <w:shd w:val="clear" w:color="auto" w:fill="auto"/>
                  <w:vAlign w:val="center"/>
                </w:tcPr>
                <w:p w14:paraId="413BEA62">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类型</w:t>
                  </w:r>
                </w:p>
              </w:tc>
              <w:tc>
                <w:tcPr>
                  <w:tcW w:w="936" w:type="pct"/>
                  <w:tcBorders>
                    <w:tl2br w:val="nil"/>
                    <w:tr2bl w:val="nil"/>
                  </w:tcBorders>
                  <w:shd w:val="clear" w:color="auto" w:fill="auto"/>
                  <w:vAlign w:val="center"/>
                </w:tcPr>
                <w:p w14:paraId="329B9A34">
                  <w:pPr>
                    <w:adjustRightInd w:val="0"/>
                    <w:snapToGrid w:val="0"/>
                    <w:jc w:val="center"/>
                    <w:rPr>
                      <w:rFonts w:ascii="Times New Roman" w:hAnsi="Times New Roman"/>
                      <w:b/>
                      <w:bCs/>
                      <w:color w:val="auto"/>
                      <w:szCs w:val="21"/>
                    </w:rPr>
                  </w:pPr>
                  <w:r>
                    <w:rPr>
                      <w:rFonts w:ascii="Times New Roman" w:hAnsi="Times New Roman"/>
                      <w:b/>
                      <w:bCs/>
                      <w:color w:val="auto"/>
                      <w:szCs w:val="21"/>
                    </w:rPr>
                    <w:t>位置关系</w:t>
                  </w:r>
                </w:p>
              </w:tc>
              <w:tc>
                <w:tcPr>
                  <w:tcW w:w="1188" w:type="pct"/>
                  <w:tcBorders>
                    <w:tl2br w:val="nil"/>
                    <w:tr2bl w:val="nil"/>
                  </w:tcBorders>
                  <w:shd w:val="clear" w:color="auto" w:fill="auto"/>
                  <w:vAlign w:val="center"/>
                </w:tcPr>
                <w:p w14:paraId="16778640">
                  <w:pPr>
                    <w:adjustRightInd w:val="0"/>
                    <w:snapToGrid w:val="0"/>
                    <w:jc w:val="center"/>
                    <w:rPr>
                      <w:rFonts w:ascii="Times New Roman" w:hAnsi="Times New Roman"/>
                      <w:b/>
                      <w:bCs/>
                      <w:color w:val="auto"/>
                      <w:szCs w:val="21"/>
                    </w:rPr>
                  </w:pPr>
                  <w:r>
                    <w:rPr>
                      <w:rFonts w:ascii="Times New Roman" w:hAnsi="Times New Roman"/>
                      <w:b/>
                      <w:bCs/>
                      <w:color w:val="auto"/>
                      <w:szCs w:val="21"/>
                    </w:rPr>
                    <w:t>跨越方式</w:t>
                  </w:r>
                </w:p>
              </w:tc>
              <w:tc>
                <w:tcPr>
                  <w:tcW w:w="297" w:type="pct"/>
                  <w:tcBorders>
                    <w:tl2br w:val="nil"/>
                    <w:tr2bl w:val="nil"/>
                  </w:tcBorders>
                  <w:shd w:val="clear" w:color="auto" w:fill="auto"/>
                  <w:vAlign w:val="center"/>
                </w:tcPr>
                <w:p w14:paraId="0265F210">
                  <w:pPr>
                    <w:adjustRightInd w:val="0"/>
                    <w:snapToGrid w:val="0"/>
                    <w:jc w:val="center"/>
                    <w:rPr>
                      <w:rFonts w:ascii="Times New Roman" w:hAnsi="Times New Roman"/>
                      <w:b/>
                      <w:bCs/>
                      <w:color w:val="auto"/>
                      <w:szCs w:val="21"/>
                    </w:rPr>
                  </w:pPr>
                  <w:r>
                    <w:rPr>
                      <w:rFonts w:ascii="Times New Roman" w:hAnsi="Times New Roman"/>
                      <w:b/>
                      <w:bCs/>
                      <w:color w:val="auto"/>
                      <w:szCs w:val="21"/>
                    </w:rPr>
                    <w:t>是否通航</w:t>
                  </w:r>
                </w:p>
              </w:tc>
              <w:tc>
                <w:tcPr>
                  <w:tcW w:w="496" w:type="pct"/>
                  <w:tcBorders>
                    <w:tl2br w:val="nil"/>
                    <w:tr2bl w:val="nil"/>
                  </w:tcBorders>
                  <w:shd w:val="clear" w:color="auto" w:fill="auto"/>
                  <w:vAlign w:val="center"/>
                </w:tcPr>
                <w:p w14:paraId="1C03F4C1">
                  <w:pPr>
                    <w:adjustRightInd w:val="0"/>
                    <w:snapToGrid w:val="0"/>
                    <w:jc w:val="center"/>
                    <w:rPr>
                      <w:rFonts w:ascii="Times New Roman" w:hAnsi="Times New Roman"/>
                      <w:b/>
                      <w:bCs/>
                      <w:color w:val="auto"/>
                      <w:szCs w:val="21"/>
                    </w:rPr>
                  </w:pPr>
                  <w:r>
                    <w:rPr>
                      <w:rFonts w:ascii="Times New Roman" w:hAnsi="Times New Roman"/>
                      <w:b/>
                      <w:bCs/>
                      <w:color w:val="auto"/>
                      <w:szCs w:val="21"/>
                    </w:rPr>
                    <w:t>水环境功能区名称</w:t>
                  </w:r>
                </w:p>
              </w:tc>
              <w:tc>
                <w:tcPr>
                  <w:tcW w:w="451" w:type="pct"/>
                  <w:tcBorders>
                    <w:tl2br w:val="nil"/>
                    <w:tr2bl w:val="nil"/>
                  </w:tcBorders>
                  <w:shd w:val="clear" w:color="auto" w:fill="auto"/>
                  <w:vAlign w:val="center"/>
                </w:tcPr>
                <w:p w14:paraId="5ED158A5">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保护级别</w:t>
                  </w:r>
                </w:p>
              </w:tc>
              <w:tc>
                <w:tcPr>
                  <w:tcW w:w="608" w:type="pct"/>
                  <w:tcBorders>
                    <w:tl2br w:val="nil"/>
                    <w:tr2bl w:val="nil"/>
                  </w:tcBorders>
                  <w:shd w:val="clear" w:color="auto" w:fill="auto"/>
                  <w:vAlign w:val="center"/>
                </w:tcPr>
                <w:p w14:paraId="20429C31">
                  <w:pPr>
                    <w:adjustRightInd w:val="0"/>
                    <w:snapToGrid w:val="0"/>
                    <w:jc w:val="center"/>
                    <w:rPr>
                      <w:rFonts w:ascii="Times New Roman" w:hAnsi="Times New Roman"/>
                      <w:b/>
                      <w:bCs/>
                      <w:color w:val="auto"/>
                      <w:szCs w:val="21"/>
                    </w:rPr>
                  </w:pPr>
                  <w:r>
                    <w:rPr>
                      <w:rFonts w:ascii="Times New Roman" w:hAnsi="Times New Roman"/>
                      <w:b/>
                      <w:bCs/>
                      <w:color w:val="auto"/>
                      <w:szCs w:val="21"/>
                    </w:rPr>
                    <w:t>是否为饮用水水源保护区</w:t>
                  </w:r>
                </w:p>
              </w:tc>
            </w:tr>
            <w:tr w14:paraId="4357AF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53BB8AF6">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461" w:type="pct"/>
                  <w:tcBorders>
                    <w:tl2br w:val="nil"/>
                    <w:tr2bl w:val="nil"/>
                  </w:tcBorders>
                  <w:shd w:val="clear" w:color="auto" w:fill="auto"/>
                  <w:vAlign w:val="center"/>
                </w:tcPr>
                <w:p w14:paraId="5CCED2E9">
                  <w:pPr>
                    <w:adjustRightInd w:val="0"/>
                    <w:snapToGrid w:val="0"/>
                    <w:jc w:val="center"/>
                    <w:rPr>
                      <w:rFonts w:ascii="Times New Roman" w:hAnsi="Times New Roman"/>
                      <w:color w:val="auto"/>
                      <w:szCs w:val="21"/>
                    </w:rPr>
                  </w:pPr>
                  <w:r>
                    <w:rPr>
                      <w:rFonts w:ascii="Times New Roman" w:hAnsi="Times New Roman"/>
                      <w:color w:val="auto"/>
                      <w:szCs w:val="21"/>
                    </w:rPr>
                    <w:t>六河</w:t>
                  </w:r>
                </w:p>
              </w:tc>
              <w:tc>
                <w:tcPr>
                  <w:tcW w:w="370" w:type="pct"/>
                  <w:tcBorders>
                    <w:tl2br w:val="nil"/>
                    <w:tr2bl w:val="nil"/>
                  </w:tcBorders>
                  <w:shd w:val="clear" w:color="auto" w:fill="auto"/>
                  <w:vAlign w:val="center"/>
                </w:tcPr>
                <w:p w14:paraId="057E22CB">
                  <w:pPr>
                    <w:adjustRightInd w:val="0"/>
                    <w:snapToGrid w:val="0"/>
                    <w:jc w:val="center"/>
                    <w:rPr>
                      <w:rFonts w:ascii="Times New Roman" w:hAnsi="Times New Roman"/>
                      <w:color w:val="auto"/>
                      <w:szCs w:val="21"/>
                    </w:rPr>
                  </w:pPr>
                  <w:r>
                    <w:rPr>
                      <w:rFonts w:hint="eastAsia" w:ascii="Times New Roman" w:hAnsi="Times New Roman"/>
                      <w:color w:val="auto"/>
                      <w:szCs w:val="21"/>
                    </w:rPr>
                    <w:t>河流</w:t>
                  </w:r>
                </w:p>
              </w:tc>
              <w:tc>
                <w:tcPr>
                  <w:tcW w:w="936" w:type="pct"/>
                  <w:tcBorders>
                    <w:tl2br w:val="nil"/>
                    <w:tr2bl w:val="nil"/>
                  </w:tcBorders>
                  <w:shd w:val="clear" w:color="auto" w:fill="auto"/>
                  <w:vAlign w:val="center"/>
                </w:tcPr>
                <w:p w14:paraId="530979AC">
                  <w:pPr>
                    <w:adjustRightInd w:val="0"/>
                    <w:snapToGrid w:val="0"/>
                    <w:jc w:val="center"/>
                    <w:rPr>
                      <w:rFonts w:ascii="Times New Roman" w:hAnsi="Times New Roman"/>
                      <w:color w:val="auto"/>
                      <w:szCs w:val="21"/>
                    </w:rPr>
                  </w:pPr>
                  <w:r>
                    <w:rPr>
                      <w:rFonts w:ascii="Times New Roman" w:hAnsi="Times New Roman"/>
                      <w:color w:val="auto"/>
                      <w:szCs w:val="21"/>
                    </w:rPr>
                    <w:t>塔基N4～N5之间跨越</w:t>
                  </w:r>
                </w:p>
              </w:tc>
              <w:tc>
                <w:tcPr>
                  <w:tcW w:w="1188" w:type="pct"/>
                  <w:tcBorders>
                    <w:tl2br w:val="nil"/>
                    <w:tr2bl w:val="nil"/>
                  </w:tcBorders>
                  <w:shd w:val="clear" w:color="auto" w:fill="auto"/>
                  <w:vAlign w:val="center"/>
                </w:tcPr>
                <w:p w14:paraId="2D8D909B">
                  <w:pPr>
                    <w:adjustRightInd w:val="0"/>
                    <w:snapToGrid w:val="0"/>
                    <w:jc w:val="center"/>
                    <w:rPr>
                      <w:rFonts w:ascii="Times New Roman" w:hAnsi="Times New Roman"/>
                      <w:color w:val="auto"/>
                      <w:szCs w:val="21"/>
                    </w:rPr>
                  </w:pPr>
                  <w:r>
                    <w:rPr>
                      <w:rFonts w:ascii="Times New Roman" w:hAnsi="Times New Roman"/>
                      <w:color w:val="auto"/>
                      <w:szCs w:val="21"/>
                    </w:rPr>
                    <w:t>空中一档跨越，不在水域范围内立塔</w:t>
                  </w:r>
                </w:p>
              </w:tc>
              <w:tc>
                <w:tcPr>
                  <w:tcW w:w="297" w:type="pct"/>
                  <w:tcBorders>
                    <w:tl2br w:val="nil"/>
                    <w:tr2bl w:val="nil"/>
                  </w:tcBorders>
                  <w:shd w:val="clear" w:color="auto" w:fill="auto"/>
                  <w:vAlign w:val="center"/>
                </w:tcPr>
                <w:p w14:paraId="2AF14AF9">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restart"/>
                  <w:tcBorders>
                    <w:tl2br w:val="nil"/>
                    <w:tr2bl w:val="nil"/>
                  </w:tcBorders>
                  <w:shd w:val="clear" w:color="auto" w:fill="auto"/>
                  <w:vAlign w:val="center"/>
                </w:tcPr>
                <w:p w14:paraId="05D602EF">
                  <w:pPr>
                    <w:adjustRightInd w:val="0"/>
                    <w:snapToGrid w:val="0"/>
                    <w:jc w:val="center"/>
                    <w:rPr>
                      <w:rFonts w:ascii="Times New Roman" w:hAnsi="Times New Roman"/>
                      <w:color w:val="auto"/>
                      <w:szCs w:val="21"/>
                    </w:rPr>
                  </w:pPr>
                  <w:r>
                    <w:rPr>
                      <w:rFonts w:ascii="Times New Roman" w:hAnsi="Times New Roman"/>
                      <w:color w:val="auto"/>
                      <w:szCs w:val="21"/>
                    </w:rPr>
                    <w:t>牛栏江滇黔缓冲区</w:t>
                  </w:r>
                </w:p>
              </w:tc>
              <w:tc>
                <w:tcPr>
                  <w:tcW w:w="761" w:type="dxa"/>
                  <w:tcBorders>
                    <w:tl2br w:val="nil"/>
                    <w:tr2bl w:val="nil"/>
                  </w:tcBorders>
                  <w:shd w:val="clear" w:color="auto" w:fill="auto"/>
                  <w:vAlign w:val="center"/>
                </w:tcPr>
                <w:p w14:paraId="7E3B4172">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1027" w:type="dxa"/>
                  <w:tcBorders>
                    <w:tl2br w:val="nil"/>
                    <w:tr2bl w:val="nil"/>
                  </w:tcBorders>
                  <w:shd w:val="clear" w:color="auto" w:fill="auto"/>
                  <w:vAlign w:val="center"/>
                </w:tcPr>
                <w:p w14:paraId="424A9C37">
                  <w:pPr>
                    <w:adjustRightInd w:val="0"/>
                    <w:snapToGrid w:val="0"/>
                    <w:jc w:val="center"/>
                    <w:rPr>
                      <w:rFonts w:ascii="Times New Roman" w:hAnsi="Times New Roman"/>
                      <w:color w:val="auto"/>
                      <w:szCs w:val="21"/>
                    </w:rPr>
                  </w:pPr>
                  <w:r>
                    <w:rPr>
                      <w:rFonts w:ascii="Times New Roman" w:hAnsi="Times New Roman"/>
                      <w:color w:val="auto"/>
                      <w:szCs w:val="21"/>
                    </w:rPr>
                    <w:t>否</w:t>
                  </w:r>
                </w:p>
              </w:tc>
            </w:tr>
            <w:tr w14:paraId="1659CA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15FDC3A0">
                  <w:pPr>
                    <w:adjustRightInd w:val="0"/>
                    <w:snapToGrid w:val="0"/>
                    <w:jc w:val="center"/>
                    <w:rPr>
                      <w:rFonts w:ascii="Times New Roman" w:hAnsi="Times New Roman"/>
                      <w:color w:val="auto"/>
                      <w:szCs w:val="21"/>
                    </w:rPr>
                  </w:pPr>
                  <w:r>
                    <w:rPr>
                      <w:rFonts w:ascii="Times New Roman" w:hAnsi="Times New Roman"/>
                      <w:color w:val="auto"/>
                      <w:szCs w:val="21"/>
                    </w:rPr>
                    <w:t>2</w:t>
                  </w:r>
                </w:p>
              </w:tc>
              <w:tc>
                <w:tcPr>
                  <w:tcW w:w="461" w:type="pct"/>
                  <w:tcBorders>
                    <w:tl2br w:val="nil"/>
                    <w:tr2bl w:val="nil"/>
                  </w:tcBorders>
                  <w:shd w:val="clear" w:color="auto" w:fill="auto"/>
                  <w:vAlign w:val="center"/>
                </w:tcPr>
                <w:p w14:paraId="43467C0F">
                  <w:pPr>
                    <w:adjustRightInd w:val="0"/>
                    <w:snapToGrid w:val="0"/>
                    <w:jc w:val="center"/>
                    <w:rPr>
                      <w:rFonts w:ascii="Times New Roman" w:hAnsi="Times New Roman"/>
                      <w:color w:val="auto"/>
                      <w:szCs w:val="21"/>
                    </w:rPr>
                  </w:pPr>
                  <w:r>
                    <w:rPr>
                      <w:rFonts w:ascii="Times New Roman" w:hAnsi="Times New Roman"/>
                      <w:color w:val="auto"/>
                      <w:szCs w:val="21"/>
                    </w:rPr>
                    <w:t>龚家冲小河</w:t>
                  </w:r>
                </w:p>
              </w:tc>
              <w:tc>
                <w:tcPr>
                  <w:tcW w:w="370" w:type="pct"/>
                  <w:tcBorders>
                    <w:tl2br w:val="nil"/>
                    <w:tr2bl w:val="nil"/>
                  </w:tcBorders>
                  <w:shd w:val="clear" w:color="auto" w:fill="auto"/>
                  <w:vAlign w:val="center"/>
                </w:tcPr>
                <w:p w14:paraId="0212285D">
                  <w:pPr>
                    <w:adjustRightInd w:val="0"/>
                    <w:snapToGrid w:val="0"/>
                    <w:jc w:val="center"/>
                    <w:rPr>
                      <w:rFonts w:ascii="Times New Roman" w:hAnsi="Times New Roman"/>
                      <w:color w:val="auto"/>
                      <w:szCs w:val="21"/>
                    </w:rPr>
                  </w:pPr>
                  <w:r>
                    <w:rPr>
                      <w:rFonts w:hint="eastAsia" w:ascii="Times New Roman" w:hAnsi="Times New Roman"/>
                      <w:color w:val="auto"/>
                      <w:szCs w:val="21"/>
                    </w:rPr>
                    <w:t>河流</w:t>
                  </w:r>
                </w:p>
              </w:tc>
              <w:tc>
                <w:tcPr>
                  <w:tcW w:w="936" w:type="pct"/>
                  <w:tcBorders>
                    <w:tl2br w:val="nil"/>
                    <w:tr2bl w:val="nil"/>
                  </w:tcBorders>
                  <w:shd w:val="clear" w:color="auto" w:fill="auto"/>
                  <w:vAlign w:val="center"/>
                </w:tcPr>
                <w:p w14:paraId="0DA33441">
                  <w:pPr>
                    <w:adjustRightInd w:val="0"/>
                    <w:snapToGrid w:val="0"/>
                    <w:jc w:val="center"/>
                    <w:rPr>
                      <w:rFonts w:ascii="Times New Roman" w:hAnsi="Times New Roman"/>
                      <w:color w:val="auto"/>
                      <w:szCs w:val="21"/>
                    </w:rPr>
                  </w:pPr>
                  <w:r>
                    <w:rPr>
                      <w:rFonts w:ascii="Times New Roman" w:hAnsi="Times New Roman"/>
                      <w:color w:val="auto"/>
                      <w:szCs w:val="21"/>
                    </w:rPr>
                    <w:t>塔基N23～N24之间跨越</w:t>
                  </w:r>
                </w:p>
              </w:tc>
              <w:tc>
                <w:tcPr>
                  <w:tcW w:w="1188" w:type="pct"/>
                  <w:tcBorders>
                    <w:tl2br w:val="nil"/>
                    <w:tr2bl w:val="nil"/>
                  </w:tcBorders>
                  <w:shd w:val="clear" w:color="auto" w:fill="auto"/>
                  <w:vAlign w:val="center"/>
                </w:tcPr>
                <w:p w14:paraId="49186B7F">
                  <w:pPr>
                    <w:adjustRightInd w:val="0"/>
                    <w:snapToGrid w:val="0"/>
                    <w:jc w:val="center"/>
                    <w:rPr>
                      <w:rFonts w:ascii="Times New Roman" w:hAnsi="Times New Roman"/>
                      <w:color w:val="auto"/>
                      <w:szCs w:val="21"/>
                    </w:rPr>
                  </w:pPr>
                  <w:r>
                    <w:rPr>
                      <w:rFonts w:ascii="Times New Roman" w:hAnsi="Times New Roman"/>
                      <w:color w:val="auto"/>
                      <w:szCs w:val="21"/>
                    </w:rPr>
                    <w:t>空中一档跨越，不在水域范围内立塔</w:t>
                  </w:r>
                </w:p>
              </w:tc>
              <w:tc>
                <w:tcPr>
                  <w:tcW w:w="297" w:type="pct"/>
                  <w:tcBorders>
                    <w:tl2br w:val="nil"/>
                    <w:tr2bl w:val="nil"/>
                  </w:tcBorders>
                  <w:shd w:val="clear" w:color="auto" w:fill="auto"/>
                  <w:vAlign w:val="center"/>
                </w:tcPr>
                <w:p w14:paraId="48E0B55D">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continue"/>
                  <w:tcBorders>
                    <w:tl2br w:val="nil"/>
                    <w:tr2bl w:val="nil"/>
                  </w:tcBorders>
                  <w:shd w:val="clear" w:color="auto" w:fill="auto"/>
                  <w:vAlign w:val="center"/>
                </w:tcPr>
                <w:p w14:paraId="6F9A7C89">
                  <w:pPr>
                    <w:adjustRightInd w:val="0"/>
                    <w:snapToGrid w:val="0"/>
                    <w:jc w:val="center"/>
                    <w:rPr>
                      <w:rFonts w:ascii="Times New Roman" w:hAnsi="Times New Roman"/>
                      <w:color w:val="auto"/>
                      <w:szCs w:val="21"/>
                    </w:rPr>
                  </w:pPr>
                </w:p>
              </w:tc>
              <w:tc>
                <w:tcPr>
                  <w:tcW w:w="761" w:type="dxa"/>
                  <w:tcBorders>
                    <w:tl2br w:val="nil"/>
                    <w:tr2bl w:val="nil"/>
                  </w:tcBorders>
                  <w:shd w:val="clear" w:color="auto" w:fill="auto"/>
                  <w:vAlign w:val="center"/>
                </w:tcPr>
                <w:p w14:paraId="14A8861D">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1027" w:type="dxa"/>
                  <w:tcBorders>
                    <w:tl2br w:val="nil"/>
                    <w:tr2bl w:val="nil"/>
                  </w:tcBorders>
                  <w:shd w:val="clear" w:color="auto" w:fill="auto"/>
                  <w:vAlign w:val="center"/>
                </w:tcPr>
                <w:p w14:paraId="202DC135">
                  <w:pPr>
                    <w:adjustRightInd w:val="0"/>
                    <w:snapToGrid w:val="0"/>
                    <w:jc w:val="center"/>
                    <w:rPr>
                      <w:rFonts w:ascii="Times New Roman" w:hAnsi="Times New Roman"/>
                      <w:color w:val="auto"/>
                      <w:szCs w:val="21"/>
                    </w:rPr>
                  </w:pPr>
                  <w:r>
                    <w:rPr>
                      <w:rFonts w:ascii="Times New Roman" w:hAnsi="Times New Roman"/>
                      <w:color w:val="auto"/>
                      <w:szCs w:val="21"/>
                    </w:rPr>
                    <w:t>否</w:t>
                  </w:r>
                </w:p>
              </w:tc>
            </w:tr>
            <w:tr w14:paraId="0A713D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0DB485BD">
                  <w:pPr>
                    <w:adjustRightInd w:val="0"/>
                    <w:snapToGrid w:val="0"/>
                    <w:jc w:val="center"/>
                    <w:rPr>
                      <w:rFonts w:ascii="Times New Roman" w:hAnsi="Times New Roman"/>
                      <w:color w:val="auto"/>
                      <w:szCs w:val="21"/>
                    </w:rPr>
                  </w:pPr>
                  <w:r>
                    <w:rPr>
                      <w:rFonts w:hint="eastAsia" w:ascii="Times New Roman" w:hAnsi="Times New Roman"/>
                      <w:color w:val="auto"/>
                      <w:szCs w:val="21"/>
                    </w:rPr>
                    <w:t>3</w:t>
                  </w:r>
                </w:p>
              </w:tc>
              <w:tc>
                <w:tcPr>
                  <w:tcW w:w="461" w:type="pct"/>
                  <w:tcBorders>
                    <w:tl2br w:val="nil"/>
                    <w:tr2bl w:val="nil"/>
                  </w:tcBorders>
                  <w:shd w:val="clear" w:color="auto" w:fill="auto"/>
                  <w:vAlign w:val="center"/>
                </w:tcPr>
                <w:p w14:paraId="617B491F">
                  <w:pPr>
                    <w:adjustRightInd w:val="0"/>
                    <w:snapToGrid w:val="0"/>
                    <w:jc w:val="center"/>
                    <w:rPr>
                      <w:rFonts w:ascii="Times New Roman" w:hAnsi="Times New Roman"/>
                      <w:color w:val="auto"/>
                      <w:szCs w:val="21"/>
                    </w:rPr>
                  </w:pPr>
                  <w:r>
                    <w:rPr>
                      <w:rFonts w:ascii="Times New Roman" w:hAnsi="Times New Roman"/>
                      <w:color w:val="auto"/>
                      <w:szCs w:val="21"/>
                    </w:rPr>
                    <w:t>后河</w:t>
                  </w:r>
                </w:p>
              </w:tc>
              <w:tc>
                <w:tcPr>
                  <w:tcW w:w="370" w:type="pct"/>
                  <w:tcBorders>
                    <w:tl2br w:val="nil"/>
                    <w:tr2bl w:val="nil"/>
                  </w:tcBorders>
                  <w:shd w:val="clear" w:color="auto" w:fill="auto"/>
                  <w:vAlign w:val="center"/>
                </w:tcPr>
                <w:p w14:paraId="51B12392">
                  <w:pPr>
                    <w:adjustRightInd w:val="0"/>
                    <w:snapToGrid w:val="0"/>
                    <w:jc w:val="center"/>
                    <w:rPr>
                      <w:rFonts w:ascii="Times New Roman" w:hAnsi="Times New Roman"/>
                      <w:color w:val="auto"/>
                      <w:szCs w:val="21"/>
                    </w:rPr>
                  </w:pPr>
                  <w:r>
                    <w:rPr>
                      <w:rFonts w:hint="eastAsia" w:ascii="Times New Roman" w:hAnsi="Times New Roman"/>
                      <w:color w:val="auto"/>
                      <w:szCs w:val="21"/>
                    </w:rPr>
                    <w:t>河流</w:t>
                  </w:r>
                </w:p>
              </w:tc>
              <w:tc>
                <w:tcPr>
                  <w:tcW w:w="936" w:type="pct"/>
                  <w:tcBorders>
                    <w:tl2br w:val="nil"/>
                    <w:tr2bl w:val="nil"/>
                  </w:tcBorders>
                  <w:shd w:val="clear" w:color="auto" w:fill="auto"/>
                  <w:vAlign w:val="center"/>
                </w:tcPr>
                <w:p w14:paraId="13AE74CE">
                  <w:pPr>
                    <w:adjustRightInd w:val="0"/>
                    <w:snapToGrid w:val="0"/>
                    <w:jc w:val="center"/>
                    <w:rPr>
                      <w:rFonts w:ascii="Times New Roman" w:hAnsi="Times New Roman"/>
                      <w:color w:val="auto"/>
                      <w:szCs w:val="21"/>
                    </w:rPr>
                  </w:pPr>
                  <w:r>
                    <w:rPr>
                      <w:rFonts w:ascii="Times New Roman" w:hAnsi="Times New Roman"/>
                      <w:color w:val="auto"/>
                      <w:szCs w:val="21"/>
                    </w:rPr>
                    <w:t>塔基N39～N40之间跨越</w:t>
                  </w:r>
                </w:p>
              </w:tc>
              <w:tc>
                <w:tcPr>
                  <w:tcW w:w="1188" w:type="pct"/>
                  <w:tcBorders>
                    <w:tl2br w:val="nil"/>
                    <w:tr2bl w:val="nil"/>
                  </w:tcBorders>
                  <w:shd w:val="clear" w:color="auto" w:fill="auto"/>
                  <w:vAlign w:val="center"/>
                </w:tcPr>
                <w:p w14:paraId="26C3B15E">
                  <w:pPr>
                    <w:adjustRightInd w:val="0"/>
                    <w:snapToGrid w:val="0"/>
                    <w:jc w:val="center"/>
                    <w:rPr>
                      <w:rFonts w:ascii="Times New Roman" w:hAnsi="Times New Roman"/>
                      <w:color w:val="auto"/>
                      <w:szCs w:val="21"/>
                    </w:rPr>
                  </w:pPr>
                  <w:r>
                    <w:rPr>
                      <w:rFonts w:ascii="Times New Roman" w:hAnsi="Times New Roman"/>
                      <w:color w:val="auto"/>
                      <w:szCs w:val="21"/>
                    </w:rPr>
                    <w:t>空中一档跨越，不在水域范围内立塔</w:t>
                  </w:r>
                </w:p>
              </w:tc>
              <w:tc>
                <w:tcPr>
                  <w:tcW w:w="297" w:type="pct"/>
                  <w:tcBorders>
                    <w:tl2br w:val="nil"/>
                    <w:tr2bl w:val="nil"/>
                  </w:tcBorders>
                  <w:shd w:val="clear" w:color="auto" w:fill="auto"/>
                  <w:vAlign w:val="center"/>
                </w:tcPr>
                <w:p w14:paraId="3C783545">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continue"/>
                  <w:tcBorders>
                    <w:tl2br w:val="nil"/>
                    <w:tr2bl w:val="nil"/>
                  </w:tcBorders>
                  <w:shd w:val="clear" w:color="auto" w:fill="auto"/>
                  <w:vAlign w:val="center"/>
                </w:tcPr>
                <w:p w14:paraId="6AA074E6">
                  <w:pPr>
                    <w:adjustRightInd w:val="0"/>
                    <w:snapToGrid w:val="0"/>
                    <w:jc w:val="center"/>
                    <w:rPr>
                      <w:rFonts w:ascii="Times New Roman" w:hAnsi="Times New Roman"/>
                      <w:color w:val="auto"/>
                      <w:szCs w:val="21"/>
                    </w:rPr>
                  </w:pPr>
                </w:p>
              </w:tc>
              <w:tc>
                <w:tcPr>
                  <w:tcW w:w="761" w:type="dxa"/>
                  <w:tcBorders>
                    <w:tl2br w:val="nil"/>
                    <w:tr2bl w:val="nil"/>
                  </w:tcBorders>
                  <w:shd w:val="clear" w:color="auto" w:fill="auto"/>
                  <w:vAlign w:val="center"/>
                </w:tcPr>
                <w:p w14:paraId="28B19DC8">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1027" w:type="dxa"/>
                  <w:tcBorders>
                    <w:tl2br w:val="nil"/>
                    <w:tr2bl w:val="nil"/>
                  </w:tcBorders>
                  <w:shd w:val="clear" w:color="auto" w:fill="auto"/>
                  <w:vAlign w:val="center"/>
                </w:tcPr>
                <w:p w14:paraId="40FECFA8">
                  <w:pPr>
                    <w:adjustRightInd w:val="0"/>
                    <w:snapToGrid w:val="0"/>
                    <w:jc w:val="center"/>
                    <w:rPr>
                      <w:rFonts w:ascii="Times New Roman" w:hAnsi="Times New Roman"/>
                      <w:color w:val="auto"/>
                      <w:szCs w:val="21"/>
                    </w:rPr>
                  </w:pPr>
                  <w:r>
                    <w:rPr>
                      <w:rFonts w:ascii="Times New Roman" w:hAnsi="Times New Roman"/>
                      <w:color w:val="auto"/>
                      <w:szCs w:val="21"/>
                    </w:rPr>
                    <w:t>否</w:t>
                  </w:r>
                </w:p>
              </w:tc>
            </w:tr>
            <w:tr w14:paraId="4F1510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35474BDD">
                  <w:pPr>
                    <w:adjustRightInd w:val="0"/>
                    <w:snapToGrid w:val="0"/>
                    <w:jc w:val="center"/>
                    <w:rPr>
                      <w:rFonts w:ascii="Times New Roman" w:hAnsi="Times New Roman"/>
                      <w:color w:val="auto"/>
                      <w:szCs w:val="21"/>
                    </w:rPr>
                  </w:pPr>
                  <w:r>
                    <w:rPr>
                      <w:rFonts w:hint="eastAsia" w:ascii="Times New Roman" w:hAnsi="Times New Roman"/>
                      <w:color w:val="auto"/>
                      <w:szCs w:val="21"/>
                    </w:rPr>
                    <w:t>4</w:t>
                  </w:r>
                </w:p>
              </w:tc>
              <w:tc>
                <w:tcPr>
                  <w:tcW w:w="461" w:type="pct"/>
                  <w:tcBorders>
                    <w:tl2br w:val="nil"/>
                    <w:tr2bl w:val="nil"/>
                  </w:tcBorders>
                  <w:shd w:val="clear" w:color="auto" w:fill="auto"/>
                  <w:vAlign w:val="center"/>
                </w:tcPr>
                <w:p w14:paraId="0B363D0C">
                  <w:pPr>
                    <w:adjustRightInd w:val="0"/>
                    <w:snapToGrid w:val="0"/>
                    <w:jc w:val="center"/>
                    <w:rPr>
                      <w:rFonts w:ascii="Times New Roman" w:hAnsi="Times New Roman"/>
                      <w:color w:val="auto"/>
                      <w:szCs w:val="21"/>
                    </w:rPr>
                  </w:pPr>
                  <w:r>
                    <w:rPr>
                      <w:rFonts w:ascii="Times New Roman" w:hAnsi="Times New Roman"/>
                      <w:color w:val="auto"/>
                      <w:szCs w:val="21"/>
                    </w:rPr>
                    <w:t>西沙冲</w:t>
                  </w:r>
                </w:p>
              </w:tc>
              <w:tc>
                <w:tcPr>
                  <w:tcW w:w="370" w:type="pct"/>
                  <w:tcBorders>
                    <w:tl2br w:val="nil"/>
                    <w:tr2bl w:val="nil"/>
                  </w:tcBorders>
                  <w:shd w:val="clear" w:color="auto" w:fill="auto"/>
                  <w:vAlign w:val="center"/>
                </w:tcPr>
                <w:p w14:paraId="3AD0AE15">
                  <w:pPr>
                    <w:adjustRightInd w:val="0"/>
                    <w:snapToGrid w:val="0"/>
                    <w:jc w:val="center"/>
                    <w:rPr>
                      <w:rFonts w:ascii="Times New Roman" w:hAnsi="Times New Roman"/>
                      <w:color w:val="auto"/>
                      <w:szCs w:val="21"/>
                    </w:rPr>
                  </w:pPr>
                  <w:r>
                    <w:rPr>
                      <w:rFonts w:hint="eastAsia" w:ascii="Times New Roman" w:hAnsi="Times New Roman"/>
                      <w:color w:val="auto"/>
                      <w:szCs w:val="21"/>
                    </w:rPr>
                    <w:t>河流</w:t>
                  </w:r>
                </w:p>
              </w:tc>
              <w:tc>
                <w:tcPr>
                  <w:tcW w:w="936" w:type="pct"/>
                  <w:tcBorders>
                    <w:tl2br w:val="nil"/>
                    <w:tr2bl w:val="nil"/>
                  </w:tcBorders>
                  <w:shd w:val="clear" w:color="auto" w:fill="auto"/>
                  <w:vAlign w:val="center"/>
                </w:tcPr>
                <w:p w14:paraId="72B3225C">
                  <w:pPr>
                    <w:adjustRightInd w:val="0"/>
                    <w:snapToGrid w:val="0"/>
                    <w:jc w:val="center"/>
                    <w:rPr>
                      <w:rFonts w:ascii="Times New Roman" w:hAnsi="Times New Roman"/>
                      <w:color w:val="auto"/>
                      <w:szCs w:val="21"/>
                    </w:rPr>
                  </w:pPr>
                  <w:r>
                    <w:rPr>
                      <w:rFonts w:ascii="Times New Roman" w:hAnsi="Times New Roman"/>
                      <w:color w:val="auto"/>
                      <w:szCs w:val="21"/>
                    </w:rPr>
                    <w:t>塔基N50～N51之间跨越</w:t>
                  </w:r>
                </w:p>
              </w:tc>
              <w:tc>
                <w:tcPr>
                  <w:tcW w:w="1188" w:type="pct"/>
                  <w:tcBorders>
                    <w:tl2br w:val="nil"/>
                    <w:tr2bl w:val="nil"/>
                  </w:tcBorders>
                  <w:shd w:val="clear" w:color="auto" w:fill="auto"/>
                  <w:vAlign w:val="center"/>
                </w:tcPr>
                <w:p w14:paraId="5D3A0F3E">
                  <w:pPr>
                    <w:adjustRightInd w:val="0"/>
                    <w:snapToGrid w:val="0"/>
                    <w:jc w:val="center"/>
                    <w:rPr>
                      <w:rFonts w:ascii="Times New Roman" w:hAnsi="Times New Roman"/>
                      <w:color w:val="auto"/>
                      <w:szCs w:val="21"/>
                    </w:rPr>
                  </w:pPr>
                  <w:r>
                    <w:rPr>
                      <w:rFonts w:ascii="Times New Roman" w:hAnsi="Times New Roman"/>
                      <w:color w:val="auto"/>
                      <w:szCs w:val="21"/>
                    </w:rPr>
                    <w:t>空中一档跨越，不在水域范围内立塔</w:t>
                  </w:r>
                </w:p>
              </w:tc>
              <w:tc>
                <w:tcPr>
                  <w:tcW w:w="297" w:type="pct"/>
                  <w:tcBorders>
                    <w:tl2br w:val="nil"/>
                    <w:tr2bl w:val="nil"/>
                  </w:tcBorders>
                  <w:shd w:val="clear" w:color="auto" w:fill="auto"/>
                  <w:vAlign w:val="center"/>
                </w:tcPr>
                <w:p w14:paraId="1767A60D">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continue"/>
                  <w:tcBorders>
                    <w:tl2br w:val="nil"/>
                    <w:tr2bl w:val="nil"/>
                  </w:tcBorders>
                  <w:shd w:val="clear" w:color="auto" w:fill="auto"/>
                  <w:vAlign w:val="center"/>
                </w:tcPr>
                <w:p w14:paraId="7E5A031B">
                  <w:pPr>
                    <w:adjustRightInd w:val="0"/>
                    <w:snapToGrid w:val="0"/>
                    <w:jc w:val="center"/>
                    <w:rPr>
                      <w:rFonts w:ascii="Times New Roman" w:hAnsi="Times New Roman"/>
                      <w:color w:val="auto"/>
                      <w:szCs w:val="21"/>
                    </w:rPr>
                  </w:pPr>
                </w:p>
              </w:tc>
              <w:tc>
                <w:tcPr>
                  <w:tcW w:w="761" w:type="dxa"/>
                  <w:tcBorders>
                    <w:tl2br w:val="nil"/>
                    <w:tr2bl w:val="nil"/>
                  </w:tcBorders>
                  <w:shd w:val="clear" w:color="auto" w:fill="auto"/>
                  <w:vAlign w:val="center"/>
                </w:tcPr>
                <w:p w14:paraId="5E362076">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1027" w:type="dxa"/>
                  <w:tcBorders>
                    <w:tl2br w:val="nil"/>
                    <w:tr2bl w:val="nil"/>
                  </w:tcBorders>
                  <w:shd w:val="clear" w:color="auto" w:fill="auto"/>
                  <w:vAlign w:val="center"/>
                </w:tcPr>
                <w:p w14:paraId="5D88403B">
                  <w:pPr>
                    <w:adjustRightInd w:val="0"/>
                    <w:snapToGrid w:val="0"/>
                    <w:jc w:val="center"/>
                    <w:rPr>
                      <w:rFonts w:ascii="Times New Roman" w:hAnsi="Times New Roman"/>
                      <w:color w:val="auto"/>
                      <w:szCs w:val="21"/>
                    </w:rPr>
                  </w:pPr>
                  <w:r>
                    <w:rPr>
                      <w:rFonts w:ascii="Times New Roman" w:hAnsi="Times New Roman"/>
                      <w:color w:val="auto"/>
                      <w:szCs w:val="21"/>
                    </w:rPr>
                    <w:t>否</w:t>
                  </w:r>
                </w:p>
              </w:tc>
            </w:tr>
            <w:tr w14:paraId="74A6D5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763305A7">
                  <w:pPr>
                    <w:adjustRightInd w:val="0"/>
                    <w:snapToGrid w:val="0"/>
                    <w:jc w:val="center"/>
                    <w:rPr>
                      <w:rFonts w:ascii="Times New Roman" w:hAnsi="Times New Roman"/>
                      <w:color w:val="auto"/>
                      <w:szCs w:val="21"/>
                    </w:rPr>
                  </w:pPr>
                  <w:r>
                    <w:rPr>
                      <w:rFonts w:hint="eastAsia" w:ascii="Times New Roman" w:hAnsi="Times New Roman"/>
                      <w:color w:val="auto"/>
                      <w:szCs w:val="21"/>
                    </w:rPr>
                    <w:t>5</w:t>
                  </w:r>
                </w:p>
              </w:tc>
              <w:tc>
                <w:tcPr>
                  <w:tcW w:w="461" w:type="pct"/>
                  <w:tcBorders>
                    <w:tl2br w:val="nil"/>
                    <w:tr2bl w:val="nil"/>
                  </w:tcBorders>
                  <w:shd w:val="clear" w:color="auto" w:fill="auto"/>
                  <w:vAlign w:val="center"/>
                </w:tcPr>
                <w:p w14:paraId="1E6CCECE">
                  <w:pPr>
                    <w:adjustRightInd w:val="0"/>
                    <w:snapToGrid w:val="0"/>
                    <w:jc w:val="center"/>
                    <w:rPr>
                      <w:rFonts w:ascii="Times New Roman" w:hAnsi="Times New Roman"/>
                      <w:color w:val="auto"/>
                      <w:szCs w:val="21"/>
                    </w:rPr>
                  </w:pPr>
                  <w:r>
                    <w:rPr>
                      <w:rFonts w:ascii="Times New Roman" w:hAnsi="Times New Roman"/>
                      <w:color w:val="auto"/>
                      <w:szCs w:val="21"/>
                    </w:rPr>
                    <w:t>卡子河</w:t>
                  </w:r>
                </w:p>
              </w:tc>
              <w:tc>
                <w:tcPr>
                  <w:tcW w:w="370" w:type="pct"/>
                  <w:tcBorders>
                    <w:tl2br w:val="nil"/>
                    <w:tr2bl w:val="nil"/>
                  </w:tcBorders>
                  <w:shd w:val="clear" w:color="auto" w:fill="auto"/>
                  <w:vAlign w:val="center"/>
                </w:tcPr>
                <w:p w14:paraId="4F46877B">
                  <w:pPr>
                    <w:adjustRightInd w:val="0"/>
                    <w:snapToGrid w:val="0"/>
                    <w:jc w:val="center"/>
                    <w:rPr>
                      <w:rFonts w:ascii="Times New Roman" w:hAnsi="Times New Roman"/>
                      <w:color w:val="auto"/>
                      <w:szCs w:val="21"/>
                    </w:rPr>
                  </w:pPr>
                  <w:r>
                    <w:rPr>
                      <w:rFonts w:hint="eastAsia" w:ascii="Times New Roman" w:hAnsi="Times New Roman"/>
                      <w:color w:val="auto"/>
                      <w:szCs w:val="21"/>
                    </w:rPr>
                    <w:t>河流</w:t>
                  </w:r>
                </w:p>
              </w:tc>
              <w:tc>
                <w:tcPr>
                  <w:tcW w:w="936" w:type="pct"/>
                  <w:tcBorders>
                    <w:tl2br w:val="nil"/>
                    <w:tr2bl w:val="nil"/>
                  </w:tcBorders>
                  <w:shd w:val="clear" w:color="auto" w:fill="auto"/>
                  <w:vAlign w:val="center"/>
                </w:tcPr>
                <w:p w14:paraId="5FC860EF">
                  <w:pPr>
                    <w:adjustRightInd w:val="0"/>
                    <w:snapToGrid w:val="0"/>
                    <w:jc w:val="center"/>
                    <w:rPr>
                      <w:rFonts w:ascii="Times New Roman" w:hAnsi="Times New Roman"/>
                      <w:color w:val="auto"/>
                      <w:szCs w:val="21"/>
                    </w:rPr>
                  </w:pPr>
                  <w:r>
                    <w:rPr>
                      <w:rFonts w:ascii="Times New Roman" w:hAnsi="Times New Roman"/>
                      <w:color w:val="auto"/>
                      <w:szCs w:val="21"/>
                    </w:rPr>
                    <w:t>塔基N57～N58之间跨越</w:t>
                  </w:r>
                </w:p>
              </w:tc>
              <w:tc>
                <w:tcPr>
                  <w:tcW w:w="1188" w:type="pct"/>
                  <w:tcBorders>
                    <w:tl2br w:val="nil"/>
                    <w:tr2bl w:val="nil"/>
                  </w:tcBorders>
                  <w:shd w:val="clear" w:color="auto" w:fill="auto"/>
                  <w:vAlign w:val="center"/>
                </w:tcPr>
                <w:p w14:paraId="253B9634">
                  <w:pPr>
                    <w:adjustRightInd w:val="0"/>
                    <w:snapToGrid w:val="0"/>
                    <w:jc w:val="center"/>
                    <w:rPr>
                      <w:rFonts w:ascii="Times New Roman" w:hAnsi="Times New Roman"/>
                      <w:color w:val="auto"/>
                      <w:szCs w:val="21"/>
                    </w:rPr>
                  </w:pPr>
                  <w:r>
                    <w:rPr>
                      <w:rFonts w:ascii="Times New Roman" w:hAnsi="Times New Roman"/>
                      <w:color w:val="auto"/>
                      <w:szCs w:val="21"/>
                    </w:rPr>
                    <w:t>空中一档跨越，不在水域范围内立塔</w:t>
                  </w:r>
                </w:p>
              </w:tc>
              <w:tc>
                <w:tcPr>
                  <w:tcW w:w="297" w:type="pct"/>
                  <w:tcBorders>
                    <w:tl2br w:val="nil"/>
                    <w:tr2bl w:val="nil"/>
                  </w:tcBorders>
                  <w:shd w:val="clear" w:color="auto" w:fill="auto"/>
                  <w:vAlign w:val="center"/>
                </w:tcPr>
                <w:p w14:paraId="79FE1983">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continue"/>
                  <w:tcBorders>
                    <w:tl2br w:val="nil"/>
                    <w:tr2bl w:val="nil"/>
                  </w:tcBorders>
                  <w:shd w:val="clear" w:color="auto" w:fill="auto"/>
                  <w:vAlign w:val="center"/>
                </w:tcPr>
                <w:p w14:paraId="2425A184">
                  <w:pPr>
                    <w:adjustRightInd w:val="0"/>
                    <w:snapToGrid w:val="0"/>
                    <w:jc w:val="center"/>
                    <w:rPr>
                      <w:rFonts w:ascii="Times New Roman" w:hAnsi="Times New Roman"/>
                      <w:color w:val="auto"/>
                      <w:szCs w:val="21"/>
                    </w:rPr>
                  </w:pPr>
                </w:p>
              </w:tc>
              <w:tc>
                <w:tcPr>
                  <w:tcW w:w="761" w:type="dxa"/>
                  <w:tcBorders>
                    <w:tl2br w:val="nil"/>
                    <w:tr2bl w:val="nil"/>
                  </w:tcBorders>
                  <w:shd w:val="clear" w:color="auto" w:fill="auto"/>
                  <w:vAlign w:val="center"/>
                </w:tcPr>
                <w:p w14:paraId="52B20038">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1027" w:type="dxa"/>
                  <w:tcBorders>
                    <w:tl2br w:val="nil"/>
                    <w:tr2bl w:val="nil"/>
                  </w:tcBorders>
                  <w:shd w:val="clear" w:color="auto" w:fill="auto"/>
                  <w:vAlign w:val="center"/>
                </w:tcPr>
                <w:p w14:paraId="11BF5830">
                  <w:pPr>
                    <w:adjustRightInd w:val="0"/>
                    <w:snapToGrid w:val="0"/>
                    <w:jc w:val="center"/>
                    <w:rPr>
                      <w:rFonts w:ascii="Times New Roman" w:hAnsi="Times New Roman"/>
                      <w:color w:val="auto"/>
                      <w:szCs w:val="21"/>
                    </w:rPr>
                  </w:pPr>
                  <w:r>
                    <w:rPr>
                      <w:rFonts w:ascii="Times New Roman" w:hAnsi="Times New Roman"/>
                      <w:color w:val="auto"/>
                      <w:szCs w:val="21"/>
                    </w:rPr>
                    <w:t>否</w:t>
                  </w:r>
                </w:p>
              </w:tc>
            </w:tr>
            <w:tr w14:paraId="24DB56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89" w:type="pct"/>
                  <w:tcBorders>
                    <w:tl2br w:val="nil"/>
                    <w:tr2bl w:val="nil"/>
                  </w:tcBorders>
                  <w:shd w:val="clear" w:color="auto" w:fill="auto"/>
                  <w:vAlign w:val="center"/>
                </w:tcPr>
                <w:p w14:paraId="3F679AD6">
                  <w:pPr>
                    <w:adjustRightInd w:val="0"/>
                    <w:snapToGrid w:val="0"/>
                    <w:jc w:val="center"/>
                    <w:rPr>
                      <w:rFonts w:ascii="Times New Roman" w:hAnsi="Times New Roman"/>
                      <w:color w:val="auto"/>
                      <w:szCs w:val="21"/>
                    </w:rPr>
                  </w:pPr>
                  <w:r>
                    <w:rPr>
                      <w:rFonts w:hint="eastAsia" w:ascii="Times New Roman" w:hAnsi="Times New Roman"/>
                      <w:color w:val="auto"/>
                      <w:szCs w:val="21"/>
                    </w:rPr>
                    <w:t>6</w:t>
                  </w:r>
                </w:p>
              </w:tc>
              <w:tc>
                <w:tcPr>
                  <w:tcW w:w="461" w:type="pct"/>
                  <w:tcBorders>
                    <w:tl2br w:val="nil"/>
                    <w:tr2bl w:val="nil"/>
                  </w:tcBorders>
                  <w:shd w:val="clear" w:color="auto" w:fill="auto"/>
                  <w:vAlign w:val="center"/>
                </w:tcPr>
                <w:p w14:paraId="04ABE0E2">
                  <w:pPr>
                    <w:adjustRightInd w:val="0"/>
                    <w:snapToGrid w:val="0"/>
                    <w:jc w:val="center"/>
                    <w:rPr>
                      <w:rFonts w:ascii="Times New Roman" w:hAnsi="Times New Roman"/>
                      <w:color w:val="auto"/>
                      <w:szCs w:val="21"/>
                    </w:rPr>
                  </w:pPr>
                  <w:r>
                    <w:rPr>
                      <w:rFonts w:ascii="Times New Roman" w:hAnsi="Times New Roman"/>
                      <w:color w:val="auto"/>
                      <w:szCs w:val="21"/>
                    </w:rPr>
                    <w:t>淌水河</w:t>
                  </w:r>
                </w:p>
              </w:tc>
              <w:tc>
                <w:tcPr>
                  <w:tcW w:w="370" w:type="pct"/>
                  <w:tcBorders>
                    <w:tl2br w:val="nil"/>
                    <w:tr2bl w:val="nil"/>
                  </w:tcBorders>
                  <w:shd w:val="clear" w:color="auto" w:fill="auto"/>
                  <w:vAlign w:val="center"/>
                </w:tcPr>
                <w:p w14:paraId="50DEE91C">
                  <w:pPr>
                    <w:adjustRightInd w:val="0"/>
                    <w:snapToGrid w:val="0"/>
                    <w:jc w:val="center"/>
                    <w:rPr>
                      <w:rFonts w:ascii="Times New Roman" w:hAnsi="Times New Roman"/>
                      <w:color w:val="auto"/>
                      <w:szCs w:val="21"/>
                    </w:rPr>
                  </w:pPr>
                  <w:r>
                    <w:rPr>
                      <w:rFonts w:ascii="Times New Roman" w:hAnsi="Times New Roman"/>
                      <w:color w:val="auto"/>
                      <w:szCs w:val="21"/>
                    </w:rPr>
                    <w:t>河流</w:t>
                  </w:r>
                </w:p>
              </w:tc>
              <w:tc>
                <w:tcPr>
                  <w:tcW w:w="936" w:type="pct"/>
                  <w:tcBorders>
                    <w:tl2br w:val="nil"/>
                    <w:tr2bl w:val="nil"/>
                  </w:tcBorders>
                  <w:shd w:val="clear" w:color="auto" w:fill="auto"/>
                  <w:vAlign w:val="center"/>
                </w:tcPr>
                <w:p w14:paraId="12A1BB0E">
                  <w:pPr>
                    <w:adjustRightInd w:val="0"/>
                    <w:snapToGrid w:val="0"/>
                    <w:jc w:val="center"/>
                    <w:rPr>
                      <w:rFonts w:ascii="Times New Roman" w:hAnsi="Times New Roman"/>
                      <w:color w:val="auto"/>
                      <w:szCs w:val="21"/>
                    </w:rPr>
                  </w:pPr>
                  <w:r>
                    <w:rPr>
                      <w:rFonts w:hint="eastAsia" w:ascii="Times New Roman" w:hAnsi="Times New Roman"/>
                      <w:color w:val="auto"/>
                      <w:szCs w:val="21"/>
                    </w:rPr>
                    <w:t>线路终点北侧210米</w:t>
                  </w:r>
                </w:p>
              </w:tc>
              <w:tc>
                <w:tcPr>
                  <w:tcW w:w="1188" w:type="pct"/>
                  <w:tcBorders>
                    <w:tl2br w:val="nil"/>
                    <w:tr2bl w:val="nil"/>
                  </w:tcBorders>
                  <w:shd w:val="clear" w:color="auto" w:fill="auto"/>
                  <w:vAlign w:val="center"/>
                </w:tcPr>
                <w:p w14:paraId="6191C06E">
                  <w:pPr>
                    <w:adjustRightInd w:val="0"/>
                    <w:snapToGrid w:val="0"/>
                    <w:jc w:val="center"/>
                    <w:rPr>
                      <w:rFonts w:ascii="Times New Roman" w:hAnsi="Times New Roman"/>
                      <w:color w:val="auto"/>
                      <w:szCs w:val="21"/>
                    </w:rPr>
                  </w:pPr>
                  <w:r>
                    <w:rPr>
                      <w:rFonts w:hint="eastAsia" w:ascii="Times New Roman" w:hAnsi="Times New Roman"/>
                      <w:color w:val="auto"/>
                      <w:szCs w:val="21"/>
                    </w:rPr>
                    <w:t>/</w:t>
                  </w:r>
                </w:p>
              </w:tc>
              <w:tc>
                <w:tcPr>
                  <w:tcW w:w="297" w:type="pct"/>
                  <w:tcBorders>
                    <w:tl2br w:val="nil"/>
                    <w:tr2bl w:val="nil"/>
                  </w:tcBorders>
                  <w:shd w:val="clear" w:color="auto" w:fill="auto"/>
                  <w:vAlign w:val="center"/>
                </w:tcPr>
                <w:p w14:paraId="2F902C94">
                  <w:pPr>
                    <w:adjustRightInd w:val="0"/>
                    <w:snapToGrid w:val="0"/>
                    <w:jc w:val="center"/>
                    <w:rPr>
                      <w:rFonts w:ascii="Times New Roman" w:hAnsi="Times New Roman"/>
                      <w:color w:val="auto"/>
                      <w:szCs w:val="21"/>
                    </w:rPr>
                  </w:pPr>
                  <w:r>
                    <w:rPr>
                      <w:rFonts w:ascii="Times New Roman" w:hAnsi="Times New Roman"/>
                      <w:color w:val="auto"/>
                      <w:szCs w:val="21"/>
                    </w:rPr>
                    <w:t>否</w:t>
                  </w:r>
                </w:p>
              </w:tc>
              <w:tc>
                <w:tcPr>
                  <w:tcW w:w="496" w:type="pct"/>
                  <w:vMerge w:val="continue"/>
                  <w:tcBorders>
                    <w:tl2br w:val="nil"/>
                    <w:tr2bl w:val="nil"/>
                  </w:tcBorders>
                  <w:shd w:val="clear" w:color="auto" w:fill="auto"/>
                  <w:vAlign w:val="center"/>
                </w:tcPr>
                <w:p w14:paraId="490B03D4">
                  <w:pPr>
                    <w:adjustRightInd w:val="0"/>
                    <w:snapToGrid w:val="0"/>
                    <w:jc w:val="center"/>
                    <w:rPr>
                      <w:rFonts w:ascii="Times New Roman" w:hAnsi="Times New Roman"/>
                      <w:color w:val="auto"/>
                      <w:szCs w:val="21"/>
                    </w:rPr>
                  </w:pPr>
                </w:p>
              </w:tc>
              <w:tc>
                <w:tcPr>
                  <w:tcW w:w="451" w:type="pct"/>
                  <w:tcBorders>
                    <w:tl2br w:val="nil"/>
                    <w:tr2bl w:val="nil"/>
                  </w:tcBorders>
                  <w:shd w:val="clear" w:color="auto" w:fill="auto"/>
                  <w:vAlign w:val="center"/>
                </w:tcPr>
                <w:p w14:paraId="469EC298">
                  <w:pPr>
                    <w:adjustRightInd w:val="0"/>
                    <w:snapToGrid w:val="0"/>
                    <w:jc w:val="center"/>
                    <w:rPr>
                      <w:rFonts w:ascii="Times New Roman" w:hAnsi="Times New Roman"/>
                      <w:color w:val="auto"/>
                      <w:szCs w:val="21"/>
                    </w:rPr>
                  </w:pPr>
                  <w:r>
                    <w:rPr>
                      <w:rFonts w:ascii="Times New Roman" w:hAnsi="Times New Roman"/>
                      <w:color w:val="auto"/>
                      <w:szCs w:val="21"/>
                    </w:rPr>
                    <w:t>Ⅲ类</w:t>
                  </w:r>
                </w:p>
              </w:tc>
              <w:tc>
                <w:tcPr>
                  <w:tcW w:w="608" w:type="pct"/>
                  <w:tcBorders>
                    <w:tl2br w:val="nil"/>
                    <w:tr2bl w:val="nil"/>
                  </w:tcBorders>
                  <w:shd w:val="clear" w:color="auto" w:fill="auto"/>
                  <w:vAlign w:val="center"/>
                </w:tcPr>
                <w:p w14:paraId="539C0E3F">
                  <w:pPr>
                    <w:adjustRightInd w:val="0"/>
                    <w:snapToGrid w:val="0"/>
                    <w:jc w:val="center"/>
                    <w:rPr>
                      <w:rFonts w:ascii="Times New Roman" w:hAnsi="Times New Roman"/>
                      <w:color w:val="auto"/>
                      <w:szCs w:val="21"/>
                    </w:rPr>
                  </w:pPr>
                  <w:r>
                    <w:rPr>
                      <w:rFonts w:ascii="Times New Roman" w:hAnsi="Times New Roman"/>
                      <w:color w:val="auto"/>
                      <w:szCs w:val="21"/>
                    </w:rPr>
                    <w:t>否</w:t>
                  </w:r>
                </w:p>
              </w:tc>
            </w:tr>
          </w:tbl>
          <w:p w14:paraId="0D88235A">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3.7.2.3</w:t>
            </w:r>
            <w:r>
              <w:rPr>
                <w:rFonts w:ascii="Times New Roman" w:hAnsi="Times New Roman"/>
                <w:b/>
                <w:color w:val="auto"/>
                <w:sz w:val="24"/>
                <w:szCs w:val="24"/>
              </w:rPr>
              <w:t>电磁和噪声环境保护目标</w:t>
            </w:r>
          </w:p>
          <w:p w14:paraId="3AC0E83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根据现场调查，架空线路两侧40m范围内</w:t>
            </w:r>
            <w:r>
              <w:rPr>
                <w:rFonts w:hint="eastAsia" w:ascii="Times New Roman" w:hAnsi="Times New Roman"/>
                <w:color w:val="auto"/>
                <w:sz w:val="24"/>
                <w:szCs w:val="24"/>
              </w:rPr>
              <w:t>分布7处</w:t>
            </w:r>
            <w:r>
              <w:rPr>
                <w:rFonts w:ascii="Times New Roman" w:hAnsi="Times New Roman"/>
                <w:color w:val="auto"/>
                <w:sz w:val="24"/>
                <w:szCs w:val="24"/>
              </w:rPr>
              <w:t>电磁环境保护目标</w:t>
            </w:r>
            <w:r>
              <w:rPr>
                <w:rFonts w:hint="eastAsia" w:ascii="Times New Roman" w:hAnsi="Times New Roman"/>
                <w:color w:val="auto"/>
                <w:sz w:val="24"/>
                <w:szCs w:val="24"/>
              </w:rPr>
              <w:t>；</w:t>
            </w:r>
            <w:r>
              <w:rPr>
                <w:rFonts w:ascii="Times New Roman" w:hAnsi="Times New Roman"/>
                <w:color w:val="auto"/>
                <w:sz w:val="24"/>
                <w:szCs w:val="24"/>
              </w:rPr>
              <w:t>架空线路走廊两侧40m范围内</w:t>
            </w:r>
            <w:r>
              <w:rPr>
                <w:rFonts w:hint="eastAsia" w:ascii="Times New Roman" w:hAnsi="Times New Roman"/>
                <w:color w:val="auto"/>
                <w:sz w:val="24"/>
                <w:szCs w:val="24"/>
              </w:rPr>
              <w:t>分布7处</w:t>
            </w:r>
            <w:r>
              <w:rPr>
                <w:rFonts w:ascii="Times New Roman" w:hAnsi="Times New Roman"/>
                <w:color w:val="auto"/>
                <w:sz w:val="24"/>
                <w:szCs w:val="24"/>
              </w:rPr>
              <w:t>声环境保护目标。</w:t>
            </w:r>
            <w:r>
              <w:rPr>
                <w:rFonts w:ascii="Times New Roman" w:hAnsi="Times New Roman"/>
                <w:color w:val="auto"/>
                <w:spacing w:val="-1"/>
                <w:sz w:val="24"/>
              </w:rPr>
              <w:t>保护目标</w:t>
            </w:r>
            <w:r>
              <w:rPr>
                <w:rFonts w:hint="eastAsia" w:ascii="Times New Roman" w:hAnsi="Times New Roman"/>
                <w:color w:val="auto"/>
                <w:spacing w:val="-1"/>
                <w:sz w:val="24"/>
              </w:rPr>
              <w:t>情况</w:t>
            </w:r>
            <w:r>
              <w:rPr>
                <w:rFonts w:ascii="Times New Roman" w:hAnsi="Times New Roman"/>
                <w:color w:val="auto"/>
                <w:spacing w:val="-1"/>
                <w:sz w:val="24"/>
              </w:rPr>
              <w:t>见下表。</w:t>
            </w:r>
          </w:p>
          <w:p w14:paraId="159992D9">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3-32</w:t>
            </w:r>
            <w:r>
              <w:rPr>
                <w:rFonts w:ascii="Times New Roman" w:hAnsi="Times New Roman"/>
                <w:b/>
                <w:color w:val="auto"/>
                <w:sz w:val="24"/>
                <w:szCs w:val="24"/>
              </w:rPr>
              <w:t xml:space="preserve">  项目环境保护目标一览表</w:t>
            </w:r>
          </w:p>
          <w:tbl>
            <w:tblPr>
              <w:tblStyle w:val="27"/>
              <w:tblW w:w="842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3"/>
              <w:gridCol w:w="492"/>
              <w:gridCol w:w="403"/>
              <w:gridCol w:w="500"/>
              <w:gridCol w:w="1577"/>
              <w:gridCol w:w="913"/>
              <w:gridCol w:w="841"/>
              <w:gridCol w:w="647"/>
              <w:gridCol w:w="680"/>
              <w:gridCol w:w="634"/>
              <w:gridCol w:w="1319"/>
            </w:tblGrid>
            <w:tr w14:paraId="41F1E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3FA354E4">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序号</w:t>
                  </w:r>
                </w:p>
              </w:tc>
              <w:tc>
                <w:tcPr>
                  <w:tcW w:w="492" w:type="dxa"/>
                  <w:noWrap/>
                  <w:vAlign w:val="center"/>
                </w:tcPr>
                <w:p w14:paraId="77FC824C">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类别</w:t>
                  </w:r>
                </w:p>
              </w:tc>
              <w:tc>
                <w:tcPr>
                  <w:tcW w:w="403" w:type="dxa"/>
                  <w:noWrap/>
                  <w:vAlign w:val="center"/>
                </w:tcPr>
                <w:p w14:paraId="2D1F84CA">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区域</w:t>
                  </w:r>
                </w:p>
              </w:tc>
              <w:tc>
                <w:tcPr>
                  <w:tcW w:w="500" w:type="dxa"/>
                  <w:noWrap/>
                  <w:vAlign w:val="center"/>
                </w:tcPr>
                <w:p w14:paraId="2D35F181">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名称</w:t>
                  </w:r>
                </w:p>
              </w:tc>
              <w:tc>
                <w:tcPr>
                  <w:tcW w:w="1577" w:type="dxa"/>
                  <w:noWrap/>
                  <w:vAlign w:val="center"/>
                </w:tcPr>
                <w:p w14:paraId="097EBD94">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最近保护目标相对方位及距离</w:t>
                  </w:r>
                  <w:r>
                    <w:rPr>
                      <w:rFonts w:hint="eastAsia" w:ascii="Times New Roman" w:hAnsi="Times New Roman"/>
                      <w:b/>
                      <w:bCs/>
                      <w:color w:val="auto"/>
                      <w:kern w:val="0"/>
                      <w:szCs w:val="21"/>
                    </w:rPr>
                    <w:t>（</w:t>
                  </w:r>
                  <w:r>
                    <w:rPr>
                      <w:rFonts w:ascii="Times New Roman" w:hAnsi="Times New Roman"/>
                      <w:b/>
                      <w:bCs/>
                      <w:color w:val="auto"/>
                      <w:kern w:val="0"/>
                      <w:szCs w:val="21"/>
                    </w:rPr>
                    <w:t>m</w:t>
                  </w:r>
                  <w:r>
                    <w:rPr>
                      <w:rFonts w:hint="eastAsia" w:ascii="Times New Roman" w:hAnsi="Times New Roman"/>
                      <w:b/>
                      <w:bCs/>
                      <w:color w:val="auto"/>
                      <w:kern w:val="0"/>
                      <w:szCs w:val="21"/>
                    </w:rPr>
                    <w:t>）</w:t>
                  </w:r>
                </w:p>
              </w:tc>
              <w:tc>
                <w:tcPr>
                  <w:tcW w:w="913" w:type="dxa"/>
                  <w:noWrap/>
                  <w:vAlign w:val="center"/>
                </w:tcPr>
                <w:p w14:paraId="5E3B96D4">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保护目标</w:t>
                  </w:r>
                  <w:r>
                    <w:rPr>
                      <w:rFonts w:hint="eastAsia" w:ascii="Times New Roman" w:hAnsi="Times New Roman"/>
                      <w:b/>
                      <w:bCs/>
                      <w:color w:val="auto"/>
                      <w:kern w:val="0"/>
                      <w:szCs w:val="21"/>
                    </w:rPr>
                    <w:t>处导线</w:t>
                  </w:r>
                  <w:r>
                    <w:rPr>
                      <w:rFonts w:ascii="Times New Roman" w:hAnsi="Times New Roman"/>
                      <w:b/>
                      <w:bCs/>
                      <w:color w:val="auto"/>
                      <w:kern w:val="0"/>
                      <w:szCs w:val="21"/>
                    </w:rPr>
                    <w:t>对地高度（m）</w:t>
                  </w:r>
                </w:p>
              </w:tc>
              <w:tc>
                <w:tcPr>
                  <w:tcW w:w="841" w:type="dxa"/>
                  <w:noWrap/>
                  <w:vAlign w:val="center"/>
                </w:tcPr>
                <w:p w14:paraId="2F162878">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房屋层数及结构</w:t>
                  </w:r>
                </w:p>
              </w:tc>
              <w:tc>
                <w:tcPr>
                  <w:tcW w:w="647" w:type="dxa"/>
                  <w:noWrap/>
                  <w:vAlign w:val="center"/>
                </w:tcPr>
                <w:p w14:paraId="001B5B30">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房屋高度</w:t>
                  </w:r>
                  <w:r>
                    <w:rPr>
                      <w:rFonts w:hint="eastAsia" w:ascii="Times New Roman" w:hAnsi="Times New Roman"/>
                      <w:b/>
                      <w:bCs/>
                      <w:color w:val="auto"/>
                      <w:kern w:val="0"/>
                      <w:szCs w:val="21"/>
                    </w:rPr>
                    <w:t>（</w:t>
                  </w:r>
                  <w:r>
                    <w:rPr>
                      <w:rFonts w:ascii="Times New Roman" w:hAnsi="Times New Roman"/>
                      <w:b/>
                      <w:bCs/>
                      <w:color w:val="auto"/>
                      <w:kern w:val="0"/>
                      <w:szCs w:val="21"/>
                    </w:rPr>
                    <w:t>m</w:t>
                  </w:r>
                  <w:r>
                    <w:rPr>
                      <w:rFonts w:hint="eastAsia" w:ascii="Times New Roman" w:hAnsi="Times New Roman"/>
                      <w:b/>
                      <w:bCs/>
                      <w:color w:val="auto"/>
                      <w:kern w:val="0"/>
                      <w:szCs w:val="21"/>
                    </w:rPr>
                    <w:t>）</w:t>
                  </w:r>
                </w:p>
              </w:tc>
              <w:tc>
                <w:tcPr>
                  <w:tcW w:w="680" w:type="dxa"/>
                  <w:noWrap/>
                  <w:vAlign w:val="center"/>
                </w:tcPr>
                <w:p w14:paraId="348600E0">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影响规模</w:t>
                  </w:r>
                </w:p>
              </w:tc>
              <w:tc>
                <w:tcPr>
                  <w:tcW w:w="634" w:type="dxa"/>
                  <w:noWrap/>
                  <w:vAlign w:val="center"/>
                </w:tcPr>
                <w:p w14:paraId="13DC7350">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功能</w:t>
                  </w:r>
                </w:p>
              </w:tc>
              <w:tc>
                <w:tcPr>
                  <w:tcW w:w="1319" w:type="dxa"/>
                  <w:noWrap/>
                  <w:vAlign w:val="center"/>
                </w:tcPr>
                <w:p w14:paraId="0B406F13">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保护级别</w:t>
                  </w:r>
                </w:p>
              </w:tc>
            </w:tr>
            <w:tr w14:paraId="75E1F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29" w:type="dxa"/>
                  <w:gridSpan w:val="11"/>
                  <w:noWrap/>
                  <w:vAlign w:val="center"/>
                </w:tcPr>
                <w:p w14:paraId="78948C94">
                  <w:pPr>
                    <w:widowControl/>
                    <w:adjustRightInd w:val="0"/>
                    <w:snapToGrid w:val="0"/>
                    <w:spacing w:line="320" w:lineRule="exact"/>
                    <w:jc w:val="center"/>
                    <w:rPr>
                      <w:rFonts w:ascii="Times New Roman" w:hAnsi="Times New Roman"/>
                      <w:b/>
                      <w:bCs/>
                      <w:color w:val="auto"/>
                      <w:kern w:val="0"/>
                      <w:szCs w:val="21"/>
                    </w:rPr>
                  </w:pPr>
                  <w:r>
                    <w:rPr>
                      <w:rFonts w:ascii="Times New Roman" w:hAnsi="Times New Roman"/>
                      <w:b/>
                      <w:bCs/>
                      <w:color w:val="auto"/>
                      <w:kern w:val="0"/>
                      <w:szCs w:val="21"/>
                    </w:rPr>
                    <w:t>架空线路</w:t>
                  </w:r>
                </w:p>
              </w:tc>
            </w:tr>
            <w:tr w14:paraId="6779AE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794F5BBD">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1</w:t>
                  </w:r>
                </w:p>
              </w:tc>
              <w:tc>
                <w:tcPr>
                  <w:tcW w:w="492" w:type="dxa"/>
                  <w:vMerge w:val="restart"/>
                  <w:noWrap/>
                  <w:vAlign w:val="center"/>
                </w:tcPr>
                <w:p w14:paraId="747F4F47">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电磁</w:t>
                  </w:r>
                  <w:r>
                    <w:rPr>
                      <w:rFonts w:hint="eastAsia" w:ascii="Times New Roman" w:hAnsi="Times New Roman"/>
                      <w:color w:val="auto"/>
                      <w:kern w:val="0"/>
                      <w:szCs w:val="21"/>
                    </w:rPr>
                    <w:t>、噪声</w:t>
                  </w:r>
                </w:p>
              </w:tc>
              <w:tc>
                <w:tcPr>
                  <w:tcW w:w="403" w:type="dxa"/>
                  <w:vMerge w:val="restart"/>
                  <w:noWrap/>
                  <w:vAlign w:val="center"/>
                </w:tcPr>
                <w:p w14:paraId="53114D1B">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会泽县乐业镇</w:t>
                  </w:r>
                </w:p>
              </w:tc>
              <w:tc>
                <w:tcPr>
                  <w:tcW w:w="500" w:type="dxa"/>
                  <w:noWrap/>
                  <w:vAlign w:val="center"/>
                </w:tcPr>
                <w:p w14:paraId="59C7D774">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六合村</w:t>
                  </w:r>
                </w:p>
              </w:tc>
              <w:tc>
                <w:tcPr>
                  <w:tcW w:w="1577" w:type="dxa"/>
                  <w:noWrap/>
                  <w:vAlign w:val="center"/>
                </w:tcPr>
                <w:p w14:paraId="62A1646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线路</w:t>
                  </w:r>
                  <w:r>
                    <w:rPr>
                      <w:rFonts w:ascii="Times New Roman" w:hAnsi="Times New Roman"/>
                      <w:color w:val="auto"/>
                      <w:kern w:val="0"/>
                      <w:szCs w:val="21"/>
                    </w:rPr>
                    <w:t>塔基N</w:t>
                  </w:r>
                  <w:r>
                    <w:rPr>
                      <w:rFonts w:hint="eastAsia" w:ascii="Times New Roman" w:hAnsi="Times New Roman"/>
                      <w:color w:val="auto"/>
                      <w:kern w:val="0"/>
                      <w:szCs w:val="21"/>
                    </w:rPr>
                    <w:t>1</w:t>
                  </w:r>
                  <w:r>
                    <w:rPr>
                      <w:rFonts w:ascii="Times New Roman" w:hAnsi="Times New Roman"/>
                      <w:color w:val="auto"/>
                      <w:kern w:val="0"/>
                      <w:szCs w:val="21"/>
                    </w:rPr>
                    <w:t>~N</w:t>
                  </w:r>
                  <w:r>
                    <w:rPr>
                      <w:rFonts w:hint="eastAsia" w:ascii="Times New Roman" w:hAnsi="Times New Roman"/>
                      <w:color w:val="auto"/>
                      <w:kern w:val="0"/>
                      <w:szCs w:val="21"/>
                    </w:rPr>
                    <w:t>2</w:t>
                  </w:r>
                  <w:r>
                    <w:rPr>
                      <w:rFonts w:ascii="Times New Roman" w:hAnsi="Times New Roman"/>
                      <w:color w:val="auto"/>
                      <w:kern w:val="0"/>
                      <w:szCs w:val="21"/>
                    </w:rPr>
                    <w:t>之间六合村2F</w:t>
                  </w:r>
                  <w:r>
                    <w:rPr>
                      <w:rFonts w:hint="eastAsia" w:ascii="Times New Roman" w:hAnsi="Times New Roman"/>
                      <w:color w:val="auto"/>
                      <w:kern w:val="0"/>
                      <w:szCs w:val="21"/>
                    </w:rPr>
                    <w:t>居民房，北侧22m</w:t>
                  </w:r>
                </w:p>
              </w:tc>
              <w:tc>
                <w:tcPr>
                  <w:tcW w:w="913" w:type="dxa"/>
                  <w:shd w:val="clear" w:color="auto" w:fill="auto"/>
                  <w:noWrap/>
                  <w:vAlign w:val="center"/>
                </w:tcPr>
                <w:p w14:paraId="649535B4">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13.8m</w:t>
                  </w:r>
                </w:p>
              </w:tc>
              <w:tc>
                <w:tcPr>
                  <w:tcW w:w="841" w:type="dxa"/>
                  <w:shd w:val="clear" w:color="auto" w:fill="auto"/>
                  <w:noWrap/>
                  <w:vAlign w:val="center"/>
                </w:tcPr>
                <w:p w14:paraId="4B3A316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2F，</w:t>
                  </w:r>
                  <w:r>
                    <w:rPr>
                      <w:rFonts w:hint="eastAsia" w:ascii="Times New Roman" w:hAnsi="Times New Roman"/>
                      <w:color w:val="auto"/>
                      <w:kern w:val="0"/>
                      <w:szCs w:val="21"/>
                    </w:rPr>
                    <w:t>坡顶瓦房</w:t>
                  </w:r>
                </w:p>
              </w:tc>
              <w:tc>
                <w:tcPr>
                  <w:tcW w:w="647" w:type="dxa"/>
                  <w:shd w:val="clear" w:color="auto" w:fill="auto"/>
                  <w:noWrap/>
                  <w:vAlign w:val="center"/>
                </w:tcPr>
                <w:p w14:paraId="12851ACD">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6</w:t>
                  </w:r>
                </w:p>
              </w:tc>
              <w:tc>
                <w:tcPr>
                  <w:tcW w:w="680" w:type="dxa"/>
                  <w:shd w:val="clear" w:color="auto" w:fill="auto"/>
                  <w:noWrap/>
                  <w:vAlign w:val="center"/>
                </w:tcPr>
                <w:p w14:paraId="1761E5AB">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lang w:val="en-US" w:eastAsia="zh-CN"/>
                    </w:rPr>
                    <w:t>4</w:t>
                  </w:r>
                  <w:r>
                    <w:rPr>
                      <w:rFonts w:ascii="Times New Roman" w:hAnsi="Times New Roman"/>
                      <w:color w:val="auto"/>
                      <w:kern w:val="0"/>
                      <w:szCs w:val="21"/>
                    </w:rPr>
                    <w:t>户，</w:t>
                  </w:r>
                  <w:r>
                    <w:rPr>
                      <w:rFonts w:hint="eastAsia" w:ascii="Times New Roman" w:hAnsi="Times New Roman"/>
                      <w:color w:val="auto"/>
                      <w:kern w:val="0"/>
                      <w:szCs w:val="21"/>
                    </w:rPr>
                    <w:t>1</w:t>
                  </w:r>
                  <w:r>
                    <w:rPr>
                      <w:rFonts w:hint="eastAsia" w:ascii="Times New Roman" w:hAnsi="Times New Roman"/>
                      <w:color w:val="auto"/>
                      <w:kern w:val="0"/>
                      <w:szCs w:val="21"/>
                      <w:lang w:val="en-US" w:eastAsia="zh-CN"/>
                    </w:rPr>
                    <w:t>6</w:t>
                  </w:r>
                  <w:r>
                    <w:rPr>
                      <w:rFonts w:ascii="Times New Roman" w:hAnsi="Times New Roman"/>
                      <w:color w:val="auto"/>
                      <w:kern w:val="0"/>
                      <w:szCs w:val="21"/>
                    </w:rPr>
                    <w:t>人</w:t>
                  </w:r>
                </w:p>
              </w:tc>
              <w:tc>
                <w:tcPr>
                  <w:tcW w:w="634" w:type="dxa"/>
                  <w:noWrap/>
                  <w:vAlign w:val="center"/>
                </w:tcPr>
                <w:p w14:paraId="21B497A1">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restart"/>
                  <w:noWrap/>
                  <w:vAlign w:val="center"/>
                </w:tcPr>
                <w:p w14:paraId="2829D268">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《电磁环境控制限值》（GB8702-2014）工频电场强度4000V/m和工频磁感应强度限值100μT；《声环境质量标准》（GB3096-2008）中1类</w:t>
                  </w:r>
                  <w:r>
                    <w:rPr>
                      <w:rFonts w:hint="eastAsia" w:ascii="Times New Roman" w:hAnsi="Times New Roman"/>
                      <w:color w:val="auto"/>
                      <w:kern w:val="0"/>
                      <w:szCs w:val="21"/>
                    </w:rPr>
                    <w:t>、4a类</w:t>
                  </w:r>
                  <w:r>
                    <w:rPr>
                      <w:rFonts w:ascii="Times New Roman" w:hAnsi="Times New Roman"/>
                      <w:color w:val="auto"/>
                      <w:kern w:val="0"/>
                      <w:szCs w:val="21"/>
                    </w:rPr>
                    <w:t>标准</w:t>
                  </w:r>
                </w:p>
              </w:tc>
            </w:tr>
            <w:tr w14:paraId="68016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421DEE17">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2</w:t>
                  </w:r>
                </w:p>
              </w:tc>
              <w:tc>
                <w:tcPr>
                  <w:tcW w:w="492" w:type="dxa"/>
                  <w:vMerge w:val="continue"/>
                  <w:noWrap/>
                  <w:vAlign w:val="center"/>
                </w:tcPr>
                <w:p w14:paraId="1143CE56">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714F74E2">
                  <w:pPr>
                    <w:widowControl/>
                    <w:adjustRightInd w:val="0"/>
                    <w:snapToGrid w:val="0"/>
                    <w:spacing w:line="320" w:lineRule="exact"/>
                    <w:jc w:val="center"/>
                    <w:rPr>
                      <w:rFonts w:ascii="Times New Roman" w:hAnsi="Times New Roman"/>
                      <w:color w:val="auto"/>
                      <w:kern w:val="0"/>
                      <w:szCs w:val="21"/>
                    </w:rPr>
                  </w:pPr>
                </w:p>
              </w:tc>
              <w:tc>
                <w:tcPr>
                  <w:tcW w:w="500" w:type="dxa"/>
                  <w:noWrap/>
                  <w:vAlign w:val="center"/>
                </w:tcPr>
                <w:p w14:paraId="1043F26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石灰窑</w:t>
                  </w:r>
                </w:p>
              </w:tc>
              <w:tc>
                <w:tcPr>
                  <w:tcW w:w="1577" w:type="dxa"/>
                  <w:noWrap/>
                  <w:vAlign w:val="center"/>
                </w:tcPr>
                <w:p w14:paraId="19B7D781">
                  <w:pPr>
                    <w:widowControl/>
                    <w:adjustRightInd w:val="0"/>
                    <w:snapToGrid w:val="0"/>
                    <w:jc w:val="center"/>
                    <w:rPr>
                      <w:rFonts w:ascii="Times New Roman" w:hAnsi="Times New Roman"/>
                      <w:bCs/>
                      <w:color w:val="auto"/>
                      <w:kern w:val="0"/>
                      <w:szCs w:val="21"/>
                    </w:rPr>
                  </w:pPr>
                  <w:r>
                    <w:rPr>
                      <w:rFonts w:hint="eastAsia" w:ascii="Times New Roman" w:hAnsi="Times New Roman"/>
                      <w:color w:val="auto"/>
                      <w:kern w:val="0"/>
                      <w:szCs w:val="21"/>
                    </w:rPr>
                    <w:t>塔基N11~N12之间石灰窑散户</w:t>
                  </w:r>
                  <w:r>
                    <w:rPr>
                      <w:rFonts w:ascii="Times New Roman" w:hAnsi="Times New Roman"/>
                      <w:color w:val="auto"/>
                      <w:kern w:val="0"/>
                      <w:szCs w:val="21"/>
                    </w:rPr>
                    <w:t>2F</w:t>
                  </w:r>
                  <w:r>
                    <w:rPr>
                      <w:rFonts w:hint="eastAsia" w:ascii="Times New Roman" w:hAnsi="Times New Roman"/>
                      <w:color w:val="auto"/>
                      <w:kern w:val="0"/>
                      <w:szCs w:val="21"/>
                    </w:rPr>
                    <w:t>居民房，东侧30m</w:t>
                  </w:r>
                </w:p>
              </w:tc>
              <w:tc>
                <w:tcPr>
                  <w:tcW w:w="913" w:type="dxa"/>
                  <w:shd w:val="clear" w:color="auto" w:fill="auto"/>
                  <w:noWrap/>
                  <w:vAlign w:val="center"/>
                </w:tcPr>
                <w:p w14:paraId="3CD3212B">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43m</w:t>
                  </w:r>
                </w:p>
              </w:tc>
              <w:tc>
                <w:tcPr>
                  <w:tcW w:w="841" w:type="dxa"/>
                  <w:shd w:val="clear" w:color="auto" w:fill="auto"/>
                  <w:noWrap/>
                  <w:vAlign w:val="center"/>
                </w:tcPr>
                <w:p w14:paraId="0AAC3608">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w:t>
                  </w:r>
                  <w:r>
                    <w:rPr>
                      <w:rFonts w:ascii="Times New Roman" w:hAnsi="Times New Roman"/>
                      <w:color w:val="auto"/>
                      <w:kern w:val="0"/>
                      <w:szCs w:val="21"/>
                    </w:rPr>
                    <w:t>F，</w:t>
                  </w:r>
                  <w:r>
                    <w:rPr>
                      <w:rFonts w:hint="eastAsia" w:ascii="Times New Roman" w:hAnsi="Times New Roman"/>
                      <w:color w:val="auto"/>
                      <w:kern w:val="0"/>
                      <w:szCs w:val="21"/>
                    </w:rPr>
                    <w:t>平顶砖混结构</w:t>
                  </w:r>
                </w:p>
              </w:tc>
              <w:tc>
                <w:tcPr>
                  <w:tcW w:w="647" w:type="dxa"/>
                  <w:shd w:val="clear" w:color="auto" w:fill="auto"/>
                  <w:noWrap/>
                  <w:vAlign w:val="center"/>
                </w:tcPr>
                <w:p w14:paraId="0BA1885B">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3</w:t>
                  </w:r>
                </w:p>
              </w:tc>
              <w:tc>
                <w:tcPr>
                  <w:tcW w:w="680" w:type="dxa"/>
                  <w:shd w:val="clear" w:color="auto" w:fill="auto"/>
                  <w:noWrap/>
                  <w:vAlign w:val="center"/>
                </w:tcPr>
                <w:p w14:paraId="4EF8CE6B">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1户，</w:t>
                  </w:r>
                  <w:r>
                    <w:rPr>
                      <w:rFonts w:hint="eastAsia" w:ascii="Times New Roman" w:hAnsi="Times New Roman"/>
                      <w:color w:val="auto"/>
                      <w:kern w:val="0"/>
                      <w:szCs w:val="21"/>
                    </w:rPr>
                    <w:t>5</w:t>
                  </w:r>
                  <w:r>
                    <w:rPr>
                      <w:rFonts w:ascii="Times New Roman" w:hAnsi="Times New Roman"/>
                      <w:color w:val="auto"/>
                      <w:kern w:val="0"/>
                      <w:szCs w:val="21"/>
                    </w:rPr>
                    <w:t>人</w:t>
                  </w:r>
                </w:p>
              </w:tc>
              <w:tc>
                <w:tcPr>
                  <w:tcW w:w="634" w:type="dxa"/>
                  <w:noWrap/>
                  <w:vAlign w:val="center"/>
                </w:tcPr>
                <w:p w14:paraId="3A13C406">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continue"/>
                  <w:noWrap/>
                  <w:vAlign w:val="center"/>
                </w:tcPr>
                <w:p w14:paraId="2353FC43">
                  <w:pPr>
                    <w:widowControl/>
                    <w:adjustRightInd w:val="0"/>
                    <w:snapToGrid w:val="0"/>
                    <w:spacing w:line="320" w:lineRule="exact"/>
                    <w:jc w:val="center"/>
                    <w:rPr>
                      <w:rFonts w:ascii="Times New Roman" w:hAnsi="Times New Roman"/>
                      <w:color w:val="auto"/>
                      <w:kern w:val="0"/>
                      <w:szCs w:val="21"/>
                    </w:rPr>
                  </w:pPr>
                </w:p>
              </w:tc>
            </w:tr>
            <w:tr w14:paraId="53E3C5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18E355C6">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3</w:t>
                  </w:r>
                </w:p>
              </w:tc>
              <w:tc>
                <w:tcPr>
                  <w:tcW w:w="492" w:type="dxa"/>
                  <w:vMerge w:val="continue"/>
                  <w:noWrap/>
                  <w:vAlign w:val="center"/>
                </w:tcPr>
                <w:p w14:paraId="645E5E00">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1349145F">
                  <w:pPr>
                    <w:widowControl/>
                    <w:adjustRightInd w:val="0"/>
                    <w:snapToGrid w:val="0"/>
                    <w:spacing w:line="320" w:lineRule="exact"/>
                    <w:jc w:val="center"/>
                    <w:rPr>
                      <w:rFonts w:ascii="Times New Roman" w:hAnsi="Times New Roman"/>
                      <w:color w:val="auto"/>
                      <w:kern w:val="0"/>
                      <w:szCs w:val="21"/>
                    </w:rPr>
                  </w:pPr>
                </w:p>
              </w:tc>
              <w:tc>
                <w:tcPr>
                  <w:tcW w:w="500" w:type="dxa"/>
                  <w:noWrap/>
                  <w:vAlign w:val="center"/>
                </w:tcPr>
                <w:p w14:paraId="759F4957">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p>
              </w:tc>
              <w:tc>
                <w:tcPr>
                  <w:tcW w:w="1577" w:type="dxa"/>
                  <w:noWrap/>
                  <w:vAlign w:val="center"/>
                </w:tcPr>
                <w:p w14:paraId="7ACD7DB9">
                  <w:pPr>
                    <w:widowControl/>
                    <w:adjustRightInd w:val="0"/>
                    <w:snapToGrid w:val="0"/>
                    <w:jc w:val="center"/>
                    <w:rPr>
                      <w:rFonts w:ascii="Times New Roman" w:hAnsi="Times New Roman"/>
                      <w:bCs/>
                      <w:color w:val="auto"/>
                      <w:kern w:val="0"/>
                      <w:szCs w:val="21"/>
                    </w:rPr>
                  </w:pPr>
                  <w:r>
                    <w:rPr>
                      <w:rFonts w:hint="eastAsia" w:ascii="Times New Roman" w:hAnsi="Times New Roman"/>
                      <w:color w:val="auto"/>
                      <w:kern w:val="0"/>
                      <w:szCs w:val="21"/>
                    </w:rPr>
                    <w:t>塔基N23~N24之间隧道工棚，</w:t>
                  </w:r>
                  <w:r>
                    <w:rPr>
                      <w:rFonts w:ascii="Times New Roman" w:hAnsi="Times New Roman"/>
                      <w:color w:val="auto"/>
                      <w:kern w:val="0"/>
                      <w:szCs w:val="21"/>
                    </w:rPr>
                    <w:t>2F</w:t>
                  </w:r>
                  <w:r>
                    <w:rPr>
                      <w:rFonts w:hint="eastAsia" w:ascii="Times New Roman" w:hAnsi="Times New Roman"/>
                      <w:color w:val="auto"/>
                      <w:kern w:val="0"/>
                      <w:szCs w:val="21"/>
                    </w:rPr>
                    <w:t>，南侧32m</w:t>
                  </w:r>
                </w:p>
              </w:tc>
              <w:tc>
                <w:tcPr>
                  <w:tcW w:w="913" w:type="dxa"/>
                  <w:shd w:val="clear" w:color="auto" w:fill="auto"/>
                  <w:noWrap/>
                  <w:vAlign w:val="center"/>
                </w:tcPr>
                <w:p w14:paraId="385D0A6F">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20.3m</w:t>
                  </w:r>
                </w:p>
              </w:tc>
              <w:tc>
                <w:tcPr>
                  <w:tcW w:w="841" w:type="dxa"/>
                  <w:shd w:val="clear" w:color="auto" w:fill="auto"/>
                  <w:noWrap/>
                  <w:vAlign w:val="center"/>
                </w:tcPr>
                <w:p w14:paraId="64661146">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2</w:t>
                  </w:r>
                  <w:r>
                    <w:rPr>
                      <w:rFonts w:ascii="Times New Roman" w:hAnsi="Times New Roman"/>
                      <w:color w:val="auto"/>
                      <w:kern w:val="0"/>
                      <w:szCs w:val="21"/>
                    </w:rPr>
                    <w:t>F，</w:t>
                  </w:r>
                  <w:r>
                    <w:rPr>
                      <w:rFonts w:hint="eastAsia" w:ascii="Times New Roman" w:hAnsi="Times New Roman"/>
                      <w:color w:val="auto"/>
                      <w:kern w:val="0"/>
                      <w:szCs w:val="21"/>
                    </w:rPr>
                    <w:t>坡顶彩钢</w:t>
                  </w:r>
                  <w:r>
                    <w:rPr>
                      <w:rFonts w:ascii="Times New Roman" w:hAnsi="Times New Roman"/>
                      <w:color w:val="auto"/>
                      <w:kern w:val="0"/>
                      <w:szCs w:val="21"/>
                    </w:rPr>
                    <w:t>结构</w:t>
                  </w:r>
                </w:p>
              </w:tc>
              <w:tc>
                <w:tcPr>
                  <w:tcW w:w="647" w:type="dxa"/>
                  <w:shd w:val="clear" w:color="auto" w:fill="auto"/>
                  <w:noWrap/>
                  <w:vAlign w:val="center"/>
                </w:tcPr>
                <w:p w14:paraId="3AB1992D">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6</w:t>
                  </w:r>
                </w:p>
              </w:tc>
              <w:tc>
                <w:tcPr>
                  <w:tcW w:w="680" w:type="dxa"/>
                  <w:shd w:val="clear" w:color="auto" w:fill="auto"/>
                  <w:noWrap/>
                  <w:vAlign w:val="center"/>
                </w:tcPr>
                <w:p w14:paraId="4A4E18A8">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约30</w:t>
                  </w:r>
                  <w:r>
                    <w:rPr>
                      <w:rFonts w:ascii="Times New Roman" w:hAnsi="Times New Roman"/>
                      <w:color w:val="auto"/>
                      <w:kern w:val="0"/>
                      <w:szCs w:val="21"/>
                    </w:rPr>
                    <w:t>人</w:t>
                  </w:r>
                </w:p>
              </w:tc>
              <w:tc>
                <w:tcPr>
                  <w:tcW w:w="634" w:type="dxa"/>
                  <w:noWrap/>
                  <w:vAlign w:val="center"/>
                </w:tcPr>
                <w:p w14:paraId="3114BF8C">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continue"/>
                  <w:noWrap/>
                  <w:vAlign w:val="center"/>
                </w:tcPr>
                <w:p w14:paraId="04052186">
                  <w:pPr>
                    <w:widowControl/>
                    <w:adjustRightInd w:val="0"/>
                    <w:snapToGrid w:val="0"/>
                    <w:spacing w:line="320" w:lineRule="exact"/>
                    <w:jc w:val="center"/>
                    <w:rPr>
                      <w:rFonts w:ascii="Times New Roman" w:hAnsi="Times New Roman"/>
                      <w:color w:val="auto"/>
                      <w:kern w:val="0"/>
                      <w:szCs w:val="21"/>
                    </w:rPr>
                  </w:pPr>
                </w:p>
              </w:tc>
            </w:tr>
            <w:tr w14:paraId="0266E7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642EFFC7">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4</w:t>
                  </w:r>
                </w:p>
              </w:tc>
              <w:tc>
                <w:tcPr>
                  <w:tcW w:w="492" w:type="dxa"/>
                  <w:vMerge w:val="continue"/>
                  <w:noWrap/>
                  <w:vAlign w:val="center"/>
                </w:tcPr>
                <w:p w14:paraId="7A176E13">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6FE6C79C">
                  <w:pPr>
                    <w:widowControl/>
                    <w:adjustRightInd w:val="0"/>
                    <w:snapToGrid w:val="0"/>
                    <w:spacing w:line="320" w:lineRule="exact"/>
                    <w:jc w:val="center"/>
                    <w:rPr>
                      <w:rFonts w:ascii="Times New Roman" w:hAnsi="Times New Roman"/>
                      <w:color w:val="auto"/>
                      <w:kern w:val="0"/>
                      <w:szCs w:val="21"/>
                    </w:rPr>
                  </w:pPr>
                </w:p>
              </w:tc>
              <w:tc>
                <w:tcPr>
                  <w:tcW w:w="500" w:type="dxa"/>
                  <w:shd w:val="clear" w:color="auto" w:fill="auto"/>
                  <w:noWrap/>
                  <w:vAlign w:val="center"/>
                </w:tcPr>
                <w:p w14:paraId="03849D7E">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叶家冲村</w:t>
                  </w:r>
                </w:p>
              </w:tc>
              <w:tc>
                <w:tcPr>
                  <w:tcW w:w="1577" w:type="dxa"/>
                  <w:shd w:val="clear" w:color="auto" w:fill="auto"/>
                  <w:noWrap/>
                  <w:vAlign w:val="center"/>
                </w:tcPr>
                <w:p w14:paraId="119A9AF5">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塔基N29~N30之间叶家冲散户</w:t>
                  </w:r>
                  <w:r>
                    <w:rPr>
                      <w:rFonts w:ascii="Times New Roman" w:hAnsi="Times New Roman"/>
                      <w:color w:val="auto"/>
                      <w:kern w:val="0"/>
                      <w:szCs w:val="21"/>
                    </w:rPr>
                    <w:t>2F</w:t>
                  </w:r>
                  <w:r>
                    <w:rPr>
                      <w:rFonts w:hint="eastAsia" w:ascii="Times New Roman" w:hAnsi="Times New Roman"/>
                      <w:color w:val="auto"/>
                      <w:kern w:val="0"/>
                      <w:szCs w:val="21"/>
                    </w:rPr>
                    <w:t>居民房，东侧40m</w:t>
                  </w:r>
                </w:p>
              </w:tc>
              <w:tc>
                <w:tcPr>
                  <w:tcW w:w="913" w:type="dxa"/>
                  <w:shd w:val="clear" w:color="auto" w:fill="auto"/>
                  <w:noWrap/>
                  <w:vAlign w:val="center"/>
                </w:tcPr>
                <w:p w14:paraId="7337549C">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34.4m</w:t>
                  </w:r>
                </w:p>
              </w:tc>
              <w:tc>
                <w:tcPr>
                  <w:tcW w:w="841" w:type="dxa"/>
                  <w:shd w:val="clear" w:color="auto" w:fill="auto"/>
                  <w:noWrap/>
                  <w:vAlign w:val="center"/>
                </w:tcPr>
                <w:p w14:paraId="2CB5D9F0">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2</w:t>
                  </w:r>
                  <w:r>
                    <w:rPr>
                      <w:rFonts w:ascii="Times New Roman" w:hAnsi="Times New Roman"/>
                      <w:color w:val="auto"/>
                      <w:kern w:val="0"/>
                      <w:szCs w:val="21"/>
                    </w:rPr>
                    <w:t>F，坡顶</w:t>
                  </w:r>
                  <w:r>
                    <w:rPr>
                      <w:rFonts w:hint="eastAsia" w:ascii="Times New Roman" w:hAnsi="Times New Roman"/>
                      <w:color w:val="auto"/>
                      <w:kern w:val="0"/>
                      <w:szCs w:val="21"/>
                    </w:rPr>
                    <w:t>钢架结构</w:t>
                  </w:r>
                </w:p>
              </w:tc>
              <w:tc>
                <w:tcPr>
                  <w:tcW w:w="647" w:type="dxa"/>
                  <w:shd w:val="clear" w:color="auto" w:fill="auto"/>
                  <w:noWrap/>
                  <w:vAlign w:val="center"/>
                </w:tcPr>
                <w:p w14:paraId="57768A01">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6</w:t>
                  </w:r>
                </w:p>
              </w:tc>
              <w:tc>
                <w:tcPr>
                  <w:tcW w:w="680" w:type="dxa"/>
                  <w:shd w:val="clear" w:color="auto" w:fill="auto"/>
                  <w:noWrap/>
                  <w:vAlign w:val="center"/>
                </w:tcPr>
                <w:p w14:paraId="79991C9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1户，2人</w:t>
                  </w:r>
                </w:p>
              </w:tc>
              <w:tc>
                <w:tcPr>
                  <w:tcW w:w="634" w:type="dxa"/>
                  <w:shd w:val="clear" w:color="auto" w:fill="auto"/>
                  <w:noWrap/>
                  <w:vAlign w:val="center"/>
                </w:tcPr>
                <w:p w14:paraId="01EA6044">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continue"/>
                  <w:noWrap/>
                  <w:vAlign w:val="center"/>
                </w:tcPr>
                <w:p w14:paraId="177BC5FB">
                  <w:pPr>
                    <w:widowControl/>
                    <w:adjustRightInd w:val="0"/>
                    <w:snapToGrid w:val="0"/>
                    <w:spacing w:line="320" w:lineRule="exact"/>
                    <w:jc w:val="center"/>
                    <w:rPr>
                      <w:rFonts w:ascii="Times New Roman" w:hAnsi="Times New Roman"/>
                      <w:color w:val="auto"/>
                      <w:kern w:val="0"/>
                      <w:szCs w:val="21"/>
                    </w:rPr>
                  </w:pPr>
                </w:p>
              </w:tc>
            </w:tr>
            <w:tr w14:paraId="7EA387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40C38F5F">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5</w:t>
                  </w:r>
                </w:p>
              </w:tc>
              <w:tc>
                <w:tcPr>
                  <w:tcW w:w="492" w:type="dxa"/>
                  <w:vMerge w:val="continue"/>
                  <w:noWrap/>
                  <w:vAlign w:val="center"/>
                </w:tcPr>
                <w:p w14:paraId="295FFDAA">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62933E8B">
                  <w:pPr>
                    <w:widowControl/>
                    <w:adjustRightInd w:val="0"/>
                    <w:snapToGrid w:val="0"/>
                    <w:spacing w:line="320" w:lineRule="exact"/>
                    <w:jc w:val="center"/>
                    <w:rPr>
                      <w:rFonts w:ascii="Times New Roman" w:hAnsi="Times New Roman"/>
                      <w:color w:val="auto"/>
                      <w:kern w:val="0"/>
                      <w:szCs w:val="21"/>
                    </w:rPr>
                  </w:pPr>
                </w:p>
              </w:tc>
              <w:tc>
                <w:tcPr>
                  <w:tcW w:w="500" w:type="dxa"/>
                  <w:shd w:val="clear" w:color="auto" w:fill="auto"/>
                  <w:noWrap/>
                  <w:vAlign w:val="center"/>
                </w:tcPr>
                <w:p w14:paraId="45D347E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中梁子村</w:t>
                  </w:r>
                </w:p>
              </w:tc>
              <w:tc>
                <w:tcPr>
                  <w:tcW w:w="1577" w:type="dxa"/>
                  <w:shd w:val="clear" w:color="auto" w:fill="auto"/>
                  <w:noWrap/>
                  <w:vAlign w:val="center"/>
                </w:tcPr>
                <w:p w14:paraId="5579D729">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塔基N50~N51之间中梁子散户</w:t>
                  </w:r>
                  <w:r>
                    <w:rPr>
                      <w:rFonts w:ascii="Times New Roman" w:hAnsi="Times New Roman"/>
                      <w:color w:val="auto"/>
                      <w:kern w:val="0"/>
                      <w:szCs w:val="21"/>
                    </w:rPr>
                    <w:t>2F</w:t>
                  </w:r>
                  <w:r>
                    <w:rPr>
                      <w:rFonts w:hint="eastAsia" w:ascii="Times New Roman" w:hAnsi="Times New Roman"/>
                      <w:color w:val="auto"/>
                      <w:kern w:val="0"/>
                      <w:szCs w:val="21"/>
                    </w:rPr>
                    <w:t>居民房，东侧30m</w:t>
                  </w:r>
                </w:p>
              </w:tc>
              <w:tc>
                <w:tcPr>
                  <w:tcW w:w="913" w:type="dxa"/>
                  <w:shd w:val="clear" w:color="auto" w:fill="auto"/>
                  <w:noWrap/>
                  <w:vAlign w:val="center"/>
                </w:tcPr>
                <w:p w14:paraId="3E4017DC">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32.5m</w:t>
                  </w:r>
                </w:p>
              </w:tc>
              <w:tc>
                <w:tcPr>
                  <w:tcW w:w="841" w:type="dxa"/>
                  <w:shd w:val="clear" w:color="auto" w:fill="auto"/>
                  <w:noWrap/>
                  <w:vAlign w:val="center"/>
                </w:tcPr>
                <w:p w14:paraId="3BE0363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2</w:t>
                  </w:r>
                  <w:r>
                    <w:rPr>
                      <w:rFonts w:ascii="Times New Roman" w:hAnsi="Times New Roman"/>
                      <w:color w:val="auto"/>
                      <w:kern w:val="0"/>
                      <w:szCs w:val="21"/>
                    </w:rPr>
                    <w:t>F，</w:t>
                  </w:r>
                  <w:r>
                    <w:rPr>
                      <w:rFonts w:hint="eastAsia" w:ascii="Times New Roman" w:hAnsi="Times New Roman"/>
                      <w:color w:val="auto"/>
                      <w:kern w:val="0"/>
                      <w:szCs w:val="21"/>
                    </w:rPr>
                    <w:t>平顶砖混结构</w:t>
                  </w:r>
                </w:p>
              </w:tc>
              <w:tc>
                <w:tcPr>
                  <w:tcW w:w="647" w:type="dxa"/>
                  <w:shd w:val="clear" w:color="auto" w:fill="auto"/>
                  <w:noWrap/>
                  <w:vAlign w:val="center"/>
                </w:tcPr>
                <w:p w14:paraId="238C3638">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6</w:t>
                  </w:r>
                </w:p>
              </w:tc>
              <w:tc>
                <w:tcPr>
                  <w:tcW w:w="680" w:type="dxa"/>
                  <w:shd w:val="clear" w:color="auto" w:fill="auto"/>
                  <w:noWrap/>
                  <w:vAlign w:val="center"/>
                </w:tcPr>
                <w:p w14:paraId="5508C734">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1户，</w:t>
                  </w:r>
                  <w:r>
                    <w:rPr>
                      <w:rFonts w:hint="eastAsia" w:ascii="Times New Roman" w:hAnsi="Times New Roman"/>
                      <w:color w:val="auto"/>
                      <w:kern w:val="0"/>
                      <w:szCs w:val="21"/>
                    </w:rPr>
                    <w:t>4</w:t>
                  </w:r>
                  <w:r>
                    <w:rPr>
                      <w:rFonts w:ascii="Times New Roman" w:hAnsi="Times New Roman"/>
                      <w:color w:val="auto"/>
                      <w:kern w:val="0"/>
                      <w:szCs w:val="21"/>
                    </w:rPr>
                    <w:t>人</w:t>
                  </w:r>
                </w:p>
              </w:tc>
              <w:tc>
                <w:tcPr>
                  <w:tcW w:w="634" w:type="dxa"/>
                  <w:shd w:val="clear" w:color="auto" w:fill="auto"/>
                  <w:noWrap/>
                  <w:vAlign w:val="center"/>
                </w:tcPr>
                <w:p w14:paraId="4CCEECF5">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continue"/>
                  <w:noWrap/>
                  <w:vAlign w:val="center"/>
                </w:tcPr>
                <w:p w14:paraId="39654F64">
                  <w:pPr>
                    <w:widowControl/>
                    <w:adjustRightInd w:val="0"/>
                    <w:snapToGrid w:val="0"/>
                    <w:spacing w:line="320" w:lineRule="exact"/>
                    <w:jc w:val="center"/>
                    <w:rPr>
                      <w:rFonts w:ascii="Times New Roman" w:hAnsi="Times New Roman"/>
                      <w:color w:val="auto"/>
                      <w:kern w:val="0"/>
                      <w:szCs w:val="21"/>
                    </w:rPr>
                  </w:pPr>
                </w:p>
              </w:tc>
            </w:tr>
            <w:tr w14:paraId="731FF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629B6AC0">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6</w:t>
                  </w:r>
                </w:p>
              </w:tc>
              <w:tc>
                <w:tcPr>
                  <w:tcW w:w="492" w:type="dxa"/>
                  <w:vMerge w:val="continue"/>
                  <w:noWrap/>
                  <w:vAlign w:val="center"/>
                </w:tcPr>
                <w:p w14:paraId="7F5B22C9">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66526D75">
                  <w:pPr>
                    <w:widowControl/>
                    <w:adjustRightInd w:val="0"/>
                    <w:snapToGrid w:val="0"/>
                    <w:spacing w:line="320" w:lineRule="exact"/>
                    <w:jc w:val="center"/>
                    <w:rPr>
                      <w:rFonts w:ascii="Times New Roman" w:hAnsi="Times New Roman"/>
                      <w:color w:val="auto"/>
                      <w:kern w:val="0"/>
                      <w:szCs w:val="21"/>
                    </w:rPr>
                  </w:pPr>
                </w:p>
              </w:tc>
              <w:tc>
                <w:tcPr>
                  <w:tcW w:w="500" w:type="dxa"/>
                  <w:shd w:val="clear" w:color="auto" w:fill="auto"/>
                  <w:noWrap/>
                  <w:vAlign w:val="center"/>
                </w:tcPr>
                <w:p w14:paraId="033E05D6">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p>
              </w:tc>
              <w:tc>
                <w:tcPr>
                  <w:tcW w:w="1577" w:type="dxa"/>
                  <w:shd w:val="clear" w:color="auto" w:fill="auto"/>
                  <w:noWrap/>
                  <w:vAlign w:val="center"/>
                </w:tcPr>
                <w:p w14:paraId="7D729E88">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塔基N57~N58之间国道停车区用房，1F，北侧40m</w:t>
                  </w:r>
                </w:p>
              </w:tc>
              <w:tc>
                <w:tcPr>
                  <w:tcW w:w="913" w:type="dxa"/>
                  <w:shd w:val="clear" w:color="auto" w:fill="auto"/>
                  <w:noWrap/>
                  <w:vAlign w:val="center"/>
                </w:tcPr>
                <w:p w14:paraId="3138C5AA">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13.8m</w:t>
                  </w:r>
                </w:p>
              </w:tc>
              <w:tc>
                <w:tcPr>
                  <w:tcW w:w="841" w:type="dxa"/>
                  <w:shd w:val="clear" w:color="auto" w:fill="auto"/>
                  <w:noWrap/>
                  <w:vAlign w:val="center"/>
                </w:tcPr>
                <w:p w14:paraId="6A03D7B5">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w:t>
                  </w:r>
                  <w:r>
                    <w:rPr>
                      <w:rFonts w:ascii="Times New Roman" w:hAnsi="Times New Roman"/>
                      <w:color w:val="auto"/>
                      <w:kern w:val="0"/>
                      <w:szCs w:val="21"/>
                    </w:rPr>
                    <w:t>F，</w:t>
                  </w:r>
                  <w:r>
                    <w:rPr>
                      <w:rFonts w:hint="eastAsia" w:ascii="Times New Roman" w:hAnsi="Times New Roman"/>
                      <w:color w:val="auto"/>
                      <w:kern w:val="0"/>
                      <w:szCs w:val="21"/>
                    </w:rPr>
                    <w:t>平顶，板房结构</w:t>
                  </w:r>
                </w:p>
              </w:tc>
              <w:tc>
                <w:tcPr>
                  <w:tcW w:w="647" w:type="dxa"/>
                  <w:shd w:val="clear" w:color="auto" w:fill="auto"/>
                  <w:noWrap/>
                  <w:vAlign w:val="center"/>
                </w:tcPr>
                <w:p w14:paraId="30772980">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3</w:t>
                  </w:r>
                </w:p>
              </w:tc>
              <w:tc>
                <w:tcPr>
                  <w:tcW w:w="680" w:type="dxa"/>
                  <w:shd w:val="clear" w:color="auto" w:fill="auto"/>
                  <w:noWrap/>
                  <w:vAlign w:val="center"/>
                </w:tcPr>
                <w:p w14:paraId="667FD8CF">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1户，4人</w:t>
                  </w:r>
                </w:p>
              </w:tc>
              <w:tc>
                <w:tcPr>
                  <w:tcW w:w="634" w:type="dxa"/>
                  <w:shd w:val="clear" w:color="auto" w:fill="auto"/>
                  <w:noWrap/>
                  <w:vAlign w:val="center"/>
                </w:tcPr>
                <w:p w14:paraId="51AD57B6">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居住</w:t>
                  </w:r>
                </w:p>
              </w:tc>
              <w:tc>
                <w:tcPr>
                  <w:tcW w:w="1319" w:type="dxa"/>
                  <w:vMerge w:val="continue"/>
                  <w:noWrap/>
                  <w:vAlign w:val="center"/>
                </w:tcPr>
                <w:p w14:paraId="020ACB25">
                  <w:pPr>
                    <w:widowControl/>
                    <w:adjustRightInd w:val="0"/>
                    <w:snapToGrid w:val="0"/>
                    <w:spacing w:line="320" w:lineRule="exact"/>
                    <w:jc w:val="center"/>
                    <w:rPr>
                      <w:rFonts w:ascii="Times New Roman" w:hAnsi="Times New Roman"/>
                      <w:color w:val="auto"/>
                      <w:kern w:val="0"/>
                      <w:szCs w:val="21"/>
                    </w:rPr>
                  </w:pPr>
                </w:p>
              </w:tc>
            </w:tr>
            <w:tr w14:paraId="7B50C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dxa"/>
                  <w:noWrap/>
                  <w:vAlign w:val="center"/>
                </w:tcPr>
                <w:p w14:paraId="2D7C90A0">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7</w:t>
                  </w:r>
                </w:p>
              </w:tc>
              <w:tc>
                <w:tcPr>
                  <w:tcW w:w="492" w:type="dxa"/>
                  <w:vMerge w:val="continue"/>
                  <w:noWrap/>
                  <w:vAlign w:val="center"/>
                </w:tcPr>
                <w:p w14:paraId="1EC50D30">
                  <w:pPr>
                    <w:widowControl/>
                    <w:adjustRightInd w:val="0"/>
                    <w:snapToGrid w:val="0"/>
                    <w:spacing w:line="320" w:lineRule="exact"/>
                    <w:jc w:val="center"/>
                    <w:rPr>
                      <w:rFonts w:ascii="Times New Roman" w:hAnsi="Times New Roman"/>
                      <w:color w:val="auto"/>
                      <w:kern w:val="0"/>
                      <w:szCs w:val="21"/>
                    </w:rPr>
                  </w:pPr>
                </w:p>
              </w:tc>
              <w:tc>
                <w:tcPr>
                  <w:tcW w:w="403" w:type="dxa"/>
                  <w:vMerge w:val="continue"/>
                  <w:noWrap/>
                  <w:vAlign w:val="center"/>
                </w:tcPr>
                <w:p w14:paraId="0897B3B9">
                  <w:pPr>
                    <w:widowControl/>
                    <w:adjustRightInd w:val="0"/>
                    <w:snapToGrid w:val="0"/>
                    <w:spacing w:line="320" w:lineRule="exact"/>
                    <w:jc w:val="center"/>
                    <w:rPr>
                      <w:rFonts w:ascii="Times New Roman" w:hAnsi="Times New Roman"/>
                      <w:color w:val="auto"/>
                      <w:kern w:val="0"/>
                      <w:szCs w:val="21"/>
                    </w:rPr>
                  </w:pPr>
                </w:p>
              </w:tc>
              <w:tc>
                <w:tcPr>
                  <w:tcW w:w="500" w:type="dxa"/>
                  <w:shd w:val="clear" w:color="auto" w:fill="auto"/>
                  <w:noWrap/>
                  <w:vAlign w:val="center"/>
                </w:tcPr>
                <w:p w14:paraId="3ED6660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山背后村</w:t>
                  </w:r>
                </w:p>
              </w:tc>
              <w:tc>
                <w:tcPr>
                  <w:tcW w:w="1577" w:type="dxa"/>
                  <w:shd w:val="clear" w:color="auto" w:fill="auto"/>
                  <w:noWrap/>
                  <w:vAlign w:val="center"/>
                </w:tcPr>
                <w:p w14:paraId="4215A9C9">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塔基N57~N58之间山背后村3F散户，南侧16m</w:t>
                  </w:r>
                </w:p>
              </w:tc>
              <w:tc>
                <w:tcPr>
                  <w:tcW w:w="913" w:type="dxa"/>
                  <w:shd w:val="clear" w:color="auto" w:fill="auto"/>
                  <w:noWrap/>
                  <w:vAlign w:val="center"/>
                </w:tcPr>
                <w:p w14:paraId="541F4C2D">
                  <w:pPr>
                    <w:widowControl/>
                    <w:adjustRightInd w:val="0"/>
                    <w:snapToGrid w:val="0"/>
                    <w:jc w:val="center"/>
                    <w:rPr>
                      <w:rFonts w:ascii="Times New Roman" w:hAnsi="Times New Roman"/>
                      <w:bCs/>
                      <w:color w:val="auto"/>
                      <w:kern w:val="0"/>
                      <w:szCs w:val="21"/>
                    </w:rPr>
                  </w:pPr>
                  <w:r>
                    <w:rPr>
                      <w:rFonts w:hint="eastAsia" w:ascii="Times New Roman" w:hAnsi="Times New Roman"/>
                      <w:bCs/>
                      <w:color w:val="auto"/>
                      <w:kern w:val="0"/>
                      <w:szCs w:val="21"/>
                    </w:rPr>
                    <w:t>13.8m</w:t>
                  </w:r>
                </w:p>
              </w:tc>
              <w:tc>
                <w:tcPr>
                  <w:tcW w:w="841" w:type="dxa"/>
                  <w:shd w:val="clear" w:color="auto" w:fill="auto"/>
                  <w:noWrap/>
                  <w:vAlign w:val="center"/>
                </w:tcPr>
                <w:p w14:paraId="4FBA311D">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3</w:t>
                  </w:r>
                  <w:r>
                    <w:rPr>
                      <w:rFonts w:ascii="Times New Roman" w:hAnsi="Times New Roman"/>
                      <w:color w:val="auto"/>
                      <w:kern w:val="0"/>
                      <w:szCs w:val="21"/>
                    </w:rPr>
                    <w:t>F，坡顶</w:t>
                  </w:r>
                  <w:r>
                    <w:rPr>
                      <w:rFonts w:hint="eastAsia" w:ascii="Times New Roman" w:hAnsi="Times New Roman"/>
                      <w:color w:val="auto"/>
                      <w:kern w:val="0"/>
                      <w:szCs w:val="21"/>
                    </w:rPr>
                    <w:t>钢架结构</w:t>
                  </w:r>
                </w:p>
              </w:tc>
              <w:tc>
                <w:tcPr>
                  <w:tcW w:w="647" w:type="dxa"/>
                  <w:shd w:val="clear" w:color="auto" w:fill="auto"/>
                  <w:noWrap/>
                  <w:vAlign w:val="center"/>
                </w:tcPr>
                <w:p w14:paraId="34FB0C6A">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9</w:t>
                  </w:r>
                </w:p>
              </w:tc>
              <w:tc>
                <w:tcPr>
                  <w:tcW w:w="680" w:type="dxa"/>
                  <w:shd w:val="clear" w:color="auto" w:fill="auto"/>
                  <w:noWrap/>
                  <w:vAlign w:val="center"/>
                </w:tcPr>
                <w:p w14:paraId="1E18010C">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lang w:val="en-US" w:eastAsia="zh-CN"/>
                    </w:rPr>
                    <w:t>2</w:t>
                  </w:r>
                  <w:r>
                    <w:rPr>
                      <w:rFonts w:hint="eastAsia" w:ascii="Times New Roman" w:hAnsi="Times New Roman"/>
                      <w:color w:val="auto"/>
                      <w:kern w:val="0"/>
                      <w:szCs w:val="21"/>
                    </w:rPr>
                    <w:t>户，</w:t>
                  </w:r>
                  <w:r>
                    <w:rPr>
                      <w:rFonts w:hint="eastAsia" w:ascii="Times New Roman" w:hAnsi="Times New Roman"/>
                      <w:color w:val="auto"/>
                      <w:kern w:val="0"/>
                      <w:szCs w:val="21"/>
                      <w:lang w:val="en-US" w:eastAsia="zh-CN"/>
                    </w:rPr>
                    <w:t>8</w:t>
                  </w:r>
                  <w:r>
                    <w:rPr>
                      <w:rFonts w:hint="eastAsia" w:ascii="Times New Roman" w:hAnsi="Times New Roman"/>
                      <w:color w:val="auto"/>
                      <w:kern w:val="0"/>
                      <w:szCs w:val="21"/>
                    </w:rPr>
                    <w:t>人</w:t>
                  </w:r>
                </w:p>
              </w:tc>
              <w:tc>
                <w:tcPr>
                  <w:tcW w:w="634" w:type="dxa"/>
                  <w:shd w:val="clear" w:color="auto" w:fill="auto"/>
                  <w:noWrap/>
                  <w:vAlign w:val="center"/>
                </w:tcPr>
                <w:p w14:paraId="19ECE83A">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居住</w:t>
                  </w:r>
                </w:p>
              </w:tc>
              <w:tc>
                <w:tcPr>
                  <w:tcW w:w="1319" w:type="dxa"/>
                  <w:vMerge w:val="continue"/>
                  <w:noWrap/>
                  <w:vAlign w:val="center"/>
                </w:tcPr>
                <w:p w14:paraId="3095BBC2">
                  <w:pPr>
                    <w:widowControl/>
                    <w:adjustRightInd w:val="0"/>
                    <w:snapToGrid w:val="0"/>
                    <w:spacing w:line="320" w:lineRule="exact"/>
                    <w:jc w:val="center"/>
                    <w:rPr>
                      <w:rFonts w:ascii="Times New Roman" w:hAnsi="Times New Roman"/>
                      <w:color w:val="auto"/>
                      <w:kern w:val="0"/>
                      <w:szCs w:val="21"/>
                    </w:rPr>
                  </w:pPr>
                </w:p>
              </w:tc>
            </w:tr>
            <w:tr w14:paraId="1CCE93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29" w:type="dxa"/>
                  <w:gridSpan w:val="11"/>
                  <w:noWrap/>
                  <w:vAlign w:val="center"/>
                </w:tcPr>
                <w:p w14:paraId="66065A99">
                  <w:pPr>
                    <w:widowControl/>
                    <w:adjustRightInd w:val="0"/>
                    <w:snapToGrid w:val="0"/>
                    <w:spacing w:line="320" w:lineRule="exact"/>
                    <w:rPr>
                      <w:rFonts w:ascii="Times New Roman" w:hAnsi="Times New Roman"/>
                      <w:color w:val="auto"/>
                      <w:szCs w:val="21"/>
                    </w:rPr>
                  </w:pPr>
                  <w:r>
                    <w:rPr>
                      <w:rFonts w:ascii="Times New Roman" w:hAnsi="Times New Roman"/>
                      <w:b/>
                      <w:bCs/>
                      <w:color w:val="auto"/>
                      <w:szCs w:val="21"/>
                    </w:rPr>
                    <w:t>注：表中建筑物与线路的距离为：输电线路边导线地面投影距环境敏感目标的最近距离。</w:t>
                  </w:r>
                </w:p>
              </w:tc>
            </w:tr>
          </w:tbl>
          <w:p w14:paraId="3BFD48E7">
            <w:pPr>
              <w:adjustRightInd w:val="0"/>
              <w:snapToGrid w:val="0"/>
              <w:rPr>
                <w:rFonts w:ascii="Times New Roman" w:hAnsi="Times New Roman"/>
                <w:b/>
                <w:color w:val="auto"/>
                <w:sz w:val="10"/>
                <w:szCs w:val="10"/>
              </w:rPr>
            </w:pPr>
          </w:p>
          <w:p w14:paraId="7EE2909E">
            <w:pPr>
              <w:adjustRightInd w:val="0"/>
              <w:snapToGrid w:val="0"/>
              <w:rPr>
                <w:rFonts w:ascii="Times New Roman" w:hAnsi="Times New Roman"/>
                <w:color w:val="auto"/>
                <w:sz w:val="10"/>
                <w:szCs w:val="10"/>
              </w:rPr>
            </w:pPr>
          </w:p>
        </w:tc>
      </w:tr>
      <w:tr w14:paraId="69C0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shd w:val="clear" w:color="auto" w:fill="auto"/>
          </w:tcPr>
          <w:p w14:paraId="3DE4A848">
            <w:pPr>
              <w:jc w:val="center"/>
              <w:rPr>
                <w:rFonts w:ascii="Times New Roman" w:hAnsi="Times New Roman"/>
                <w:b/>
                <w:color w:val="auto"/>
                <w:sz w:val="24"/>
                <w:szCs w:val="24"/>
              </w:rPr>
            </w:pPr>
          </w:p>
          <w:p w14:paraId="0818A16F">
            <w:pPr>
              <w:jc w:val="center"/>
              <w:rPr>
                <w:rFonts w:ascii="Times New Roman" w:hAnsi="Times New Roman"/>
                <w:b/>
                <w:color w:val="auto"/>
                <w:sz w:val="24"/>
                <w:szCs w:val="24"/>
              </w:rPr>
            </w:pPr>
          </w:p>
          <w:p w14:paraId="33F5D98B">
            <w:pPr>
              <w:jc w:val="center"/>
              <w:rPr>
                <w:rFonts w:ascii="Times New Roman" w:hAnsi="Times New Roman"/>
                <w:b/>
                <w:color w:val="auto"/>
                <w:sz w:val="24"/>
                <w:szCs w:val="24"/>
              </w:rPr>
            </w:pPr>
          </w:p>
          <w:p w14:paraId="79A78881">
            <w:pPr>
              <w:jc w:val="center"/>
              <w:rPr>
                <w:rFonts w:ascii="Times New Roman" w:hAnsi="Times New Roman"/>
                <w:b/>
                <w:color w:val="auto"/>
                <w:sz w:val="24"/>
                <w:szCs w:val="24"/>
              </w:rPr>
            </w:pPr>
          </w:p>
          <w:p w14:paraId="2B2CA2FE">
            <w:pPr>
              <w:jc w:val="center"/>
              <w:rPr>
                <w:rFonts w:ascii="Times New Roman" w:hAnsi="Times New Roman"/>
                <w:b/>
                <w:color w:val="auto"/>
                <w:sz w:val="24"/>
                <w:szCs w:val="24"/>
              </w:rPr>
            </w:pPr>
          </w:p>
          <w:p w14:paraId="6A75B3ED">
            <w:pPr>
              <w:jc w:val="center"/>
              <w:rPr>
                <w:rFonts w:ascii="Times New Roman" w:hAnsi="Times New Roman"/>
                <w:b/>
                <w:color w:val="auto"/>
                <w:sz w:val="24"/>
                <w:szCs w:val="24"/>
              </w:rPr>
            </w:pPr>
          </w:p>
          <w:p w14:paraId="40847A24">
            <w:pPr>
              <w:jc w:val="center"/>
              <w:rPr>
                <w:rFonts w:ascii="Times New Roman" w:hAnsi="Times New Roman"/>
                <w:b/>
                <w:color w:val="auto"/>
                <w:sz w:val="24"/>
                <w:szCs w:val="24"/>
              </w:rPr>
            </w:pPr>
          </w:p>
          <w:p w14:paraId="354E9843">
            <w:pPr>
              <w:jc w:val="center"/>
              <w:rPr>
                <w:rFonts w:ascii="Times New Roman" w:hAnsi="Times New Roman"/>
                <w:b/>
                <w:color w:val="auto"/>
                <w:sz w:val="24"/>
                <w:szCs w:val="24"/>
              </w:rPr>
            </w:pPr>
          </w:p>
          <w:p w14:paraId="23340C5F">
            <w:pPr>
              <w:jc w:val="center"/>
              <w:rPr>
                <w:rFonts w:ascii="Times New Roman" w:hAnsi="Times New Roman"/>
                <w:b/>
                <w:color w:val="auto"/>
                <w:sz w:val="24"/>
                <w:szCs w:val="24"/>
              </w:rPr>
            </w:pPr>
          </w:p>
          <w:p w14:paraId="1ECB5DAC">
            <w:pPr>
              <w:jc w:val="center"/>
              <w:rPr>
                <w:rFonts w:ascii="Times New Roman" w:hAnsi="Times New Roman"/>
                <w:b/>
                <w:color w:val="auto"/>
                <w:sz w:val="24"/>
                <w:szCs w:val="24"/>
              </w:rPr>
            </w:pPr>
          </w:p>
          <w:p w14:paraId="7AD55C0F">
            <w:pPr>
              <w:jc w:val="center"/>
              <w:rPr>
                <w:rFonts w:ascii="Times New Roman" w:hAnsi="Times New Roman"/>
                <w:b/>
                <w:color w:val="auto"/>
                <w:sz w:val="24"/>
                <w:szCs w:val="24"/>
              </w:rPr>
            </w:pPr>
          </w:p>
          <w:p w14:paraId="66399DB6">
            <w:pPr>
              <w:jc w:val="center"/>
              <w:rPr>
                <w:rFonts w:ascii="Times New Roman" w:hAnsi="Times New Roman"/>
                <w:b/>
                <w:color w:val="auto"/>
                <w:sz w:val="24"/>
                <w:szCs w:val="24"/>
              </w:rPr>
            </w:pPr>
          </w:p>
          <w:p w14:paraId="4B644F78">
            <w:pPr>
              <w:jc w:val="center"/>
              <w:rPr>
                <w:rFonts w:ascii="Times New Roman" w:hAnsi="Times New Roman"/>
                <w:b/>
                <w:color w:val="auto"/>
                <w:sz w:val="24"/>
                <w:szCs w:val="24"/>
              </w:rPr>
            </w:pPr>
          </w:p>
          <w:p w14:paraId="62498E33">
            <w:pPr>
              <w:jc w:val="center"/>
              <w:rPr>
                <w:rFonts w:ascii="Times New Roman" w:hAnsi="Times New Roman"/>
                <w:b/>
                <w:color w:val="auto"/>
                <w:sz w:val="24"/>
                <w:szCs w:val="24"/>
              </w:rPr>
            </w:pPr>
          </w:p>
          <w:p w14:paraId="3AE1320A">
            <w:pPr>
              <w:jc w:val="center"/>
              <w:rPr>
                <w:rFonts w:ascii="Times New Roman" w:hAnsi="Times New Roman"/>
                <w:b/>
                <w:color w:val="auto"/>
                <w:sz w:val="24"/>
                <w:szCs w:val="24"/>
              </w:rPr>
            </w:pPr>
          </w:p>
          <w:p w14:paraId="6C49789B">
            <w:pPr>
              <w:jc w:val="center"/>
              <w:rPr>
                <w:rFonts w:ascii="Times New Roman" w:hAnsi="Times New Roman"/>
                <w:b/>
                <w:color w:val="auto"/>
                <w:sz w:val="24"/>
                <w:szCs w:val="24"/>
              </w:rPr>
            </w:pPr>
          </w:p>
          <w:p w14:paraId="59A4BD61">
            <w:pPr>
              <w:jc w:val="center"/>
              <w:rPr>
                <w:rFonts w:ascii="Times New Roman" w:hAnsi="Times New Roman"/>
                <w:b/>
                <w:color w:val="auto"/>
                <w:sz w:val="24"/>
                <w:szCs w:val="24"/>
              </w:rPr>
            </w:pPr>
          </w:p>
          <w:p w14:paraId="200221CF">
            <w:pPr>
              <w:jc w:val="center"/>
              <w:rPr>
                <w:rFonts w:ascii="Times New Roman" w:hAnsi="Times New Roman"/>
                <w:b/>
                <w:color w:val="auto"/>
                <w:sz w:val="24"/>
                <w:szCs w:val="24"/>
              </w:rPr>
            </w:pPr>
          </w:p>
          <w:p w14:paraId="0CD7C770">
            <w:pPr>
              <w:jc w:val="center"/>
              <w:rPr>
                <w:rFonts w:ascii="Times New Roman" w:hAnsi="Times New Roman"/>
                <w:b/>
                <w:color w:val="auto"/>
                <w:sz w:val="24"/>
                <w:szCs w:val="24"/>
              </w:rPr>
            </w:pPr>
          </w:p>
          <w:p w14:paraId="4D0AC0DE">
            <w:pPr>
              <w:jc w:val="center"/>
              <w:rPr>
                <w:rFonts w:ascii="Times New Roman" w:hAnsi="Times New Roman"/>
                <w:b/>
                <w:color w:val="auto"/>
                <w:sz w:val="24"/>
                <w:szCs w:val="24"/>
              </w:rPr>
            </w:pPr>
          </w:p>
          <w:p w14:paraId="3095F2CB">
            <w:pPr>
              <w:jc w:val="center"/>
              <w:rPr>
                <w:rFonts w:ascii="Times New Roman" w:hAnsi="Times New Roman"/>
                <w:b/>
                <w:color w:val="auto"/>
                <w:sz w:val="24"/>
                <w:szCs w:val="24"/>
              </w:rPr>
            </w:pPr>
          </w:p>
          <w:p w14:paraId="0390300A">
            <w:pPr>
              <w:jc w:val="center"/>
              <w:rPr>
                <w:rFonts w:ascii="Times New Roman" w:hAnsi="Times New Roman"/>
                <w:b/>
                <w:color w:val="auto"/>
                <w:sz w:val="24"/>
                <w:szCs w:val="24"/>
              </w:rPr>
            </w:pPr>
            <w:r>
              <w:rPr>
                <w:rFonts w:ascii="Times New Roman" w:hAnsi="Times New Roman"/>
                <w:b/>
                <w:color w:val="auto"/>
                <w:sz w:val="24"/>
                <w:szCs w:val="24"/>
              </w:rPr>
              <w:t>评价标准</w:t>
            </w:r>
          </w:p>
        </w:tc>
        <w:tc>
          <w:tcPr>
            <w:tcW w:w="8645" w:type="dxa"/>
            <w:shd w:val="clear" w:color="auto" w:fill="auto"/>
          </w:tcPr>
          <w:p w14:paraId="4D8F9E63">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3.8评价标准</w:t>
            </w:r>
          </w:p>
          <w:p w14:paraId="19BC22FE">
            <w:pPr>
              <w:pStyle w:val="51"/>
              <w:adjustRightInd w:val="0"/>
              <w:snapToGrid w:val="0"/>
              <w:spacing w:line="440" w:lineRule="exact"/>
              <w:ind w:firstLine="482" w:firstLineChars="200"/>
              <w:jc w:val="both"/>
              <w:rPr>
                <w:rFonts w:ascii="Times New Roman" w:hAnsi="Times New Roman" w:cs="Times New Roman"/>
                <w:b/>
                <w:color w:val="auto"/>
                <w:sz w:val="24"/>
              </w:rPr>
            </w:pPr>
            <w:r>
              <w:rPr>
                <w:rFonts w:ascii="Times New Roman" w:hAnsi="Times New Roman" w:cs="Times New Roman"/>
                <w:b/>
                <w:color w:val="auto"/>
                <w:sz w:val="24"/>
              </w:rPr>
              <w:t>3.8.1环境质量标准</w:t>
            </w:r>
          </w:p>
          <w:p w14:paraId="61973ABF">
            <w:pPr>
              <w:pStyle w:val="51"/>
              <w:adjustRightInd w:val="0"/>
              <w:snapToGrid w:val="0"/>
              <w:spacing w:line="440" w:lineRule="exact"/>
              <w:ind w:firstLine="480" w:firstLineChars="200"/>
              <w:jc w:val="both"/>
              <w:rPr>
                <w:rFonts w:ascii="Times New Roman" w:hAnsi="Times New Roman" w:cs="Times New Roman"/>
                <w:bCs/>
                <w:color w:val="auto"/>
                <w:sz w:val="24"/>
              </w:rPr>
            </w:pPr>
            <w:r>
              <w:rPr>
                <w:rFonts w:ascii="Times New Roman" w:hAnsi="Times New Roman" w:cs="Times New Roman"/>
                <w:bCs/>
                <w:color w:val="auto"/>
                <w:sz w:val="24"/>
              </w:rPr>
              <w:t>（1）环境空气质量标准</w:t>
            </w:r>
          </w:p>
          <w:p w14:paraId="01B58E60">
            <w:pPr>
              <w:adjustRightInd w:val="0"/>
              <w:snapToGrid w:val="0"/>
              <w:spacing w:line="440" w:lineRule="exact"/>
              <w:ind w:firstLine="480" w:firstLineChars="200"/>
              <w:rPr>
                <w:rFonts w:ascii="Times New Roman" w:hAnsi="Times New Roman"/>
                <w:b/>
                <w:color w:val="auto"/>
                <w:sz w:val="24"/>
                <w:szCs w:val="24"/>
              </w:rPr>
            </w:pPr>
            <w:r>
              <w:rPr>
                <w:rFonts w:ascii="Times New Roman" w:hAnsi="Times New Roman"/>
                <w:color w:val="auto"/>
                <w:sz w:val="24"/>
              </w:rPr>
              <w:t>本项目位于</w:t>
            </w:r>
            <w:r>
              <w:rPr>
                <w:rFonts w:hint="eastAsia" w:ascii="Times New Roman" w:hAnsi="Times New Roman"/>
                <w:color w:val="auto"/>
                <w:sz w:val="24"/>
              </w:rPr>
              <w:t>会泽县乐业镇境内</w:t>
            </w:r>
            <w:r>
              <w:rPr>
                <w:rFonts w:ascii="Times New Roman" w:hAnsi="Times New Roman"/>
                <w:color w:val="auto"/>
                <w:sz w:val="24"/>
              </w:rPr>
              <w:t>，项目所在地为二类环境空气功能区，</w:t>
            </w:r>
            <w:r>
              <w:rPr>
                <w:rFonts w:hint="eastAsia" w:ascii="Times New Roman" w:hAnsi="Times New Roman"/>
                <w:color w:val="auto"/>
                <w:sz w:val="24"/>
                <w:szCs w:val="24"/>
              </w:rPr>
              <w:t>现阶段环境空气执行《环境空气质量标准》（GB3095-2026）过渡阶段浓度限值二级标准，自2031年1月1日起执行《环境空气质量标准》（GB3095-2026）浓度限值二级标准。</w:t>
            </w:r>
            <w:r>
              <w:rPr>
                <w:rFonts w:ascii="Times New Roman" w:hAnsi="Times New Roman"/>
                <w:color w:val="auto"/>
                <w:spacing w:val="-6"/>
                <w:sz w:val="24"/>
              </w:rPr>
              <w:t>具体指标见表</w:t>
            </w:r>
            <w:r>
              <w:rPr>
                <w:rFonts w:ascii="Times New Roman" w:hAnsi="Times New Roman"/>
                <w:color w:val="auto"/>
                <w:sz w:val="24"/>
              </w:rPr>
              <w:t>3-</w:t>
            </w:r>
            <w:r>
              <w:rPr>
                <w:rFonts w:hint="eastAsia" w:ascii="Times New Roman" w:hAnsi="Times New Roman"/>
                <w:color w:val="auto"/>
                <w:sz w:val="24"/>
              </w:rPr>
              <w:t>33</w:t>
            </w:r>
            <w:r>
              <w:rPr>
                <w:rFonts w:ascii="Times New Roman" w:hAnsi="Times New Roman"/>
                <w:color w:val="auto"/>
                <w:sz w:val="24"/>
              </w:rPr>
              <w:t>。</w:t>
            </w:r>
          </w:p>
          <w:p w14:paraId="2D23BC50">
            <w:pPr>
              <w:adjustRightInd w:val="0"/>
              <w:snapToGrid w:val="0"/>
              <w:jc w:val="center"/>
              <w:rPr>
                <w:rFonts w:ascii="Times New Roman" w:hAnsi="Times New Roman"/>
                <w:b/>
                <w:color w:val="auto"/>
                <w:sz w:val="24"/>
                <w:vertAlign w:val="superscript"/>
              </w:rPr>
            </w:pPr>
            <w:r>
              <w:rPr>
                <w:rFonts w:ascii="Times New Roman" w:hAnsi="Times New Roman"/>
                <w:b/>
                <w:color w:val="auto"/>
                <w:sz w:val="24"/>
              </w:rPr>
              <w:t>表3-</w:t>
            </w:r>
            <w:r>
              <w:rPr>
                <w:rFonts w:hint="eastAsia" w:ascii="Times New Roman" w:hAnsi="Times New Roman"/>
                <w:b/>
                <w:color w:val="auto"/>
                <w:sz w:val="24"/>
              </w:rPr>
              <w:t>33</w:t>
            </w:r>
            <w:r>
              <w:rPr>
                <w:rFonts w:ascii="Times New Roman" w:hAnsi="Times New Roman"/>
                <w:b/>
                <w:color w:val="auto"/>
                <w:sz w:val="24"/>
              </w:rPr>
              <w:t xml:space="preserve">  环境空气质量标准</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1580"/>
              <w:gridCol w:w="2167"/>
              <w:gridCol w:w="3311"/>
              <w:gridCol w:w="1366"/>
            </w:tblGrid>
            <w:tr w14:paraId="3F506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938" w:type="pct"/>
                  <w:vMerge w:val="restart"/>
                  <w:tcBorders>
                    <w:tl2br w:val="nil"/>
                    <w:tr2bl w:val="nil"/>
                  </w:tcBorders>
                  <w:vAlign w:val="center"/>
                </w:tcPr>
                <w:p w14:paraId="4EFC0ED3">
                  <w:pPr>
                    <w:adjustRightInd w:val="0"/>
                    <w:snapToGrid w:val="0"/>
                    <w:jc w:val="center"/>
                    <w:rPr>
                      <w:rFonts w:ascii="Times New Roman" w:hAnsi="Times New Roman"/>
                      <w:b/>
                      <w:color w:val="auto"/>
                      <w:szCs w:val="21"/>
                    </w:rPr>
                  </w:pPr>
                  <w:r>
                    <w:rPr>
                      <w:rFonts w:ascii="Times New Roman" w:hAnsi="Times New Roman"/>
                      <w:b/>
                      <w:color w:val="auto"/>
                      <w:szCs w:val="21"/>
                    </w:rPr>
                    <w:t>污染物</w:t>
                  </w:r>
                </w:p>
              </w:tc>
              <w:tc>
                <w:tcPr>
                  <w:tcW w:w="1285" w:type="pct"/>
                  <w:vMerge w:val="restart"/>
                  <w:tcBorders>
                    <w:tl2br w:val="nil"/>
                    <w:tr2bl w:val="nil"/>
                  </w:tcBorders>
                  <w:vAlign w:val="center"/>
                </w:tcPr>
                <w:p w14:paraId="36D18341">
                  <w:pPr>
                    <w:adjustRightInd w:val="0"/>
                    <w:snapToGrid w:val="0"/>
                    <w:jc w:val="center"/>
                    <w:rPr>
                      <w:rFonts w:ascii="Times New Roman" w:hAnsi="Times New Roman"/>
                      <w:b/>
                      <w:color w:val="auto"/>
                      <w:szCs w:val="21"/>
                    </w:rPr>
                  </w:pPr>
                  <w:r>
                    <w:rPr>
                      <w:rFonts w:ascii="Times New Roman" w:hAnsi="Times New Roman"/>
                      <w:b/>
                      <w:color w:val="auto"/>
                      <w:szCs w:val="21"/>
                    </w:rPr>
                    <w:t>平均时间</w:t>
                  </w:r>
                </w:p>
              </w:tc>
              <w:tc>
                <w:tcPr>
                  <w:tcW w:w="2775" w:type="pct"/>
                  <w:gridSpan w:val="2"/>
                  <w:tcBorders>
                    <w:tl2br w:val="nil"/>
                    <w:tr2bl w:val="nil"/>
                  </w:tcBorders>
                  <w:vAlign w:val="center"/>
                </w:tcPr>
                <w:p w14:paraId="1EA51CD9">
                  <w:pPr>
                    <w:adjustRightInd w:val="0"/>
                    <w:snapToGrid w:val="0"/>
                    <w:jc w:val="center"/>
                    <w:rPr>
                      <w:rFonts w:ascii="Times New Roman" w:hAnsi="Times New Roman"/>
                      <w:b/>
                      <w:color w:val="auto"/>
                      <w:szCs w:val="21"/>
                    </w:rPr>
                  </w:pPr>
                  <w:r>
                    <w:rPr>
                      <w:rFonts w:ascii="Times New Roman" w:hAnsi="Times New Roman"/>
                      <w:b/>
                      <w:color w:val="auto"/>
                      <w:szCs w:val="21"/>
                    </w:rPr>
                    <w:t>《环境空气质量标准》（GB3095-2026）（过渡阶段浓度限值）</w:t>
                  </w:r>
                </w:p>
              </w:tc>
            </w:tr>
            <w:tr w14:paraId="75EA6D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jc w:val="center"/>
              </w:trPr>
              <w:tc>
                <w:tcPr>
                  <w:tcW w:w="938" w:type="pct"/>
                  <w:vMerge w:val="continue"/>
                  <w:tcBorders>
                    <w:tl2br w:val="nil"/>
                    <w:tr2bl w:val="nil"/>
                  </w:tcBorders>
                  <w:vAlign w:val="center"/>
                </w:tcPr>
                <w:p w14:paraId="0ABA75A6">
                  <w:pPr>
                    <w:adjustRightInd w:val="0"/>
                    <w:snapToGrid w:val="0"/>
                    <w:jc w:val="center"/>
                    <w:rPr>
                      <w:rFonts w:ascii="Times New Roman" w:hAnsi="Times New Roman"/>
                      <w:bCs/>
                      <w:color w:val="auto"/>
                      <w:szCs w:val="21"/>
                    </w:rPr>
                  </w:pPr>
                </w:p>
              </w:tc>
              <w:tc>
                <w:tcPr>
                  <w:tcW w:w="1285" w:type="pct"/>
                  <w:vMerge w:val="continue"/>
                  <w:tcBorders>
                    <w:tl2br w:val="nil"/>
                    <w:tr2bl w:val="nil"/>
                  </w:tcBorders>
                  <w:vAlign w:val="center"/>
                </w:tcPr>
                <w:p w14:paraId="2E402438">
                  <w:pPr>
                    <w:adjustRightInd w:val="0"/>
                    <w:snapToGrid w:val="0"/>
                    <w:jc w:val="center"/>
                    <w:rPr>
                      <w:rFonts w:ascii="Times New Roman" w:hAnsi="Times New Roman"/>
                      <w:bCs/>
                      <w:color w:val="auto"/>
                      <w:szCs w:val="21"/>
                    </w:rPr>
                  </w:pPr>
                </w:p>
              </w:tc>
              <w:tc>
                <w:tcPr>
                  <w:tcW w:w="1964" w:type="pct"/>
                  <w:tcBorders>
                    <w:tl2br w:val="nil"/>
                    <w:tr2bl w:val="nil"/>
                  </w:tcBorders>
                  <w:vAlign w:val="center"/>
                </w:tcPr>
                <w:p w14:paraId="6DBA33AF">
                  <w:pPr>
                    <w:adjustRightInd w:val="0"/>
                    <w:snapToGrid w:val="0"/>
                    <w:jc w:val="center"/>
                    <w:rPr>
                      <w:rFonts w:ascii="Times New Roman" w:hAnsi="Times New Roman"/>
                      <w:b/>
                      <w:color w:val="auto"/>
                      <w:szCs w:val="21"/>
                      <w:lang w:bidi="ar"/>
                    </w:rPr>
                  </w:pPr>
                  <w:r>
                    <w:rPr>
                      <w:rFonts w:ascii="Times New Roman" w:hAnsi="Times New Roman"/>
                      <w:b/>
                      <w:color w:val="auto"/>
                      <w:szCs w:val="21"/>
                    </w:rPr>
                    <w:t>浓度限值（二级）</w:t>
                  </w:r>
                </w:p>
              </w:tc>
              <w:tc>
                <w:tcPr>
                  <w:tcW w:w="811" w:type="pct"/>
                  <w:tcBorders>
                    <w:tl2br w:val="nil"/>
                    <w:tr2bl w:val="nil"/>
                  </w:tcBorders>
                  <w:vAlign w:val="center"/>
                </w:tcPr>
                <w:p w14:paraId="1B5DBB62">
                  <w:pPr>
                    <w:adjustRightInd w:val="0"/>
                    <w:snapToGrid w:val="0"/>
                    <w:jc w:val="center"/>
                    <w:rPr>
                      <w:rFonts w:ascii="Times New Roman" w:hAnsi="Times New Roman"/>
                      <w:b/>
                      <w:color w:val="auto"/>
                      <w:szCs w:val="21"/>
                      <w:lang w:bidi="ar"/>
                    </w:rPr>
                  </w:pPr>
                  <w:r>
                    <w:rPr>
                      <w:rFonts w:ascii="Times New Roman" w:hAnsi="Times New Roman"/>
                      <w:b/>
                      <w:color w:val="auto"/>
                      <w:szCs w:val="21"/>
                      <w:lang w:bidi="ar"/>
                    </w:rPr>
                    <w:t>单位</w:t>
                  </w:r>
                </w:p>
              </w:tc>
            </w:tr>
            <w:tr w14:paraId="71286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3D71EBDD">
                  <w:pPr>
                    <w:adjustRightInd w:val="0"/>
                    <w:snapToGrid w:val="0"/>
                    <w:jc w:val="center"/>
                    <w:rPr>
                      <w:rFonts w:ascii="Times New Roman" w:hAnsi="Times New Roman"/>
                      <w:bCs/>
                      <w:color w:val="auto"/>
                      <w:szCs w:val="21"/>
                    </w:rPr>
                  </w:pPr>
                  <w:r>
                    <w:rPr>
                      <w:rFonts w:ascii="Times New Roman" w:hAnsi="Times New Roman"/>
                      <w:bCs/>
                      <w:color w:val="auto"/>
                      <w:szCs w:val="21"/>
                    </w:rPr>
                    <w:t>TSP</w:t>
                  </w:r>
                </w:p>
              </w:tc>
              <w:tc>
                <w:tcPr>
                  <w:tcW w:w="1285" w:type="pct"/>
                  <w:tcBorders>
                    <w:tl2br w:val="nil"/>
                    <w:tr2bl w:val="nil"/>
                  </w:tcBorders>
                  <w:vAlign w:val="center"/>
                </w:tcPr>
                <w:p w14:paraId="567252ED">
                  <w:pPr>
                    <w:adjustRightInd w:val="0"/>
                    <w:snapToGrid w:val="0"/>
                    <w:jc w:val="center"/>
                    <w:rPr>
                      <w:rFonts w:ascii="Times New Roman" w:hAnsi="Times New Roman"/>
                      <w:bCs/>
                      <w:color w:val="auto"/>
                      <w:szCs w:val="21"/>
                    </w:rPr>
                  </w:pPr>
                  <w:r>
                    <w:rPr>
                      <w:rFonts w:ascii="Times New Roman" w:hAnsi="Times New Roman"/>
                      <w:bCs/>
                      <w:color w:val="auto"/>
                      <w:szCs w:val="21"/>
                    </w:rPr>
                    <w:t>年平均</w:t>
                  </w:r>
                </w:p>
              </w:tc>
              <w:tc>
                <w:tcPr>
                  <w:tcW w:w="1964" w:type="pct"/>
                  <w:tcBorders>
                    <w:tl2br w:val="nil"/>
                    <w:tr2bl w:val="nil"/>
                  </w:tcBorders>
                  <w:vAlign w:val="center"/>
                </w:tcPr>
                <w:p w14:paraId="7AE43F89">
                  <w:pPr>
                    <w:adjustRightInd w:val="0"/>
                    <w:snapToGrid w:val="0"/>
                    <w:jc w:val="center"/>
                    <w:rPr>
                      <w:rFonts w:ascii="Times New Roman" w:hAnsi="Times New Roman"/>
                      <w:bCs/>
                      <w:color w:val="auto"/>
                      <w:szCs w:val="21"/>
                      <w:lang w:bidi="ar"/>
                    </w:rPr>
                  </w:pPr>
                  <w:r>
                    <w:rPr>
                      <w:rFonts w:ascii="Times New Roman" w:hAnsi="Times New Roman"/>
                      <w:bCs/>
                      <w:color w:val="auto"/>
                      <w:szCs w:val="21"/>
                    </w:rPr>
                    <w:t>200</w:t>
                  </w:r>
                </w:p>
              </w:tc>
              <w:tc>
                <w:tcPr>
                  <w:tcW w:w="811" w:type="pct"/>
                  <w:vMerge w:val="restart"/>
                  <w:tcBorders>
                    <w:tl2br w:val="nil"/>
                    <w:tr2bl w:val="nil"/>
                  </w:tcBorders>
                  <w:vAlign w:val="center"/>
                </w:tcPr>
                <w:p w14:paraId="21666B20">
                  <w:pPr>
                    <w:adjustRightInd w:val="0"/>
                    <w:snapToGrid w:val="0"/>
                    <w:jc w:val="center"/>
                    <w:rPr>
                      <w:rFonts w:ascii="Times New Roman" w:hAnsi="Times New Roman"/>
                      <w:bCs/>
                      <w:color w:val="auto"/>
                      <w:szCs w:val="21"/>
                      <w:lang w:bidi="ar"/>
                    </w:rPr>
                  </w:pPr>
                  <w:r>
                    <w:rPr>
                      <w:rFonts w:ascii="Times New Roman" w:hAnsi="Times New Roman"/>
                      <w:bCs/>
                      <w:color w:val="auto"/>
                      <w:szCs w:val="21"/>
                      <w:lang w:bidi="ar"/>
                    </w:rPr>
                    <w:t>μg/m</w:t>
                  </w:r>
                  <w:r>
                    <w:rPr>
                      <w:rFonts w:ascii="Times New Roman" w:hAnsi="Times New Roman"/>
                      <w:bCs/>
                      <w:color w:val="auto"/>
                      <w:szCs w:val="21"/>
                      <w:vertAlign w:val="superscript"/>
                      <w:lang w:bidi="ar"/>
                    </w:rPr>
                    <w:t>3</w:t>
                  </w:r>
                </w:p>
              </w:tc>
            </w:tr>
            <w:tr w14:paraId="63AA8D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continue"/>
                  <w:tcBorders>
                    <w:tl2br w:val="nil"/>
                    <w:tr2bl w:val="nil"/>
                  </w:tcBorders>
                  <w:vAlign w:val="center"/>
                </w:tcPr>
                <w:p w14:paraId="358F1308">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4CD9E4C2">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5E29D1EC">
                  <w:pPr>
                    <w:adjustRightInd w:val="0"/>
                    <w:snapToGrid w:val="0"/>
                    <w:jc w:val="center"/>
                    <w:rPr>
                      <w:rFonts w:ascii="Times New Roman" w:hAnsi="Times New Roman"/>
                      <w:bCs/>
                      <w:color w:val="auto"/>
                      <w:szCs w:val="21"/>
                    </w:rPr>
                  </w:pPr>
                  <w:r>
                    <w:rPr>
                      <w:rFonts w:ascii="Times New Roman" w:hAnsi="Times New Roman"/>
                      <w:bCs/>
                      <w:color w:val="auto"/>
                      <w:szCs w:val="21"/>
                    </w:rPr>
                    <w:t>300</w:t>
                  </w:r>
                </w:p>
              </w:tc>
              <w:tc>
                <w:tcPr>
                  <w:tcW w:w="811" w:type="pct"/>
                  <w:vMerge w:val="continue"/>
                  <w:tcBorders>
                    <w:tl2br w:val="nil"/>
                    <w:tr2bl w:val="nil"/>
                  </w:tcBorders>
                  <w:vAlign w:val="center"/>
                </w:tcPr>
                <w:p w14:paraId="056736B6">
                  <w:pPr>
                    <w:adjustRightInd w:val="0"/>
                    <w:snapToGrid w:val="0"/>
                    <w:jc w:val="center"/>
                    <w:rPr>
                      <w:rFonts w:ascii="Times New Roman" w:hAnsi="Times New Roman"/>
                      <w:bCs/>
                      <w:color w:val="auto"/>
                      <w:szCs w:val="21"/>
                    </w:rPr>
                  </w:pPr>
                </w:p>
              </w:tc>
            </w:tr>
            <w:tr w14:paraId="7E99A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210DE4D6">
                  <w:pPr>
                    <w:adjustRightInd w:val="0"/>
                    <w:snapToGrid w:val="0"/>
                    <w:jc w:val="center"/>
                    <w:rPr>
                      <w:rFonts w:ascii="Times New Roman" w:hAnsi="Times New Roman"/>
                      <w:bCs/>
                      <w:color w:val="auto"/>
                      <w:szCs w:val="21"/>
                    </w:rPr>
                  </w:pPr>
                  <w:r>
                    <w:rPr>
                      <w:rFonts w:ascii="Times New Roman" w:hAnsi="Times New Roman"/>
                      <w:bCs/>
                      <w:color w:val="auto"/>
                      <w:szCs w:val="21"/>
                    </w:rPr>
                    <w:t>PM</w:t>
                  </w:r>
                  <w:r>
                    <w:rPr>
                      <w:rFonts w:ascii="Times New Roman" w:hAnsi="Times New Roman"/>
                      <w:bCs/>
                      <w:color w:val="auto"/>
                      <w:szCs w:val="21"/>
                      <w:vertAlign w:val="subscript"/>
                    </w:rPr>
                    <w:t>10</w:t>
                  </w:r>
                </w:p>
              </w:tc>
              <w:tc>
                <w:tcPr>
                  <w:tcW w:w="1285" w:type="pct"/>
                  <w:tcBorders>
                    <w:tl2br w:val="nil"/>
                    <w:tr2bl w:val="nil"/>
                  </w:tcBorders>
                  <w:vAlign w:val="center"/>
                </w:tcPr>
                <w:p w14:paraId="2D109B8B">
                  <w:pPr>
                    <w:adjustRightInd w:val="0"/>
                    <w:snapToGrid w:val="0"/>
                    <w:jc w:val="center"/>
                    <w:rPr>
                      <w:rFonts w:ascii="Times New Roman" w:hAnsi="Times New Roman"/>
                      <w:bCs/>
                      <w:color w:val="auto"/>
                      <w:szCs w:val="21"/>
                    </w:rPr>
                  </w:pPr>
                  <w:r>
                    <w:rPr>
                      <w:rFonts w:ascii="Times New Roman" w:hAnsi="Times New Roman"/>
                      <w:bCs/>
                      <w:color w:val="auto"/>
                      <w:szCs w:val="21"/>
                    </w:rPr>
                    <w:t>年平均</w:t>
                  </w:r>
                </w:p>
              </w:tc>
              <w:tc>
                <w:tcPr>
                  <w:tcW w:w="1964" w:type="pct"/>
                  <w:tcBorders>
                    <w:tl2br w:val="nil"/>
                    <w:tr2bl w:val="nil"/>
                  </w:tcBorders>
                  <w:vAlign w:val="center"/>
                </w:tcPr>
                <w:p w14:paraId="712BE701">
                  <w:pPr>
                    <w:adjustRightInd w:val="0"/>
                    <w:snapToGrid w:val="0"/>
                    <w:jc w:val="center"/>
                    <w:rPr>
                      <w:rFonts w:ascii="Times New Roman" w:hAnsi="Times New Roman"/>
                      <w:bCs/>
                      <w:color w:val="auto"/>
                      <w:szCs w:val="21"/>
                    </w:rPr>
                  </w:pPr>
                  <w:r>
                    <w:rPr>
                      <w:rFonts w:ascii="Times New Roman" w:hAnsi="Times New Roman"/>
                      <w:bCs/>
                      <w:color w:val="auto"/>
                      <w:szCs w:val="21"/>
                    </w:rPr>
                    <w:t>60</w:t>
                  </w:r>
                </w:p>
              </w:tc>
              <w:tc>
                <w:tcPr>
                  <w:tcW w:w="811" w:type="pct"/>
                  <w:vMerge w:val="continue"/>
                  <w:tcBorders>
                    <w:tl2br w:val="nil"/>
                    <w:tr2bl w:val="nil"/>
                  </w:tcBorders>
                  <w:vAlign w:val="center"/>
                </w:tcPr>
                <w:p w14:paraId="3C4A0474">
                  <w:pPr>
                    <w:adjustRightInd w:val="0"/>
                    <w:snapToGrid w:val="0"/>
                    <w:jc w:val="center"/>
                    <w:rPr>
                      <w:rFonts w:ascii="Times New Roman" w:hAnsi="Times New Roman"/>
                      <w:bCs/>
                      <w:color w:val="auto"/>
                      <w:szCs w:val="21"/>
                    </w:rPr>
                  </w:pPr>
                </w:p>
              </w:tc>
            </w:tr>
            <w:tr w14:paraId="4D12D4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continue"/>
                  <w:tcBorders>
                    <w:tl2br w:val="nil"/>
                    <w:tr2bl w:val="nil"/>
                  </w:tcBorders>
                  <w:vAlign w:val="center"/>
                </w:tcPr>
                <w:p w14:paraId="690101DA">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66B10819">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3090833F">
                  <w:pPr>
                    <w:adjustRightInd w:val="0"/>
                    <w:snapToGrid w:val="0"/>
                    <w:jc w:val="center"/>
                    <w:rPr>
                      <w:rFonts w:ascii="Times New Roman" w:hAnsi="Times New Roman"/>
                      <w:bCs/>
                      <w:color w:val="auto"/>
                      <w:szCs w:val="21"/>
                    </w:rPr>
                  </w:pPr>
                  <w:r>
                    <w:rPr>
                      <w:rFonts w:ascii="Times New Roman" w:hAnsi="Times New Roman"/>
                      <w:bCs/>
                      <w:color w:val="auto"/>
                      <w:szCs w:val="21"/>
                    </w:rPr>
                    <w:t>120</w:t>
                  </w:r>
                </w:p>
              </w:tc>
              <w:tc>
                <w:tcPr>
                  <w:tcW w:w="811" w:type="pct"/>
                  <w:vMerge w:val="continue"/>
                  <w:tcBorders>
                    <w:tl2br w:val="nil"/>
                    <w:tr2bl w:val="nil"/>
                  </w:tcBorders>
                  <w:vAlign w:val="center"/>
                </w:tcPr>
                <w:p w14:paraId="3307CB66">
                  <w:pPr>
                    <w:adjustRightInd w:val="0"/>
                    <w:snapToGrid w:val="0"/>
                    <w:jc w:val="center"/>
                    <w:rPr>
                      <w:rFonts w:ascii="Times New Roman" w:hAnsi="Times New Roman"/>
                      <w:bCs/>
                      <w:color w:val="auto"/>
                      <w:szCs w:val="21"/>
                    </w:rPr>
                  </w:pPr>
                </w:p>
              </w:tc>
            </w:tr>
            <w:tr w14:paraId="467C65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6679D67E">
                  <w:pPr>
                    <w:adjustRightInd w:val="0"/>
                    <w:snapToGrid w:val="0"/>
                    <w:jc w:val="center"/>
                    <w:rPr>
                      <w:rFonts w:ascii="Times New Roman" w:hAnsi="Times New Roman"/>
                      <w:bCs/>
                      <w:color w:val="auto"/>
                      <w:szCs w:val="21"/>
                    </w:rPr>
                  </w:pPr>
                  <w:r>
                    <w:rPr>
                      <w:rFonts w:ascii="Times New Roman" w:hAnsi="Times New Roman"/>
                      <w:bCs/>
                      <w:color w:val="auto"/>
                      <w:szCs w:val="21"/>
                    </w:rPr>
                    <w:t>PM</w:t>
                  </w:r>
                  <w:r>
                    <w:rPr>
                      <w:rFonts w:ascii="Times New Roman" w:hAnsi="Times New Roman"/>
                      <w:bCs/>
                      <w:color w:val="auto"/>
                      <w:szCs w:val="21"/>
                      <w:vertAlign w:val="subscript"/>
                    </w:rPr>
                    <w:t>2.5</w:t>
                  </w:r>
                </w:p>
              </w:tc>
              <w:tc>
                <w:tcPr>
                  <w:tcW w:w="1285" w:type="pct"/>
                  <w:tcBorders>
                    <w:tl2br w:val="nil"/>
                    <w:tr2bl w:val="nil"/>
                  </w:tcBorders>
                  <w:vAlign w:val="center"/>
                </w:tcPr>
                <w:p w14:paraId="6B2697CE">
                  <w:pPr>
                    <w:adjustRightInd w:val="0"/>
                    <w:snapToGrid w:val="0"/>
                    <w:jc w:val="center"/>
                    <w:rPr>
                      <w:rFonts w:ascii="Times New Roman" w:hAnsi="Times New Roman"/>
                      <w:bCs/>
                      <w:color w:val="auto"/>
                      <w:szCs w:val="21"/>
                    </w:rPr>
                  </w:pPr>
                  <w:r>
                    <w:rPr>
                      <w:rFonts w:ascii="Times New Roman" w:hAnsi="Times New Roman"/>
                      <w:bCs/>
                      <w:color w:val="auto"/>
                      <w:szCs w:val="21"/>
                    </w:rPr>
                    <w:t>年平均</w:t>
                  </w:r>
                </w:p>
              </w:tc>
              <w:tc>
                <w:tcPr>
                  <w:tcW w:w="1964" w:type="pct"/>
                  <w:tcBorders>
                    <w:tl2br w:val="nil"/>
                    <w:tr2bl w:val="nil"/>
                  </w:tcBorders>
                  <w:vAlign w:val="center"/>
                </w:tcPr>
                <w:p w14:paraId="429AB997">
                  <w:pPr>
                    <w:adjustRightInd w:val="0"/>
                    <w:snapToGrid w:val="0"/>
                    <w:jc w:val="center"/>
                    <w:rPr>
                      <w:rFonts w:ascii="Times New Roman" w:hAnsi="Times New Roman"/>
                      <w:bCs/>
                      <w:color w:val="auto"/>
                      <w:szCs w:val="21"/>
                    </w:rPr>
                  </w:pPr>
                  <w:r>
                    <w:rPr>
                      <w:rFonts w:ascii="Times New Roman" w:hAnsi="Times New Roman"/>
                      <w:bCs/>
                      <w:color w:val="auto"/>
                      <w:szCs w:val="21"/>
                    </w:rPr>
                    <w:t>30</w:t>
                  </w:r>
                </w:p>
              </w:tc>
              <w:tc>
                <w:tcPr>
                  <w:tcW w:w="811" w:type="pct"/>
                  <w:vMerge w:val="continue"/>
                  <w:tcBorders>
                    <w:tl2br w:val="nil"/>
                    <w:tr2bl w:val="nil"/>
                  </w:tcBorders>
                  <w:vAlign w:val="center"/>
                </w:tcPr>
                <w:p w14:paraId="44CEA428">
                  <w:pPr>
                    <w:adjustRightInd w:val="0"/>
                    <w:snapToGrid w:val="0"/>
                    <w:jc w:val="center"/>
                    <w:rPr>
                      <w:rFonts w:ascii="Times New Roman" w:hAnsi="Times New Roman"/>
                      <w:bCs/>
                      <w:color w:val="auto"/>
                      <w:szCs w:val="21"/>
                    </w:rPr>
                  </w:pPr>
                </w:p>
              </w:tc>
            </w:tr>
            <w:tr w14:paraId="67C13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continue"/>
                  <w:tcBorders>
                    <w:tl2br w:val="nil"/>
                    <w:tr2bl w:val="nil"/>
                  </w:tcBorders>
                  <w:vAlign w:val="center"/>
                </w:tcPr>
                <w:p w14:paraId="2D453679">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53477ADA">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7840CE31">
                  <w:pPr>
                    <w:adjustRightInd w:val="0"/>
                    <w:snapToGrid w:val="0"/>
                    <w:jc w:val="center"/>
                    <w:rPr>
                      <w:rFonts w:ascii="Times New Roman" w:hAnsi="Times New Roman"/>
                      <w:bCs/>
                      <w:color w:val="auto"/>
                      <w:szCs w:val="21"/>
                    </w:rPr>
                  </w:pPr>
                  <w:r>
                    <w:rPr>
                      <w:rFonts w:ascii="Times New Roman" w:hAnsi="Times New Roman"/>
                      <w:bCs/>
                      <w:color w:val="auto"/>
                      <w:szCs w:val="21"/>
                    </w:rPr>
                    <w:t>60</w:t>
                  </w:r>
                </w:p>
              </w:tc>
              <w:tc>
                <w:tcPr>
                  <w:tcW w:w="811" w:type="pct"/>
                  <w:vMerge w:val="continue"/>
                  <w:tcBorders>
                    <w:tl2br w:val="nil"/>
                    <w:tr2bl w:val="nil"/>
                  </w:tcBorders>
                  <w:vAlign w:val="center"/>
                </w:tcPr>
                <w:p w14:paraId="69331533">
                  <w:pPr>
                    <w:adjustRightInd w:val="0"/>
                    <w:snapToGrid w:val="0"/>
                    <w:jc w:val="center"/>
                    <w:rPr>
                      <w:rFonts w:ascii="Times New Roman" w:hAnsi="Times New Roman"/>
                      <w:bCs/>
                      <w:color w:val="auto"/>
                      <w:szCs w:val="21"/>
                    </w:rPr>
                  </w:pPr>
                </w:p>
              </w:tc>
            </w:tr>
            <w:tr w14:paraId="042A4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7AAE7ED9">
                  <w:pPr>
                    <w:adjustRightInd w:val="0"/>
                    <w:snapToGrid w:val="0"/>
                    <w:jc w:val="center"/>
                    <w:rPr>
                      <w:rFonts w:ascii="Times New Roman" w:hAnsi="Times New Roman"/>
                      <w:bCs/>
                      <w:color w:val="auto"/>
                      <w:szCs w:val="21"/>
                    </w:rPr>
                  </w:pPr>
                  <w:r>
                    <w:rPr>
                      <w:rFonts w:ascii="Times New Roman" w:hAnsi="Times New Roman"/>
                      <w:bCs/>
                      <w:color w:val="auto"/>
                      <w:szCs w:val="21"/>
                    </w:rPr>
                    <w:t>SO</w:t>
                  </w:r>
                  <w:r>
                    <w:rPr>
                      <w:rFonts w:ascii="Times New Roman" w:hAnsi="Times New Roman"/>
                      <w:bCs/>
                      <w:color w:val="auto"/>
                      <w:szCs w:val="21"/>
                      <w:vertAlign w:val="subscript"/>
                    </w:rPr>
                    <w:t>2</w:t>
                  </w:r>
                </w:p>
              </w:tc>
              <w:tc>
                <w:tcPr>
                  <w:tcW w:w="1285" w:type="pct"/>
                  <w:tcBorders>
                    <w:tl2br w:val="nil"/>
                    <w:tr2bl w:val="nil"/>
                  </w:tcBorders>
                  <w:vAlign w:val="center"/>
                </w:tcPr>
                <w:p w14:paraId="13453682">
                  <w:pPr>
                    <w:adjustRightInd w:val="0"/>
                    <w:snapToGrid w:val="0"/>
                    <w:jc w:val="center"/>
                    <w:rPr>
                      <w:rFonts w:ascii="Times New Roman" w:hAnsi="Times New Roman"/>
                      <w:bCs/>
                      <w:color w:val="auto"/>
                      <w:szCs w:val="21"/>
                    </w:rPr>
                  </w:pPr>
                  <w:r>
                    <w:rPr>
                      <w:rFonts w:ascii="Times New Roman" w:hAnsi="Times New Roman"/>
                      <w:bCs/>
                      <w:color w:val="auto"/>
                      <w:szCs w:val="21"/>
                    </w:rPr>
                    <w:t>年平均</w:t>
                  </w:r>
                </w:p>
              </w:tc>
              <w:tc>
                <w:tcPr>
                  <w:tcW w:w="1964" w:type="pct"/>
                  <w:tcBorders>
                    <w:tl2br w:val="nil"/>
                    <w:tr2bl w:val="nil"/>
                  </w:tcBorders>
                  <w:vAlign w:val="center"/>
                </w:tcPr>
                <w:p w14:paraId="6148CD73">
                  <w:pPr>
                    <w:adjustRightInd w:val="0"/>
                    <w:snapToGrid w:val="0"/>
                    <w:jc w:val="center"/>
                    <w:rPr>
                      <w:rFonts w:ascii="Times New Roman" w:hAnsi="Times New Roman"/>
                      <w:bCs/>
                      <w:color w:val="auto"/>
                      <w:szCs w:val="21"/>
                    </w:rPr>
                  </w:pPr>
                  <w:r>
                    <w:rPr>
                      <w:rFonts w:ascii="Times New Roman" w:hAnsi="Times New Roman"/>
                      <w:bCs/>
                      <w:color w:val="auto"/>
                      <w:szCs w:val="21"/>
                    </w:rPr>
                    <w:t>60</w:t>
                  </w:r>
                </w:p>
              </w:tc>
              <w:tc>
                <w:tcPr>
                  <w:tcW w:w="811" w:type="pct"/>
                  <w:vMerge w:val="continue"/>
                  <w:tcBorders>
                    <w:tl2br w:val="nil"/>
                    <w:tr2bl w:val="nil"/>
                  </w:tcBorders>
                  <w:vAlign w:val="center"/>
                </w:tcPr>
                <w:p w14:paraId="40FEA5C5">
                  <w:pPr>
                    <w:adjustRightInd w:val="0"/>
                    <w:snapToGrid w:val="0"/>
                    <w:jc w:val="center"/>
                    <w:rPr>
                      <w:rFonts w:ascii="Times New Roman" w:hAnsi="Times New Roman"/>
                      <w:bCs/>
                      <w:color w:val="auto"/>
                      <w:szCs w:val="21"/>
                    </w:rPr>
                  </w:pPr>
                </w:p>
              </w:tc>
            </w:tr>
            <w:tr w14:paraId="68B14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938" w:type="pct"/>
                  <w:vMerge w:val="continue"/>
                  <w:tcBorders>
                    <w:tl2br w:val="nil"/>
                    <w:tr2bl w:val="nil"/>
                  </w:tcBorders>
                  <w:vAlign w:val="center"/>
                </w:tcPr>
                <w:p w14:paraId="65DCFD24">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69E84357">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0E6C44B7">
                  <w:pPr>
                    <w:adjustRightInd w:val="0"/>
                    <w:snapToGrid w:val="0"/>
                    <w:jc w:val="center"/>
                    <w:rPr>
                      <w:rFonts w:ascii="Times New Roman" w:hAnsi="Times New Roman"/>
                      <w:bCs/>
                      <w:color w:val="auto"/>
                      <w:szCs w:val="21"/>
                    </w:rPr>
                  </w:pPr>
                  <w:r>
                    <w:rPr>
                      <w:rFonts w:ascii="Times New Roman" w:hAnsi="Times New Roman"/>
                      <w:bCs/>
                      <w:color w:val="auto"/>
                      <w:szCs w:val="21"/>
                    </w:rPr>
                    <w:t>150</w:t>
                  </w:r>
                </w:p>
              </w:tc>
              <w:tc>
                <w:tcPr>
                  <w:tcW w:w="811" w:type="pct"/>
                  <w:vMerge w:val="continue"/>
                  <w:tcBorders>
                    <w:tl2br w:val="nil"/>
                    <w:tr2bl w:val="nil"/>
                  </w:tcBorders>
                  <w:vAlign w:val="center"/>
                </w:tcPr>
                <w:p w14:paraId="6A94C75E">
                  <w:pPr>
                    <w:adjustRightInd w:val="0"/>
                    <w:snapToGrid w:val="0"/>
                    <w:jc w:val="center"/>
                    <w:rPr>
                      <w:rFonts w:ascii="Times New Roman" w:hAnsi="Times New Roman"/>
                      <w:bCs/>
                      <w:color w:val="auto"/>
                      <w:szCs w:val="21"/>
                    </w:rPr>
                  </w:pPr>
                </w:p>
              </w:tc>
            </w:tr>
            <w:tr w14:paraId="153DB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938" w:type="pct"/>
                  <w:vMerge w:val="continue"/>
                  <w:tcBorders>
                    <w:tl2br w:val="nil"/>
                    <w:tr2bl w:val="nil"/>
                  </w:tcBorders>
                  <w:vAlign w:val="center"/>
                </w:tcPr>
                <w:p w14:paraId="73C05B9A">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35872552">
                  <w:pPr>
                    <w:adjustRightInd w:val="0"/>
                    <w:snapToGrid w:val="0"/>
                    <w:jc w:val="center"/>
                    <w:rPr>
                      <w:rFonts w:ascii="Times New Roman" w:hAnsi="Times New Roman"/>
                      <w:bCs/>
                      <w:color w:val="auto"/>
                      <w:szCs w:val="21"/>
                    </w:rPr>
                  </w:pPr>
                  <w:r>
                    <w:rPr>
                      <w:rFonts w:ascii="Times New Roman" w:hAnsi="Times New Roman"/>
                      <w:bCs/>
                      <w:color w:val="auto"/>
                      <w:szCs w:val="21"/>
                    </w:rPr>
                    <w:t>1小时平均</w:t>
                  </w:r>
                </w:p>
              </w:tc>
              <w:tc>
                <w:tcPr>
                  <w:tcW w:w="1964" w:type="pct"/>
                  <w:tcBorders>
                    <w:tl2br w:val="nil"/>
                    <w:tr2bl w:val="nil"/>
                  </w:tcBorders>
                  <w:vAlign w:val="center"/>
                </w:tcPr>
                <w:p w14:paraId="1CAF96BB">
                  <w:pPr>
                    <w:adjustRightInd w:val="0"/>
                    <w:snapToGrid w:val="0"/>
                    <w:jc w:val="center"/>
                    <w:rPr>
                      <w:rFonts w:ascii="Times New Roman" w:hAnsi="Times New Roman"/>
                      <w:bCs/>
                      <w:color w:val="auto"/>
                      <w:szCs w:val="21"/>
                    </w:rPr>
                  </w:pPr>
                  <w:r>
                    <w:rPr>
                      <w:rFonts w:ascii="Times New Roman" w:hAnsi="Times New Roman"/>
                      <w:bCs/>
                      <w:color w:val="auto"/>
                      <w:szCs w:val="21"/>
                    </w:rPr>
                    <w:t>500</w:t>
                  </w:r>
                </w:p>
              </w:tc>
              <w:tc>
                <w:tcPr>
                  <w:tcW w:w="811" w:type="pct"/>
                  <w:vMerge w:val="continue"/>
                  <w:tcBorders>
                    <w:tl2br w:val="nil"/>
                    <w:tr2bl w:val="nil"/>
                  </w:tcBorders>
                  <w:vAlign w:val="center"/>
                </w:tcPr>
                <w:p w14:paraId="1736328B">
                  <w:pPr>
                    <w:adjustRightInd w:val="0"/>
                    <w:snapToGrid w:val="0"/>
                    <w:jc w:val="center"/>
                    <w:rPr>
                      <w:rFonts w:ascii="Times New Roman" w:hAnsi="Times New Roman"/>
                      <w:bCs/>
                      <w:color w:val="auto"/>
                      <w:szCs w:val="21"/>
                    </w:rPr>
                  </w:pPr>
                </w:p>
              </w:tc>
            </w:tr>
            <w:tr w14:paraId="20B261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938" w:type="pct"/>
                  <w:vMerge w:val="restart"/>
                  <w:tcBorders>
                    <w:tl2br w:val="nil"/>
                    <w:tr2bl w:val="nil"/>
                  </w:tcBorders>
                  <w:vAlign w:val="center"/>
                </w:tcPr>
                <w:p w14:paraId="7AC4B06B">
                  <w:pPr>
                    <w:adjustRightInd w:val="0"/>
                    <w:snapToGrid w:val="0"/>
                    <w:jc w:val="center"/>
                    <w:rPr>
                      <w:rFonts w:ascii="Times New Roman" w:hAnsi="Times New Roman"/>
                      <w:bCs/>
                      <w:color w:val="auto"/>
                      <w:szCs w:val="21"/>
                    </w:rPr>
                  </w:pPr>
                  <w:r>
                    <w:rPr>
                      <w:rFonts w:ascii="Times New Roman" w:hAnsi="Times New Roman"/>
                      <w:bCs/>
                      <w:color w:val="auto"/>
                      <w:szCs w:val="21"/>
                    </w:rPr>
                    <w:t>NO</w:t>
                  </w:r>
                  <w:r>
                    <w:rPr>
                      <w:rFonts w:ascii="Times New Roman" w:hAnsi="Times New Roman"/>
                      <w:bCs/>
                      <w:color w:val="auto"/>
                      <w:szCs w:val="21"/>
                      <w:vertAlign w:val="subscript"/>
                    </w:rPr>
                    <w:t>2</w:t>
                  </w:r>
                </w:p>
              </w:tc>
              <w:tc>
                <w:tcPr>
                  <w:tcW w:w="1285" w:type="pct"/>
                  <w:tcBorders>
                    <w:tl2br w:val="nil"/>
                    <w:tr2bl w:val="nil"/>
                  </w:tcBorders>
                  <w:vAlign w:val="center"/>
                </w:tcPr>
                <w:p w14:paraId="66B0FB78">
                  <w:pPr>
                    <w:adjustRightInd w:val="0"/>
                    <w:snapToGrid w:val="0"/>
                    <w:jc w:val="center"/>
                    <w:rPr>
                      <w:rFonts w:ascii="Times New Roman" w:hAnsi="Times New Roman"/>
                      <w:bCs/>
                      <w:color w:val="auto"/>
                      <w:szCs w:val="21"/>
                    </w:rPr>
                  </w:pPr>
                  <w:r>
                    <w:rPr>
                      <w:rFonts w:ascii="Times New Roman" w:hAnsi="Times New Roman"/>
                      <w:bCs/>
                      <w:color w:val="auto"/>
                      <w:szCs w:val="21"/>
                    </w:rPr>
                    <w:t>年平均</w:t>
                  </w:r>
                </w:p>
              </w:tc>
              <w:tc>
                <w:tcPr>
                  <w:tcW w:w="1964" w:type="pct"/>
                  <w:tcBorders>
                    <w:tl2br w:val="nil"/>
                    <w:tr2bl w:val="nil"/>
                  </w:tcBorders>
                  <w:vAlign w:val="center"/>
                </w:tcPr>
                <w:p w14:paraId="2EAC1B83">
                  <w:pPr>
                    <w:adjustRightInd w:val="0"/>
                    <w:snapToGrid w:val="0"/>
                    <w:jc w:val="center"/>
                    <w:rPr>
                      <w:rFonts w:ascii="Times New Roman" w:hAnsi="Times New Roman"/>
                      <w:bCs/>
                      <w:color w:val="auto"/>
                      <w:szCs w:val="21"/>
                    </w:rPr>
                  </w:pPr>
                  <w:r>
                    <w:rPr>
                      <w:rFonts w:ascii="Times New Roman" w:hAnsi="Times New Roman"/>
                      <w:bCs/>
                      <w:color w:val="auto"/>
                      <w:szCs w:val="21"/>
                    </w:rPr>
                    <w:t>40</w:t>
                  </w:r>
                </w:p>
              </w:tc>
              <w:tc>
                <w:tcPr>
                  <w:tcW w:w="811" w:type="pct"/>
                  <w:vMerge w:val="continue"/>
                  <w:tcBorders>
                    <w:tl2br w:val="nil"/>
                    <w:tr2bl w:val="nil"/>
                  </w:tcBorders>
                  <w:vAlign w:val="center"/>
                </w:tcPr>
                <w:p w14:paraId="1BA8402B">
                  <w:pPr>
                    <w:adjustRightInd w:val="0"/>
                    <w:snapToGrid w:val="0"/>
                    <w:jc w:val="center"/>
                    <w:rPr>
                      <w:rFonts w:ascii="Times New Roman" w:hAnsi="Times New Roman"/>
                      <w:bCs/>
                      <w:color w:val="auto"/>
                      <w:szCs w:val="21"/>
                    </w:rPr>
                  </w:pPr>
                </w:p>
              </w:tc>
            </w:tr>
            <w:tr w14:paraId="7F0D4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continue"/>
                  <w:tcBorders>
                    <w:tl2br w:val="nil"/>
                    <w:tr2bl w:val="nil"/>
                  </w:tcBorders>
                  <w:vAlign w:val="center"/>
                </w:tcPr>
                <w:p w14:paraId="764D8838">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176FB3F9">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33581307">
                  <w:pPr>
                    <w:adjustRightInd w:val="0"/>
                    <w:snapToGrid w:val="0"/>
                    <w:jc w:val="center"/>
                    <w:rPr>
                      <w:rFonts w:ascii="Times New Roman" w:hAnsi="Times New Roman"/>
                      <w:bCs/>
                      <w:color w:val="auto"/>
                      <w:szCs w:val="21"/>
                    </w:rPr>
                  </w:pPr>
                  <w:r>
                    <w:rPr>
                      <w:rFonts w:ascii="Times New Roman" w:hAnsi="Times New Roman"/>
                      <w:bCs/>
                      <w:color w:val="auto"/>
                      <w:szCs w:val="21"/>
                    </w:rPr>
                    <w:t>80</w:t>
                  </w:r>
                </w:p>
              </w:tc>
              <w:tc>
                <w:tcPr>
                  <w:tcW w:w="811" w:type="pct"/>
                  <w:vMerge w:val="continue"/>
                  <w:tcBorders>
                    <w:tl2br w:val="nil"/>
                    <w:tr2bl w:val="nil"/>
                  </w:tcBorders>
                  <w:vAlign w:val="center"/>
                </w:tcPr>
                <w:p w14:paraId="54DEB687">
                  <w:pPr>
                    <w:adjustRightInd w:val="0"/>
                    <w:snapToGrid w:val="0"/>
                    <w:jc w:val="center"/>
                    <w:rPr>
                      <w:rFonts w:ascii="Times New Roman" w:hAnsi="Times New Roman"/>
                      <w:bCs/>
                      <w:color w:val="auto"/>
                      <w:szCs w:val="21"/>
                    </w:rPr>
                  </w:pPr>
                </w:p>
              </w:tc>
            </w:tr>
            <w:tr w14:paraId="24A5D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938" w:type="pct"/>
                  <w:vMerge w:val="continue"/>
                  <w:tcBorders>
                    <w:tl2br w:val="nil"/>
                    <w:tr2bl w:val="nil"/>
                  </w:tcBorders>
                  <w:vAlign w:val="center"/>
                </w:tcPr>
                <w:p w14:paraId="3A9F002B">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00D640AD">
                  <w:pPr>
                    <w:adjustRightInd w:val="0"/>
                    <w:snapToGrid w:val="0"/>
                    <w:jc w:val="center"/>
                    <w:rPr>
                      <w:rFonts w:ascii="Times New Roman" w:hAnsi="Times New Roman"/>
                      <w:bCs/>
                      <w:color w:val="auto"/>
                      <w:szCs w:val="21"/>
                    </w:rPr>
                  </w:pPr>
                  <w:r>
                    <w:rPr>
                      <w:rFonts w:ascii="Times New Roman" w:hAnsi="Times New Roman"/>
                      <w:bCs/>
                      <w:color w:val="auto"/>
                      <w:szCs w:val="21"/>
                    </w:rPr>
                    <w:t>1小时平均</w:t>
                  </w:r>
                </w:p>
              </w:tc>
              <w:tc>
                <w:tcPr>
                  <w:tcW w:w="1964" w:type="pct"/>
                  <w:tcBorders>
                    <w:tl2br w:val="nil"/>
                    <w:tr2bl w:val="nil"/>
                  </w:tcBorders>
                  <w:vAlign w:val="center"/>
                </w:tcPr>
                <w:p w14:paraId="367BD22A">
                  <w:pPr>
                    <w:adjustRightInd w:val="0"/>
                    <w:snapToGrid w:val="0"/>
                    <w:jc w:val="center"/>
                    <w:rPr>
                      <w:rFonts w:ascii="Times New Roman" w:hAnsi="Times New Roman"/>
                      <w:bCs/>
                      <w:color w:val="auto"/>
                      <w:szCs w:val="21"/>
                    </w:rPr>
                  </w:pPr>
                  <w:r>
                    <w:rPr>
                      <w:rFonts w:ascii="Times New Roman" w:hAnsi="Times New Roman"/>
                      <w:bCs/>
                      <w:color w:val="auto"/>
                      <w:szCs w:val="21"/>
                    </w:rPr>
                    <w:t>200</w:t>
                  </w:r>
                </w:p>
              </w:tc>
              <w:tc>
                <w:tcPr>
                  <w:tcW w:w="811" w:type="pct"/>
                  <w:vMerge w:val="continue"/>
                  <w:tcBorders>
                    <w:tl2br w:val="nil"/>
                    <w:tr2bl w:val="nil"/>
                  </w:tcBorders>
                  <w:vAlign w:val="center"/>
                </w:tcPr>
                <w:p w14:paraId="473A5A45">
                  <w:pPr>
                    <w:adjustRightInd w:val="0"/>
                    <w:snapToGrid w:val="0"/>
                    <w:jc w:val="center"/>
                    <w:rPr>
                      <w:rFonts w:ascii="Times New Roman" w:hAnsi="Times New Roman"/>
                      <w:bCs/>
                      <w:color w:val="auto"/>
                      <w:szCs w:val="21"/>
                    </w:rPr>
                  </w:pPr>
                </w:p>
              </w:tc>
            </w:tr>
            <w:tr w14:paraId="5B644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08A30B1D">
                  <w:pPr>
                    <w:adjustRightInd w:val="0"/>
                    <w:snapToGrid w:val="0"/>
                    <w:jc w:val="center"/>
                    <w:rPr>
                      <w:rFonts w:ascii="Times New Roman" w:hAnsi="Times New Roman"/>
                      <w:bCs/>
                      <w:color w:val="auto"/>
                      <w:szCs w:val="21"/>
                    </w:rPr>
                  </w:pPr>
                  <w:r>
                    <w:rPr>
                      <w:rFonts w:ascii="Times New Roman" w:hAnsi="Times New Roman"/>
                      <w:bCs/>
                      <w:color w:val="auto"/>
                      <w:szCs w:val="21"/>
                    </w:rPr>
                    <w:t>O</w:t>
                  </w:r>
                  <w:r>
                    <w:rPr>
                      <w:rFonts w:ascii="Times New Roman" w:hAnsi="Times New Roman"/>
                      <w:bCs/>
                      <w:color w:val="auto"/>
                      <w:szCs w:val="21"/>
                      <w:vertAlign w:val="subscript"/>
                    </w:rPr>
                    <w:t>3</w:t>
                  </w:r>
                </w:p>
              </w:tc>
              <w:tc>
                <w:tcPr>
                  <w:tcW w:w="1285" w:type="pct"/>
                  <w:tcBorders>
                    <w:tl2br w:val="nil"/>
                    <w:tr2bl w:val="nil"/>
                  </w:tcBorders>
                  <w:vAlign w:val="center"/>
                </w:tcPr>
                <w:p w14:paraId="71EE1FFD">
                  <w:pPr>
                    <w:adjustRightInd w:val="0"/>
                    <w:snapToGrid w:val="0"/>
                    <w:jc w:val="center"/>
                    <w:rPr>
                      <w:rFonts w:ascii="Times New Roman" w:hAnsi="Times New Roman"/>
                      <w:bCs/>
                      <w:color w:val="auto"/>
                      <w:szCs w:val="21"/>
                    </w:rPr>
                  </w:pPr>
                  <w:r>
                    <w:rPr>
                      <w:rFonts w:ascii="Times New Roman" w:hAnsi="Times New Roman"/>
                      <w:bCs/>
                      <w:color w:val="auto"/>
                      <w:szCs w:val="21"/>
                    </w:rPr>
                    <w:t>日最大8小时平均</w:t>
                  </w:r>
                </w:p>
              </w:tc>
              <w:tc>
                <w:tcPr>
                  <w:tcW w:w="1964" w:type="pct"/>
                  <w:tcBorders>
                    <w:tl2br w:val="nil"/>
                    <w:tr2bl w:val="nil"/>
                  </w:tcBorders>
                  <w:vAlign w:val="center"/>
                </w:tcPr>
                <w:p w14:paraId="574E1F8D">
                  <w:pPr>
                    <w:adjustRightInd w:val="0"/>
                    <w:snapToGrid w:val="0"/>
                    <w:jc w:val="center"/>
                    <w:rPr>
                      <w:rFonts w:ascii="Times New Roman" w:hAnsi="Times New Roman"/>
                      <w:bCs/>
                      <w:color w:val="auto"/>
                      <w:szCs w:val="21"/>
                    </w:rPr>
                  </w:pPr>
                  <w:r>
                    <w:rPr>
                      <w:rFonts w:ascii="Times New Roman" w:hAnsi="Times New Roman"/>
                      <w:bCs/>
                      <w:color w:val="auto"/>
                      <w:szCs w:val="21"/>
                    </w:rPr>
                    <w:t>160</w:t>
                  </w:r>
                </w:p>
              </w:tc>
              <w:tc>
                <w:tcPr>
                  <w:tcW w:w="811" w:type="pct"/>
                  <w:vMerge w:val="continue"/>
                  <w:tcBorders>
                    <w:tl2br w:val="nil"/>
                    <w:tr2bl w:val="nil"/>
                  </w:tcBorders>
                  <w:vAlign w:val="center"/>
                </w:tcPr>
                <w:p w14:paraId="6B1D3AC3">
                  <w:pPr>
                    <w:adjustRightInd w:val="0"/>
                    <w:snapToGrid w:val="0"/>
                    <w:jc w:val="center"/>
                    <w:rPr>
                      <w:rFonts w:ascii="Times New Roman" w:hAnsi="Times New Roman"/>
                      <w:bCs/>
                      <w:color w:val="auto"/>
                      <w:szCs w:val="21"/>
                    </w:rPr>
                  </w:pPr>
                </w:p>
              </w:tc>
            </w:tr>
            <w:tr w14:paraId="481BBF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jc w:val="center"/>
              </w:trPr>
              <w:tc>
                <w:tcPr>
                  <w:tcW w:w="938" w:type="pct"/>
                  <w:vMerge w:val="continue"/>
                  <w:tcBorders>
                    <w:tl2br w:val="nil"/>
                    <w:tr2bl w:val="nil"/>
                  </w:tcBorders>
                  <w:vAlign w:val="center"/>
                </w:tcPr>
                <w:p w14:paraId="3071E466">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1C53E8BC">
                  <w:pPr>
                    <w:adjustRightInd w:val="0"/>
                    <w:snapToGrid w:val="0"/>
                    <w:jc w:val="center"/>
                    <w:rPr>
                      <w:rFonts w:ascii="Times New Roman" w:hAnsi="Times New Roman"/>
                      <w:bCs/>
                      <w:color w:val="auto"/>
                      <w:szCs w:val="21"/>
                    </w:rPr>
                  </w:pPr>
                  <w:r>
                    <w:rPr>
                      <w:rFonts w:ascii="Times New Roman" w:hAnsi="Times New Roman"/>
                      <w:bCs/>
                      <w:color w:val="auto"/>
                      <w:szCs w:val="21"/>
                    </w:rPr>
                    <w:t>1小时平均</w:t>
                  </w:r>
                </w:p>
              </w:tc>
              <w:tc>
                <w:tcPr>
                  <w:tcW w:w="1964" w:type="pct"/>
                  <w:tcBorders>
                    <w:tl2br w:val="nil"/>
                    <w:tr2bl w:val="nil"/>
                  </w:tcBorders>
                  <w:vAlign w:val="center"/>
                </w:tcPr>
                <w:p w14:paraId="5A14394E">
                  <w:pPr>
                    <w:adjustRightInd w:val="0"/>
                    <w:snapToGrid w:val="0"/>
                    <w:jc w:val="center"/>
                    <w:rPr>
                      <w:rFonts w:ascii="Times New Roman" w:hAnsi="Times New Roman"/>
                      <w:bCs/>
                      <w:color w:val="auto"/>
                      <w:szCs w:val="21"/>
                    </w:rPr>
                  </w:pPr>
                  <w:r>
                    <w:rPr>
                      <w:rFonts w:ascii="Times New Roman" w:hAnsi="Times New Roman"/>
                      <w:bCs/>
                      <w:color w:val="auto"/>
                      <w:szCs w:val="21"/>
                    </w:rPr>
                    <w:t>200</w:t>
                  </w:r>
                </w:p>
              </w:tc>
              <w:tc>
                <w:tcPr>
                  <w:tcW w:w="811" w:type="pct"/>
                  <w:vMerge w:val="continue"/>
                  <w:tcBorders>
                    <w:tl2br w:val="nil"/>
                    <w:tr2bl w:val="nil"/>
                  </w:tcBorders>
                  <w:vAlign w:val="center"/>
                </w:tcPr>
                <w:p w14:paraId="54E74A57">
                  <w:pPr>
                    <w:adjustRightInd w:val="0"/>
                    <w:snapToGrid w:val="0"/>
                    <w:jc w:val="center"/>
                    <w:rPr>
                      <w:rFonts w:ascii="Times New Roman" w:hAnsi="Times New Roman"/>
                      <w:bCs/>
                      <w:color w:val="auto"/>
                      <w:szCs w:val="21"/>
                    </w:rPr>
                  </w:pPr>
                </w:p>
              </w:tc>
            </w:tr>
            <w:tr w14:paraId="197804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restart"/>
                  <w:tcBorders>
                    <w:tl2br w:val="nil"/>
                    <w:tr2bl w:val="nil"/>
                  </w:tcBorders>
                  <w:vAlign w:val="center"/>
                </w:tcPr>
                <w:p w14:paraId="6B9801EA">
                  <w:pPr>
                    <w:adjustRightInd w:val="0"/>
                    <w:snapToGrid w:val="0"/>
                    <w:jc w:val="center"/>
                    <w:rPr>
                      <w:rFonts w:ascii="Times New Roman" w:hAnsi="Times New Roman"/>
                      <w:bCs/>
                      <w:color w:val="auto"/>
                      <w:szCs w:val="21"/>
                    </w:rPr>
                  </w:pPr>
                  <w:r>
                    <w:rPr>
                      <w:rFonts w:ascii="Times New Roman" w:hAnsi="Times New Roman"/>
                      <w:bCs/>
                      <w:color w:val="auto"/>
                      <w:szCs w:val="21"/>
                    </w:rPr>
                    <w:t>CO</w:t>
                  </w:r>
                </w:p>
              </w:tc>
              <w:tc>
                <w:tcPr>
                  <w:tcW w:w="1285" w:type="pct"/>
                  <w:tcBorders>
                    <w:tl2br w:val="nil"/>
                    <w:tr2bl w:val="nil"/>
                  </w:tcBorders>
                  <w:vAlign w:val="center"/>
                </w:tcPr>
                <w:p w14:paraId="418E4DB1">
                  <w:pPr>
                    <w:adjustRightInd w:val="0"/>
                    <w:snapToGrid w:val="0"/>
                    <w:jc w:val="center"/>
                    <w:rPr>
                      <w:rFonts w:ascii="Times New Roman" w:hAnsi="Times New Roman"/>
                      <w:bCs/>
                      <w:color w:val="auto"/>
                      <w:szCs w:val="21"/>
                    </w:rPr>
                  </w:pPr>
                  <w:r>
                    <w:rPr>
                      <w:rFonts w:ascii="Times New Roman" w:hAnsi="Times New Roman"/>
                      <w:bCs/>
                      <w:color w:val="auto"/>
                      <w:szCs w:val="21"/>
                    </w:rPr>
                    <w:t>24小时平均</w:t>
                  </w:r>
                </w:p>
              </w:tc>
              <w:tc>
                <w:tcPr>
                  <w:tcW w:w="1964" w:type="pct"/>
                  <w:tcBorders>
                    <w:tl2br w:val="nil"/>
                    <w:tr2bl w:val="nil"/>
                  </w:tcBorders>
                  <w:vAlign w:val="center"/>
                </w:tcPr>
                <w:p w14:paraId="0B47577F">
                  <w:pPr>
                    <w:adjustRightInd w:val="0"/>
                    <w:snapToGrid w:val="0"/>
                    <w:jc w:val="center"/>
                    <w:rPr>
                      <w:rFonts w:ascii="Times New Roman" w:hAnsi="Times New Roman"/>
                      <w:bCs/>
                      <w:color w:val="auto"/>
                      <w:szCs w:val="21"/>
                    </w:rPr>
                  </w:pPr>
                  <w:r>
                    <w:rPr>
                      <w:rFonts w:ascii="Times New Roman" w:hAnsi="Times New Roman"/>
                      <w:bCs/>
                      <w:color w:val="auto"/>
                      <w:szCs w:val="21"/>
                    </w:rPr>
                    <w:t>4</w:t>
                  </w:r>
                </w:p>
              </w:tc>
              <w:tc>
                <w:tcPr>
                  <w:tcW w:w="811" w:type="pct"/>
                  <w:vMerge w:val="restart"/>
                  <w:tcBorders>
                    <w:tl2br w:val="nil"/>
                    <w:tr2bl w:val="nil"/>
                  </w:tcBorders>
                  <w:vAlign w:val="center"/>
                </w:tcPr>
                <w:p w14:paraId="4AF44E98">
                  <w:pPr>
                    <w:adjustRightInd w:val="0"/>
                    <w:snapToGrid w:val="0"/>
                    <w:jc w:val="center"/>
                    <w:rPr>
                      <w:rFonts w:ascii="Times New Roman" w:hAnsi="Times New Roman"/>
                      <w:bCs/>
                      <w:color w:val="auto"/>
                      <w:szCs w:val="21"/>
                    </w:rPr>
                  </w:pPr>
                  <w:r>
                    <w:rPr>
                      <w:rFonts w:ascii="Times New Roman" w:hAnsi="Times New Roman"/>
                      <w:bCs/>
                      <w:color w:val="auto"/>
                      <w:szCs w:val="21"/>
                      <w:lang w:bidi="ar"/>
                    </w:rPr>
                    <w:t>mg/m</w:t>
                  </w:r>
                  <w:r>
                    <w:rPr>
                      <w:rFonts w:ascii="Times New Roman" w:hAnsi="Times New Roman"/>
                      <w:bCs/>
                      <w:color w:val="auto"/>
                      <w:szCs w:val="21"/>
                      <w:vertAlign w:val="superscript"/>
                      <w:lang w:bidi="ar"/>
                    </w:rPr>
                    <w:t>3</w:t>
                  </w:r>
                </w:p>
              </w:tc>
            </w:tr>
            <w:tr w14:paraId="2DF3BD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jc w:val="center"/>
              </w:trPr>
              <w:tc>
                <w:tcPr>
                  <w:tcW w:w="938" w:type="pct"/>
                  <w:vMerge w:val="continue"/>
                  <w:tcBorders>
                    <w:tl2br w:val="nil"/>
                    <w:tr2bl w:val="nil"/>
                  </w:tcBorders>
                  <w:vAlign w:val="center"/>
                </w:tcPr>
                <w:p w14:paraId="2C5334D8">
                  <w:pPr>
                    <w:adjustRightInd w:val="0"/>
                    <w:snapToGrid w:val="0"/>
                    <w:jc w:val="center"/>
                    <w:rPr>
                      <w:rFonts w:ascii="Times New Roman" w:hAnsi="Times New Roman"/>
                      <w:bCs/>
                      <w:color w:val="auto"/>
                      <w:szCs w:val="21"/>
                    </w:rPr>
                  </w:pPr>
                </w:p>
              </w:tc>
              <w:tc>
                <w:tcPr>
                  <w:tcW w:w="1285" w:type="pct"/>
                  <w:tcBorders>
                    <w:tl2br w:val="nil"/>
                    <w:tr2bl w:val="nil"/>
                  </w:tcBorders>
                  <w:vAlign w:val="center"/>
                </w:tcPr>
                <w:p w14:paraId="0F1F0EF9">
                  <w:pPr>
                    <w:adjustRightInd w:val="0"/>
                    <w:snapToGrid w:val="0"/>
                    <w:jc w:val="center"/>
                    <w:rPr>
                      <w:rFonts w:ascii="Times New Roman" w:hAnsi="Times New Roman"/>
                      <w:bCs/>
                      <w:color w:val="auto"/>
                      <w:szCs w:val="21"/>
                    </w:rPr>
                  </w:pPr>
                  <w:r>
                    <w:rPr>
                      <w:rFonts w:ascii="Times New Roman" w:hAnsi="Times New Roman"/>
                      <w:bCs/>
                      <w:color w:val="auto"/>
                      <w:szCs w:val="21"/>
                    </w:rPr>
                    <w:t>1小时平均</w:t>
                  </w:r>
                </w:p>
              </w:tc>
              <w:tc>
                <w:tcPr>
                  <w:tcW w:w="1964" w:type="pct"/>
                  <w:tcBorders>
                    <w:tl2br w:val="nil"/>
                    <w:tr2bl w:val="nil"/>
                  </w:tcBorders>
                  <w:vAlign w:val="center"/>
                </w:tcPr>
                <w:p w14:paraId="358E2B64">
                  <w:pPr>
                    <w:adjustRightInd w:val="0"/>
                    <w:snapToGrid w:val="0"/>
                    <w:jc w:val="center"/>
                    <w:rPr>
                      <w:rFonts w:ascii="Times New Roman" w:hAnsi="Times New Roman"/>
                      <w:bCs/>
                      <w:color w:val="auto"/>
                      <w:szCs w:val="21"/>
                    </w:rPr>
                  </w:pPr>
                  <w:r>
                    <w:rPr>
                      <w:rFonts w:ascii="Times New Roman" w:hAnsi="Times New Roman"/>
                      <w:bCs/>
                      <w:color w:val="auto"/>
                      <w:szCs w:val="21"/>
                    </w:rPr>
                    <w:t>10</w:t>
                  </w:r>
                </w:p>
              </w:tc>
              <w:tc>
                <w:tcPr>
                  <w:tcW w:w="811" w:type="pct"/>
                  <w:vMerge w:val="continue"/>
                  <w:tcBorders>
                    <w:tl2br w:val="nil"/>
                    <w:tr2bl w:val="nil"/>
                  </w:tcBorders>
                  <w:vAlign w:val="center"/>
                </w:tcPr>
                <w:p w14:paraId="2A23795D">
                  <w:pPr>
                    <w:adjustRightInd w:val="0"/>
                    <w:snapToGrid w:val="0"/>
                    <w:jc w:val="center"/>
                    <w:rPr>
                      <w:rFonts w:ascii="Times New Roman" w:hAnsi="Times New Roman"/>
                      <w:bCs/>
                      <w:color w:val="auto"/>
                      <w:szCs w:val="21"/>
                    </w:rPr>
                  </w:pPr>
                </w:p>
              </w:tc>
            </w:tr>
          </w:tbl>
          <w:p w14:paraId="7AA87482">
            <w:pPr>
              <w:pStyle w:val="51"/>
              <w:adjustRightInd w:val="0"/>
              <w:snapToGrid w:val="0"/>
              <w:spacing w:line="440" w:lineRule="exact"/>
              <w:ind w:firstLine="480" w:firstLineChars="200"/>
              <w:jc w:val="both"/>
              <w:rPr>
                <w:rFonts w:ascii="Times New Roman" w:hAnsi="Times New Roman" w:cs="Times New Roman"/>
                <w:bCs/>
                <w:color w:val="auto"/>
                <w:sz w:val="24"/>
              </w:rPr>
            </w:pPr>
            <w:r>
              <w:rPr>
                <w:rFonts w:ascii="Times New Roman" w:hAnsi="Times New Roman" w:cs="Times New Roman"/>
                <w:bCs/>
                <w:color w:val="auto"/>
                <w:sz w:val="24"/>
              </w:rPr>
              <w:t>（2）地表水环境质量标准</w:t>
            </w:r>
          </w:p>
          <w:p w14:paraId="2B8AA8C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项目区域涉及地表水主要为六河、龚家冲小河、酸梨树大箐（后河）、西沙冲、卡子河及淌水河，线路塔基N4～N5之间跨越六河、线路塔基N23～N24之间跨越龚家冲小河、线路塔基N39～N40之间跨越后河、线路塔基N50～N51之间跨越西沙冲、线路塔基N57～N58之间跨越卡子河、项目终点段位于淌水河南侧，最近距离为210米</w:t>
            </w:r>
            <w:r>
              <w:rPr>
                <w:rFonts w:hint="eastAsia" w:ascii="Times New Roman" w:hAnsi="Times New Roman"/>
                <w:color w:val="auto"/>
                <w:sz w:val="24"/>
              </w:rPr>
              <w:t>，淌水河为硝厂河支流，硝厂河由南向北汇入牛栏江。</w:t>
            </w:r>
            <w:r>
              <w:rPr>
                <w:rFonts w:ascii="Times New Roman" w:hAnsi="Times New Roman"/>
                <w:color w:val="auto"/>
                <w:sz w:val="24"/>
              </w:rPr>
              <w:t>六河、龚家冲小河、后河、西沙冲、卡子河等均为乐业大河支流，乐业大河由南向北汇入牛栏江。</w:t>
            </w:r>
          </w:p>
          <w:p w14:paraId="017A607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云南省水功能区划（2014年修订）》（云南省水利厅），项目区属于牛栏江滇黔缓冲区，该段起点为黄梨树水文站，终点为鲁甸江底，2030年水质目标为Ⅲ类，执行《地表水环境质量标准》（GB3838-2002）Ⅲ类标准；六河、龚家冲小河、后河、西沙冲、卡子河等水质参照</w:t>
            </w:r>
            <w:r>
              <w:rPr>
                <w:rFonts w:hint="eastAsia" w:ascii="Times New Roman" w:hAnsi="Times New Roman"/>
                <w:color w:val="auto"/>
                <w:sz w:val="24"/>
              </w:rPr>
              <w:t>牛栏江</w:t>
            </w:r>
            <w:r>
              <w:rPr>
                <w:rFonts w:ascii="Times New Roman" w:hAnsi="Times New Roman"/>
                <w:color w:val="auto"/>
                <w:sz w:val="24"/>
              </w:rPr>
              <w:t>执行Ⅲ类；硝厂河水质参照牛栏江执行Ⅲ类。</w:t>
            </w:r>
            <w:r>
              <w:rPr>
                <w:rFonts w:ascii="Times New Roman" w:hAnsi="Times New Roman"/>
                <w:color w:val="auto"/>
                <w:spacing w:val="-6"/>
                <w:sz w:val="24"/>
              </w:rPr>
              <w:t>具体</w:t>
            </w:r>
            <w:r>
              <w:rPr>
                <w:rFonts w:ascii="Times New Roman" w:hAnsi="Times New Roman"/>
                <w:color w:val="auto"/>
                <w:spacing w:val="-11"/>
                <w:sz w:val="24"/>
              </w:rPr>
              <w:t>标准值见表</w:t>
            </w:r>
            <w:r>
              <w:rPr>
                <w:rFonts w:ascii="Times New Roman" w:hAnsi="Times New Roman"/>
                <w:color w:val="auto"/>
                <w:sz w:val="24"/>
              </w:rPr>
              <w:t>3-</w:t>
            </w:r>
            <w:r>
              <w:rPr>
                <w:rFonts w:hint="eastAsia" w:ascii="Times New Roman" w:hAnsi="Times New Roman"/>
                <w:color w:val="auto"/>
                <w:sz w:val="24"/>
              </w:rPr>
              <w:t>34</w:t>
            </w:r>
            <w:r>
              <w:rPr>
                <w:rFonts w:ascii="Times New Roman" w:hAnsi="Times New Roman"/>
                <w:color w:val="auto"/>
                <w:sz w:val="24"/>
              </w:rPr>
              <w:t>。</w:t>
            </w:r>
          </w:p>
          <w:p w14:paraId="4ED3A493">
            <w:pPr>
              <w:pStyle w:val="51"/>
              <w:spacing w:line="302" w:lineRule="exact"/>
              <w:ind w:left="113"/>
              <w:rPr>
                <w:rFonts w:ascii="Times New Roman" w:hAnsi="Times New Roman" w:cs="Times New Roman"/>
                <w:b/>
                <w:color w:val="auto"/>
                <w:sz w:val="24"/>
              </w:rPr>
            </w:pPr>
            <w:r>
              <w:rPr>
                <w:rFonts w:ascii="Times New Roman" w:hAnsi="Times New Roman" w:cs="Times New Roman"/>
                <w:b/>
                <w:color w:val="auto"/>
                <w:sz w:val="24"/>
              </w:rPr>
              <w:t>表3-</w:t>
            </w:r>
            <w:r>
              <w:rPr>
                <w:rFonts w:hint="eastAsia" w:ascii="Times New Roman" w:hAnsi="Times New Roman" w:cs="Times New Roman"/>
                <w:b/>
                <w:color w:val="auto"/>
                <w:sz w:val="24"/>
              </w:rPr>
              <w:t>34</w:t>
            </w:r>
            <w:r>
              <w:rPr>
                <w:rFonts w:ascii="Times New Roman" w:hAnsi="Times New Roman" w:cs="Times New Roman"/>
                <w:b/>
                <w:color w:val="auto"/>
                <w:spacing w:val="56"/>
                <w:sz w:val="24"/>
              </w:rPr>
              <w:t xml:space="preserve"> </w:t>
            </w:r>
            <w:r>
              <w:rPr>
                <w:rFonts w:ascii="Times New Roman" w:hAnsi="Times New Roman" w:cs="Times New Roman"/>
                <w:b/>
                <w:color w:val="auto"/>
                <w:spacing w:val="4"/>
                <w:sz w:val="24"/>
              </w:rPr>
              <w:t>地表水环境质量部分项目标准限值 单位：</w:t>
            </w:r>
            <w:r>
              <w:rPr>
                <w:rFonts w:ascii="Times New Roman" w:hAnsi="Times New Roman" w:cs="Times New Roman"/>
                <w:b/>
                <w:color w:val="auto"/>
                <w:sz w:val="24"/>
              </w:rPr>
              <w:t>mg/L（pH无量纲）</w:t>
            </w:r>
          </w:p>
          <w:tbl>
            <w:tblPr>
              <w:tblStyle w:val="27"/>
              <w:tblW w:w="8423"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35"/>
              <w:gridCol w:w="688"/>
              <w:gridCol w:w="1060"/>
              <w:gridCol w:w="1192"/>
              <w:gridCol w:w="1192"/>
              <w:gridCol w:w="1199"/>
              <w:gridCol w:w="1165"/>
              <w:gridCol w:w="1192"/>
            </w:tblGrid>
            <w:tr w14:paraId="4D6C76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35" w:type="dxa"/>
                  <w:tcBorders>
                    <w:tl2br w:val="nil"/>
                    <w:tr2bl w:val="nil"/>
                  </w:tcBorders>
                  <w:vAlign w:val="center"/>
                </w:tcPr>
                <w:p w14:paraId="285D7219">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项目</w:t>
                  </w:r>
                </w:p>
              </w:tc>
              <w:tc>
                <w:tcPr>
                  <w:tcW w:w="688" w:type="dxa"/>
                  <w:tcBorders>
                    <w:tl2br w:val="nil"/>
                    <w:tr2bl w:val="nil"/>
                  </w:tcBorders>
                  <w:vAlign w:val="center"/>
                </w:tcPr>
                <w:p w14:paraId="23EEEE18">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pH</w:t>
                  </w:r>
                </w:p>
              </w:tc>
              <w:tc>
                <w:tcPr>
                  <w:tcW w:w="1060" w:type="dxa"/>
                  <w:tcBorders>
                    <w:tl2br w:val="nil"/>
                    <w:tr2bl w:val="nil"/>
                  </w:tcBorders>
                  <w:vAlign w:val="center"/>
                </w:tcPr>
                <w:p w14:paraId="2030CD5C">
                  <w:pPr>
                    <w:pStyle w:val="51"/>
                    <w:adjustRightInd w:val="0"/>
                    <w:snapToGrid w:val="0"/>
                    <w:rPr>
                      <w:rFonts w:ascii="Times New Roman" w:hAnsi="Times New Roman" w:cs="Times New Roman"/>
                      <w:b/>
                      <w:color w:val="auto"/>
                      <w:sz w:val="21"/>
                    </w:rPr>
                  </w:pPr>
                  <w:r>
                    <w:rPr>
                      <w:rFonts w:ascii="Times New Roman" w:hAnsi="Times New Roman" w:cs="Times New Roman"/>
                      <w:b/>
                      <w:color w:val="auto"/>
                      <w:position w:val="2"/>
                      <w:sz w:val="21"/>
                    </w:rPr>
                    <w:t>COD</w:t>
                  </w:r>
                  <w:r>
                    <w:rPr>
                      <w:rFonts w:ascii="Times New Roman" w:hAnsi="Times New Roman" w:cs="Times New Roman"/>
                      <w:b/>
                      <w:color w:val="auto"/>
                      <w:position w:val="2"/>
                      <w:sz w:val="21"/>
                      <w:vertAlign w:val="subscript"/>
                    </w:rPr>
                    <w:t>Cr</w:t>
                  </w:r>
                </w:p>
              </w:tc>
              <w:tc>
                <w:tcPr>
                  <w:tcW w:w="1192" w:type="dxa"/>
                  <w:tcBorders>
                    <w:tl2br w:val="nil"/>
                    <w:tr2bl w:val="nil"/>
                  </w:tcBorders>
                  <w:vAlign w:val="center"/>
                </w:tcPr>
                <w:p w14:paraId="0B431692">
                  <w:pPr>
                    <w:pStyle w:val="51"/>
                    <w:adjustRightInd w:val="0"/>
                    <w:snapToGrid w:val="0"/>
                    <w:rPr>
                      <w:rFonts w:ascii="Times New Roman" w:hAnsi="Times New Roman" w:cs="Times New Roman"/>
                      <w:b/>
                      <w:color w:val="auto"/>
                      <w:sz w:val="21"/>
                    </w:rPr>
                  </w:pPr>
                  <w:r>
                    <w:rPr>
                      <w:rFonts w:ascii="Times New Roman" w:hAnsi="Times New Roman" w:cs="Times New Roman"/>
                      <w:b/>
                      <w:color w:val="auto"/>
                      <w:position w:val="2"/>
                      <w:sz w:val="21"/>
                    </w:rPr>
                    <w:t>BOD</w:t>
                  </w:r>
                  <w:r>
                    <w:rPr>
                      <w:rFonts w:ascii="Times New Roman" w:hAnsi="Times New Roman" w:cs="Times New Roman"/>
                      <w:b/>
                      <w:color w:val="auto"/>
                      <w:position w:val="2"/>
                      <w:sz w:val="21"/>
                      <w:vertAlign w:val="subscript"/>
                    </w:rPr>
                    <w:t>5</w:t>
                  </w:r>
                </w:p>
              </w:tc>
              <w:tc>
                <w:tcPr>
                  <w:tcW w:w="1192" w:type="dxa"/>
                  <w:tcBorders>
                    <w:tl2br w:val="nil"/>
                    <w:tr2bl w:val="nil"/>
                  </w:tcBorders>
                  <w:vAlign w:val="center"/>
                </w:tcPr>
                <w:p w14:paraId="27C591D8">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总磷</w:t>
                  </w:r>
                </w:p>
              </w:tc>
              <w:tc>
                <w:tcPr>
                  <w:tcW w:w="1199" w:type="dxa"/>
                  <w:tcBorders>
                    <w:tl2br w:val="nil"/>
                    <w:tr2bl w:val="nil"/>
                  </w:tcBorders>
                  <w:vAlign w:val="center"/>
                </w:tcPr>
                <w:p w14:paraId="6178C4CA">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NH</w:t>
                  </w:r>
                  <w:r>
                    <w:rPr>
                      <w:rFonts w:ascii="Times New Roman" w:hAnsi="Times New Roman" w:cs="Times New Roman"/>
                      <w:b/>
                      <w:color w:val="auto"/>
                      <w:sz w:val="21"/>
                      <w:vertAlign w:val="subscript"/>
                    </w:rPr>
                    <w:t>3</w:t>
                  </w:r>
                  <w:r>
                    <w:rPr>
                      <w:rFonts w:ascii="Times New Roman" w:hAnsi="Times New Roman" w:cs="Times New Roman"/>
                      <w:b/>
                      <w:color w:val="auto"/>
                      <w:sz w:val="21"/>
                    </w:rPr>
                    <w:t>-N</w:t>
                  </w:r>
                </w:p>
              </w:tc>
              <w:tc>
                <w:tcPr>
                  <w:tcW w:w="1165" w:type="dxa"/>
                  <w:tcBorders>
                    <w:tl2br w:val="nil"/>
                    <w:tr2bl w:val="nil"/>
                  </w:tcBorders>
                  <w:vAlign w:val="center"/>
                </w:tcPr>
                <w:p w14:paraId="7122517F">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总氮</w:t>
                  </w:r>
                </w:p>
              </w:tc>
              <w:tc>
                <w:tcPr>
                  <w:tcW w:w="1192" w:type="dxa"/>
                  <w:tcBorders>
                    <w:tl2br w:val="nil"/>
                    <w:tr2bl w:val="nil"/>
                  </w:tcBorders>
                  <w:vAlign w:val="center"/>
                </w:tcPr>
                <w:p w14:paraId="4C9D665A">
                  <w:pPr>
                    <w:pStyle w:val="51"/>
                    <w:adjustRightInd w:val="0"/>
                    <w:snapToGrid w:val="0"/>
                    <w:rPr>
                      <w:rFonts w:ascii="Times New Roman" w:hAnsi="Times New Roman" w:cs="Times New Roman"/>
                      <w:b/>
                      <w:color w:val="auto"/>
                      <w:sz w:val="21"/>
                    </w:rPr>
                  </w:pPr>
                  <w:r>
                    <w:rPr>
                      <w:rFonts w:ascii="Times New Roman" w:hAnsi="Times New Roman" w:cs="Times New Roman"/>
                      <w:b/>
                      <w:color w:val="auto"/>
                      <w:sz w:val="21"/>
                    </w:rPr>
                    <w:t>石油类</w:t>
                  </w:r>
                </w:p>
              </w:tc>
            </w:tr>
            <w:tr w14:paraId="21B97F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35" w:type="dxa"/>
                  <w:tcBorders>
                    <w:tl2br w:val="nil"/>
                    <w:tr2bl w:val="nil"/>
                  </w:tcBorders>
                  <w:vAlign w:val="center"/>
                </w:tcPr>
                <w:p w14:paraId="55000EEB">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Ⅲ类</w:t>
                  </w:r>
                </w:p>
              </w:tc>
              <w:tc>
                <w:tcPr>
                  <w:tcW w:w="688" w:type="dxa"/>
                  <w:tcBorders>
                    <w:tl2br w:val="nil"/>
                    <w:tr2bl w:val="nil"/>
                  </w:tcBorders>
                  <w:vAlign w:val="center"/>
                </w:tcPr>
                <w:p w14:paraId="7E493FA2">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6～9</w:t>
                  </w:r>
                </w:p>
              </w:tc>
              <w:tc>
                <w:tcPr>
                  <w:tcW w:w="1060" w:type="dxa"/>
                  <w:tcBorders>
                    <w:tl2br w:val="nil"/>
                    <w:tr2bl w:val="nil"/>
                  </w:tcBorders>
                  <w:vAlign w:val="center"/>
                </w:tcPr>
                <w:p w14:paraId="5B1B2A21">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20</w:t>
                  </w:r>
                </w:p>
              </w:tc>
              <w:tc>
                <w:tcPr>
                  <w:tcW w:w="1192" w:type="dxa"/>
                  <w:tcBorders>
                    <w:tl2br w:val="nil"/>
                    <w:tr2bl w:val="nil"/>
                  </w:tcBorders>
                  <w:vAlign w:val="center"/>
                </w:tcPr>
                <w:p w14:paraId="3C2C0CA1">
                  <w:pPr>
                    <w:pStyle w:val="51"/>
                    <w:adjustRightInd w:val="0"/>
                    <w:snapToGrid w:val="0"/>
                    <w:rPr>
                      <w:rFonts w:ascii="Times New Roman" w:hAnsi="Times New Roman" w:cs="Times New Roman"/>
                      <w:color w:val="auto"/>
                      <w:sz w:val="21"/>
                    </w:rPr>
                  </w:pPr>
                  <w:r>
                    <w:rPr>
                      <w:rFonts w:ascii="Times New Roman" w:hAnsi="Times New Roman" w:cs="Times New Roman"/>
                      <w:color w:val="auto"/>
                      <w:w w:val="99"/>
                      <w:sz w:val="21"/>
                    </w:rPr>
                    <w:t>4</w:t>
                  </w:r>
                </w:p>
              </w:tc>
              <w:tc>
                <w:tcPr>
                  <w:tcW w:w="1192" w:type="dxa"/>
                  <w:tcBorders>
                    <w:tl2br w:val="nil"/>
                    <w:tr2bl w:val="nil"/>
                  </w:tcBorders>
                  <w:vAlign w:val="center"/>
                </w:tcPr>
                <w:p w14:paraId="00ED51C3">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0.2</w:t>
                  </w:r>
                </w:p>
              </w:tc>
              <w:tc>
                <w:tcPr>
                  <w:tcW w:w="1199" w:type="dxa"/>
                  <w:tcBorders>
                    <w:tl2br w:val="nil"/>
                    <w:tr2bl w:val="nil"/>
                  </w:tcBorders>
                  <w:vAlign w:val="center"/>
                </w:tcPr>
                <w:p w14:paraId="2B664E14">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1.0</w:t>
                  </w:r>
                </w:p>
              </w:tc>
              <w:tc>
                <w:tcPr>
                  <w:tcW w:w="1165" w:type="dxa"/>
                  <w:tcBorders>
                    <w:tl2br w:val="nil"/>
                    <w:tr2bl w:val="nil"/>
                  </w:tcBorders>
                  <w:vAlign w:val="center"/>
                </w:tcPr>
                <w:p w14:paraId="0ECE1D80">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1.0</w:t>
                  </w:r>
                </w:p>
              </w:tc>
              <w:tc>
                <w:tcPr>
                  <w:tcW w:w="1192" w:type="dxa"/>
                  <w:tcBorders>
                    <w:tl2br w:val="nil"/>
                    <w:tr2bl w:val="nil"/>
                  </w:tcBorders>
                  <w:vAlign w:val="center"/>
                </w:tcPr>
                <w:p w14:paraId="144E7A60">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0.05</w:t>
                  </w:r>
                </w:p>
              </w:tc>
            </w:tr>
          </w:tbl>
          <w:p w14:paraId="646D1DB1">
            <w:pPr>
              <w:pStyle w:val="51"/>
              <w:adjustRightInd w:val="0"/>
              <w:snapToGrid w:val="0"/>
              <w:spacing w:line="440" w:lineRule="exact"/>
              <w:ind w:firstLine="480" w:firstLineChars="200"/>
              <w:jc w:val="both"/>
              <w:rPr>
                <w:rFonts w:ascii="Times New Roman" w:hAnsi="Times New Roman" w:cs="Times New Roman"/>
                <w:bCs/>
                <w:color w:val="auto"/>
                <w:sz w:val="24"/>
              </w:rPr>
            </w:pPr>
            <w:r>
              <w:rPr>
                <w:rFonts w:ascii="Times New Roman" w:hAnsi="Times New Roman" w:cs="Times New Roman"/>
                <w:bCs/>
                <w:color w:val="auto"/>
                <w:sz w:val="24"/>
              </w:rPr>
              <w:t>（3）声环境质量标准</w:t>
            </w:r>
          </w:p>
          <w:p w14:paraId="4919042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项目位于</w:t>
            </w:r>
            <w:r>
              <w:rPr>
                <w:rFonts w:hint="eastAsia" w:ascii="Times New Roman" w:hAnsi="Times New Roman"/>
                <w:color w:val="auto"/>
                <w:sz w:val="24"/>
                <w:szCs w:val="24"/>
              </w:rPr>
              <w:t>会泽县乐业镇境内</w:t>
            </w:r>
            <w:r>
              <w:rPr>
                <w:rFonts w:ascii="Times New Roman" w:hAnsi="Times New Roman"/>
                <w:color w:val="auto"/>
                <w:sz w:val="24"/>
                <w:szCs w:val="24"/>
              </w:rPr>
              <w:t>，属于农村地区。</w:t>
            </w:r>
            <w:r>
              <w:rPr>
                <w:rFonts w:hint="eastAsia" w:ascii="Times New Roman" w:hAnsi="Times New Roman"/>
                <w:color w:val="auto"/>
                <w:sz w:val="24"/>
                <w:szCs w:val="24"/>
              </w:rPr>
              <w:t>220kV线路跨越G213国道边界线两侧50m范围及范围内敏感目标执行《声环境质量标准》（GB3096-2008）中4a类标准；其余线路沿线评价范围及环境敏感点执行《声环境质量标准》（GB3096-2008）中1类标准。</w:t>
            </w:r>
          </w:p>
          <w:p w14:paraId="5FC11D17">
            <w:pPr>
              <w:autoSpaceDE w:val="0"/>
              <w:autoSpaceDN w:val="0"/>
              <w:adjustRightInd w:val="0"/>
              <w:snapToGrid w:val="0"/>
              <w:ind w:firstLine="482" w:firstLineChars="200"/>
              <w:jc w:val="center"/>
              <w:rPr>
                <w:rFonts w:ascii="Times New Roman" w:hAnsi="Times New Roman"/>
                <w:b/>
                <w:color w:val="auto"/>
                <w:kern w:val="0"/>
                <w:sz w:val="24"/>
                <w:szCs w:val="24"/>
              </w:rPr>
            </w:pPr>
            <w:r>
              <w:rPr>
                <w:rFonts w:ascii="Times New Roman" w:hAnsi="Times New Roman"/>
                <w:b/>
                <w:color w:val="auto"/>
                <w:kern w:val="0"/>
                <w:sz w:val="24"/>
                <w:szCs w:val="24"/>
              </w:rPr>
              <w:t>表3-</w:t>
            </w:r>
            <w:r>
              <w:rPr>
                <w:rFonts w:hint="eastAsia" w:ascii="Times New Roman" w:hAnsi="Times New Roman"/>
                <w:b/>
                <w:color w:val="auto"/>
                <w:kern w:val="0"/>
                <w:sz w:val="24"/>
                <w:szCs w:val="24"/>
              </w:rPr>
              <w:t>35</w:t>
            </w:r>
            <w:r>
              <w:rPr>
                <w:rFonts w:ascii="Times New Roman" w:hAnsi="Times New Roman"/>
                <w:b/>
                <w:color w:val="auto"/>
                <w:kern w:val="0"/>
                <w:sz w:val="24"/>
                <w:szCs w:val="24"/>
              </w:rPr>
              <w:t xml:space="preserve">  声环境质量标准  单位：dB（A）</w:t>
            </w:r>
          </w:p>
          <w:tbl>
            <w:tblPr>
              <w:tblStyle w:val="27"/>
              <w:tblW w:w="842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831"/>
              <w:gridCol w:w="655"/>
              <w:gridCol w:w="702"/>
            </w:tblGrid>
            <w:tr w14:paraId="0AE88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40" w:type="dxa"/>
                  <w:tcBorders>
                    <w:tl2br w:val="nil"/>
                    <w:tr2bl w:val="nil"/>
                  </w:tcBorders>
                  <w:vAlign w:val="center"/>
                </w:tcPr>
                <w:p w14:paraId="0E85DBCB">
                  <w:pPr>
                    <w:autoSpaceDE w:val="0"/>
                    <w:autoSpaceDN w:val="0"/>
                    <w:adjustRightInd w:val="0"/>
                    <w:snapToGrid w:val="0"/>
                    <w:jc w:val="center"/>
                    <w:rPr>
                      <w:rFonts w:ascii="Times New Roman" w:hAnsi="Times New Roman"/>
                      <w:b/>
                      <w:color w:val="auto"/>
                      <w:kern w:val="0"/>
                      <w:szCs w:val="21"/>
                    </w:rPr>
                  </w:pPr>
                  <w:r>
                    <w:rPr>
                      <w:rFonts w:ascii="Times New Roman" w:hAnsi="Times New Roman"/>
                      <w:b/>
                      <w:color w:val="auto"/>
                      <w:kern w:val="0"/>
                      <w:szCs w:val="21"/>
                    </w:rPr>
                    <w:t>适用区域</w:t>
                  </w:r>
                </w:p>
              </w:tc>
              <w:tc>
                <w:tcPr>
                  <w:tcW w:w="3831" w:type="dxa"/>
                  <w:tcBorders>
                    <w:tl2br w:val="nil"/>
                    <w:tr2bl w:val="nil"/>
                  </w:tcBorders>
                  <w:vAlign w:val="center"/>
                </w:tcPr>
                <w:p w14:paraId="404DA575">
                  <w:pPr>
                    <w:autoSpaceDE w:val="0"/>
                    <w:autoSpaceDN w:val="0"/>
                    <w:adjustRightInd w:val="0"/>
                    <w:snapToGrid w:val="0"/>
                    <w:jc w:val="center"/>
                    <w:rPr>
                      <w:rFonts w:ascii="Times New Roman" w:hAnsi="Times New Roman"/>
                      <w:b/>
                      <w:color w:val="auto"/>
                      <w:kern w:val="0"/>
                      <w:szCs w:val="21"/>
                    </w:rPr>
                  </w:pPr>
                  <w:r>
                    <w:rPr>
                      <w:rFonts w:ascii="Times New Roman" w:hAnsi="Times New Roman"/>
                      <w:b/>
                      <w:color w:val="auto"/>
                      <w:kern w:val="0"/>
                      <w:szCs w:val="21"/>
                    </w:rPr>
                    <w:t>执行标准</w:t>
                  </w:r>
                </w:p>
              </w:tc>
              <w:tc>
                <w:tcPr>
                  <w:tcW w:w="655" w:type="dxa"/>
                  <w:tcBorders>
                    <w:tl2br w:val="nil"/>
                    <w:tr2bl w:val="nil"/>
                  </w:tcBorders>
                  <w:vAlign w:val="center"/>
                </w:tcPr>
                <w:p w14:paraId="7DD14182">
                  <w:pPr>
                    <w:autoSpaceDE w:val="0"/>
                    <w:autoSpaceDN w:val="0"/>
                    <w:adjustRightInd w:val="0"/>
                    <w:snapToGrid w:val="0"/>
                    <w:jc w:val="center"/>
                    <w:rPr>
                      <w:rFonts w:ascii="Times New Roman" w:hAnsi="Times New Roman"/>
                      <w:b/>
                      <w:color w:val="auto"/>
                      <w:kern w:val="0"/>
                      <w:szCs w:val="21"/>
                    </w:rPr>
                  </w:pPr>
                  <w:r>
                    <w:rPr>
                      <w:rFonts w:ascii="Times New Roman" w:hAnsi="Times New Roman"/>
                      <w:b/>
                      <w:color w:val="auto"/>
                      <w:kern w:val="0"/>
                      <w:szCs w:val="21"/>
                    </w:rPr>
                    <w:t>昼间</w:t>
                  </w:r>
                </w:p>
              </w:tc>
              <w:tc>
                <w:tcPr>
                  <w:tcW w:w="702" w:type="dxa"/>
                  <w:tcBorders>
                    <w:tl2br w:val="nil"/>
                    <w:tr2bl w:val="nil"/>
                  </w:tcBorders>
                  <w:vAlign w:val="center"/>
                </w:tcPr>
                <w:p w14:paraId="5FCB076B">
                  <w:pPr>
                    <w:autoSpaceDE w:val="0"/>
                    <w:autoSpaceDN w:val="0"/>
                    <w:adjustRightInd w:val="0"/>
                    <w:snapToGrid w:val="0"/>
                    <w:jc w:val="center"/>
                    <w:rPr>
                      <w:rFonts w:ascii="Times New Roman" w:hAnsi="Times New Roman"/>
                      <w:b/>
                      <w:color w:val="auto"/>
                      <w:kern w:val="0"/>
                      <w:szCs w:val="21"/>
                    </w:rPr>
                  </w:pPr>
                  <w:r>
                    <w:rPr>
                      <w:rFonts w:ascii="Times New Roman" w:hAnsi="Times New Roman"/>
                      <w:b/>
                      <w:color w:val="auto"/>
                      <w:kern w:val="0"/>
                      <w:szCs w:val="21"/>
                    </w:rPr>
                    <w:t>夜间</w:t>
                  </w:r>
                </w:p>
              </w:tc>
            </w:tr>
            <w:tr w14:paraId="40416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40" w:type="dxa"/>
                  <w:tcBorders>
                    <w:tl2br w:val="nil"/>
                    <w:tr2bl w:val="nil"/>
                  </w:tcBorders>
                  <w:vAlign w:val="center"/>
                </w:tcPr>
                <w:p w14:paraId="14F60C10">
                  <w:pPr>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线路沿线评价范围</w:t>
                  </w:r>
                  <w:r>
                    <w:rPr>
                      <w:rFonts w:hint="eastAsia" w:ascii="Times New Roman" w:hAnsi="Times New Roman"/>
                      <w:color w:val="auto"/>
                      <w:szCs w:val="21"/>
                    </w:rPr>
                    <w:t>及环境敏感点</w:t>
                  </w:r>
                </w:p>
              </w:tc>
              <w:tc>
                <w:tcPr>
                  <w:tcW w:w="3831" w:type="dxa"/>
                  <w:tcBorders>
                    <w:tl2br w:val="nil"/>
                    <w:tr2bl w:val="nil"/>
                  </w:tcBorders>
                  <w:vAlign w:val="center"/>
                </w:tcPr>
                <w:p w14:paraId="3E3987B9">
                  <w:pPr>
                    <w:autoSpaceDE w:val="0"/>
                    <w:autoSpaceDN w:val="0"/>
                    <w:adjustRightInd w:val="0"/>
                    <w:snapToGrid w:val="0"/>
                    <w:jc w:val="center"/>
                    <w:rPr>
                      <w:rFonts w:ascii="Times New Roman" w:hAnsi="Times New Roman"/>
                      <w:color w:val="auto"/>
                      <w:kern w:val="0"/>
                      <w:szCs w:val="21"/>
                    </w:rPr>
                  </w:pPr>
                  <w:r>
                    <w:rPr>
                      <w:rFonts w:ascii="Times New Roman" w:hAnsi="Times New Roman"/>
                      <w:color w:val="auto"/>
                      <w:kern w:val="0"/>
                      <w:szCs w:val="21"/>
                    </w:rPr>
                    <w:t>《声环境质量标准》（GB3096-2008）1类</w:t>
                  </w:r>
                </w:p>
              </w:tc>
              <w:tc>
                <w:tcPr>
                  <w:tcW w:w="655" w:type="dxa"/>
                  <w:tcBorders>
                    <w:tl2br w:val="nil"/>
                    <w:tr2bl w:val="nil"/>
                  </w:tcBorders>
                  <w:vAlign w:val="center"/>
                </w:tcPr>
                <w:p w14:paraId="401889BE">
                  <w:pPr>
                    <w:autoSpaceDE w:val="0"/>
                    <w:autoSpaceDN w:val="0"/>
                    <w:adjustRightInd w:val="0"/>
                    <w:snapToGrid w:val="0"/>
                    <w:jc w:val="center"/>
                    <w:rPr>
                      <w:rFonts w:ascii="Times New Roman" w:hAnsi="Times New Roman"/>
                      <w:color w:val="auto"/>
                      <w:kern w:val="0"/>
                      <w:szCs w:val="21"/>
                    </w:rPr>
                  </w:pPr>
                  <w:r>
                    <w:rPr>
                      <w:rFonts w:ascii="Times New Roman" w:hAnsi="Times New Roman"/>
                      <w:color w:val="auto"/>
                      <w:kern w:val="0"/>
                      <w:szCs w:val="21"/>
                    </w:rPr>
                    <w:t>55</w:t>
                  </w:r>
                </w:p>
              </w:tc>
              <w:tc>
                <w:tcPr>
                  <w:tcW w:w="702" w:type="dxa"/>
                  <w:tcBorders>
                    <w:tl2br w:val="nil"/>
                    <w:tr2bl w:val="nil"/>
                  </w:tcBorders>
                  <w:vAlign w:val="center"/>
                </w:tcPr>
                <w:p w14:paraId="08690715">
                  <w:pPr>
                    <w:autoSpaceDE w:val="0"/>
                    <w:autoSpaceDN w:val="0"/>
                    <w:adjustRightInd w:val="0"/>
                    <w:snapToGrid w:val="0"/>
                    <w:jc w:val="center"/>
                    <w:rPr>
                      <w:rFonts w:ascii="Times New Roman" w:hAnsi="Times New Roman"/>
                      <w:color w:val="auto"/>
                      <w:kern w:val="0"/>
                      <w:szCs w:val="21"/>
                    </w:rPr>
                  </w:pPr>
                  <w:r>
                    <w:rPr>
                      <w:rFonts w:ascii="Times New Roman" w:hAnsi="Times New Roman"/>
                      <w:color w:val="auto"/>
                      <w:kern w:val="0"/>
                      <w:szCs w:val="21"/>
                    </w:rPr>
                    <w:t>45</w:t>
                  </w:r>
                </w:p>
              </w:tc>
            </w:tr>
            <w:tr w14:paraId="3122C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40" w:type="dxa"/>
                  <w:tcBorders>
                    <w:tl2br w:val="nil"/>
                    <w:tr2bl w:val="nil"/>
                  </w:tcBorders>
                  <w:shd w:val="clear" w:color="auto" w:fill="auto"/>
                  <w:vAlign w:val="center"/>
                </w:tcPr>
                <w:p w14:paraId="283CCAE3">
                  <w:pPr>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跨越G213国道边界线两侧50m范围及范围内敏感目标</w:t>
                  </w:r>
                </w:p>
              </w:tc>
              <w:tc>
                <w:tcPr>
                  <w:tcW w:w="3831" w:type="dxa"/>
                  <w:tcBorders>
                    <w:tl2br w:val="nil"/>
                    <w:tr2bl w:val="nil"/>
                  </w:tcBorders>
                  <w:shd w:val="clear" w:color="auto" w:fill="auto"/>
                  <w:vAlign w:val="center"/>
                </w:tcPr>
                <w:p w14:paraId="3F402D7F">
                  <w:pPr>
                    <w:autoSpaceDE w:val="0"/>
                    <w:autoSpaceDN w:val="0"/>
                    <w:adjustRightInd w:val="0"/>
                    <w:snapToGrid w:val="0"/>
                    <w:jc w:val="center"/>
                    <w:rPr>
                      <w:rFonts w:ascii="Times New Roman" w:hAnsi="Times New Roman"/>
                      <w:color w:val="auto"/>
                      <w:kern w:val="0"/>
                      <w:szCs w:val="21"/>
                    </w:rPr>
                  </w:pPr>
                  <w:r>
                    <w:rPr>
                      <w:rFonts w:ascii="Times New Roman" w:hAnsi="Times New Roman"/>
                      <w:color w:val="auto"/>
                      <w:kern w:val="0"/>
                      <w:szCs w:val="21"/>
                    </w:rPr>
                    <w:t>《声环境质量标准》（GB3096-2008）</w:t>
                  </w:r>
                  <w:r>
                    <w:rPr>
                      <w:rFonts w:hint="eastAsia" w:ascii="Times New Roman" w:hAnsi="Times New Roman"/>
                      <w:color w:val="auto"/>
                      <w:kern w:val="0"/>
                      <w:szCs w:val="21"/>
                    </w:rPr>
                    <w:t>4a类</w:t>
                  </w:r>
                </w:p>
              </w:tc>
              <w:tc>
                <w:tcPr>
                  <w:tcW w:w="655" w:type="dxa"/>
                  <w:tcBorders>
                    <w:tl2br w:val="nil"/>
                    <w:tr2bl w:val="nil"/>
                  </w:tcBorders>
                  <w:shd w:val="clear" w:color="auto" w:fill="auto"/>
                  <w:vAlign w:val="center"/>
                </w:tcPr>
                <w:p w14:paraId="1C1E4279">
                  <w:pPr>
                    <w:autoSpaceDE w:val="0"/>
                    <w:autoSpaceDN w:val="0"/>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70</w:t>
                  </w:r>
                </w:p>
              </w:tc>
              <w:tc>
                <w:tcPr>
                  <w:tcW w:w="702" w:type="dxa"/>
                  <w:tcBorders>
                    <w:tl2br w:val="nil"/>
                    <w:tr2bl w:val="nil"/>
                  </w:tcBorders>
                  <w:shd w:val="clear" w:color="auto" w:fill="auto"/>
                  <w:vAlign w:val="center"/>
                </w:tcPr>
                <w:p w14:paraId="4FE8CD8F">
                  <w:pPr>
                    <w:autoSpaceDE w:val="0"/>
                    <w:autoSpaceDN w:val="0"/>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55</w:t>
                  </w:r>
                </w:p>
              </w:tc>
            </w:tr>
          </w:tbl>
          <w:p w14:paraId="1EB506C3">
            <w:pPr>
              <w:pStyle w:val="51"/>
              <w:adjustRightInd w:val="0"/>
              <w:snapToGrid w:val="0"/>
              <w:spacing w:line="440" w:lineRule="exact"/>
              <w:ind w:firstLine="480" w:firstLineChars="200"/>
              <w:jc w:val="both"/>
              <w:rPr>
                <w:rFonts w:ascii="Times New Roman" w:hAnsi="Times New Roman" w:cs="Times New Roman"/>
                <w:bCs/>
                <w:color w:val="auto"/>
                <w:sz w:val="24"/>
              </w:rPr>
            </w:pPr>
            <w:r>
              <w:rPr>
                <w:rFonts w:ascii="Times New Roman" w:hAnsi="Times New Roman" w:cs="Times New Roman"/>
                <w:bCs/>
                <w:color w:val="auto"/>
                <w:sz w:val="24"/>
              </w:rPr>
              <w:t>（4）电磁环境质量标准</w:t>
            </w:r>
          </w:p>
          <w:p w14:paraId="21D12BB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电磁环境控制限值》（GB8702-2014）有关规定，以4000V/m作为工频电场强度公众曝露控制限值，以100μT（按照频率f为50Hz计算）作为工频磁感应强度公众曝露控制限值；架空输电线路线下的农田、园地、牧草地、畜禽饲养地、养殖水面、道路等场所，工频电场强度控制限值为10kV/m，工频磁感应强度控制限值为100μT，且应给出警示和防护指示标志。</w:t>
            </w:r>
          </w:p>
          <w:p w14:paraId="70864917">
            <w:pPr>
              <w:adjustRightInd w:val="0"/>
              <w:snapToGrid w:val="0"/>
              <w:ind w:firstLine="482" w:firstLineChars="200"/>
              <w:jc w:val="center"/>
              <w:rPr>
                <w:rFonts w:ascii="Times New Roman" w:hAnsi="Times New Roman"/>
                <w:b/>
                <w:color w:val="auto"/>
                <w:kern w:val="24"/>
                <w:sz w:val="24"/>
                <w:szCs w:val="24"/>
              </w:rPr>
            </w:pPr>
            <w:r>
              <w:rPr>
                <w:rFonts w:ascii="Times New Roman" w:hAnsi="Times New Roman"/>
                <w:b/>
                <w:color w:val="auto"/>
                <w:kern w:val="24"/>
                <w:sz w:val="24"/>
                <w:szCs w:val="24"/>
              </w:rPr>
              <w:t>表3-</w:t>
            </w:r>
            <w:r>
              <w:rPr>
                <w:rFonts w:hint="eastAsia" w:ascii="Times New Roman" w:hAnsi="Times New Roman"/>
                <w:b/>
                <w:color w:val="auto"/>
                <w:kern w:val="24"/>
                <w:sz w:val="24"/>
                <w:szCs w:val="24"/>
              </w:rPr>
              <w:t>36</w:t>
            </w:r>
            <w:r>
              <w:rPr>
                <w:rFonts w:ascii="Times New Roman" w:hAnsi="Times New Roman"/>
                <w:b/>
                <w:color w:val="auto"/>
                <w:kern w:val="24"/>
                <w:sz w:val="24"/>
                <w:szCs w:val="24"/>
              </w:rPr>
              <w:t xml:space="preserve">  电磁环境标准</w:t>
            </w:r>
          </w:p>
          <w:tbl>
            <w:tblPr>
              <w:tblStyle w:val="27"/>
              <w:tblW w:w="8423"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4367"/>
              <w:gridCol w:w="1389"/>
              <w:gridCol w:w="1627"/>
            </w:tblGrid>
            <w:tr w14:paraId="24CFDE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c>
                <w:tcPr>
                  <w:tcW w:w="1040" w:type="dxa"/>
                  <w:tcBorders>
                    <w:tl2br w:val="nil"/>
                    <w:tr2bl w:val="nil"/>
                  </w:tcBorders>
                  <w:vAlign w:val="center"/>
                </w:tcPr>
                <w:p w14:paraId="6AAEFA1A">
                  <w:pPr>
                    <w:pStyle w:val="51"/>
                    <w:autoSpaceDE/>
                    <w:autoSpaceDN/>
                    <w:adjustRightInd w:val="0"/>
                    <w:snapToGrid w:val="0"/>
                    <w:rPr>
                      <w:rFonts w:ascii="Times New Roman" w:hAnsi="Times New Roman" w:cs="Times New Roman"/>
                      <w:b/>
                      <w:bCs/>
                      <w:color w:val="auto"/>
                      <w:sz w:val="21"/>
                      <w:szCs w:val="21"/>
                    </w:rPr>
                  </w:pPr>
                  <w:r>
                    <w:rPr>
                      <w:rFonts w:ascii="Times New Roman" w:hAnsi="Times New Roman" w:cs="Times New Roman"/>
                      <w:b/>
                      <w:bCs/>
                      <w:color w:val="auto"/>
                      <w:sz w:val="21"/>
                      <w:szCs w:val="21"/>
                    </w:rPr>
                    <w:t>评价因子</w:t>
                  </w:r>
                </w:p>
              </w:tc>
              <w:tc>
                <w:tcPr>
                  <w:tcW w:w="4367" w:type="dxa"/>
                  <w:tcBorders>
                    <w:tl2br w:val="nil"/>
                    <w:tr2bl w:val="nil"/>
                  </w:tcBorders>
                  <w:vAlign w:val="center"/>
                </w:tcPr>
                <w:p w14:paraId="55BDB64C">
                  <w:pPr>
                    <w:pStyle w:val="51"/>
                    <w:autoSpaceDE/>
                    <w:autoSpaceDN/>
                    <w:adjustRightInd w:val="0"/>
                    <w:snapToGrid w:val="0"/>
                    <w:rPr>
                      <w:rFonts w:ascii="Times New Roman" w:hAnsi="Times New Roman" w:cs="Times New Roman"/>
                      <w:b/>
                      <w:bCs/>
                      <w:color w:val="auto"/>
                      <w:sz w:val="21"/>
                      <w:szCs w:val="21"/>
                    </w:rPr>
                  </w:pPr>
                  <w:r>
                    <w:rPr>
                      <w:rFonts w:ascii="Times New Roman" w:hAnsi="Times New Roman" w:cs="Times New Roman"/>
                      <w:b/>
                      <w:bCs/>
                      <w:color w:val="auto"/>
                      <w:sz w:val="21"/>
                      <w:szCs w:val="21"/>
                    </w:rPr>
                    <w:t>评价对象</w:t>
                  </w:r>
                </w:p>
              </w:tc>
              <w:tc>
                <w:tcPr>
                  <w:tcW w:w="1389" w:type="dxa"/>
                  <w:tcBorders>
                    <w:tl2br w:val="nil"/>
                    <w:tr2bl w:val="nil"/>
                  </w:tcBorders>
                  <w:vAlign w:val="center"/>
                </w:tcPr>
                <w:p w14:paraId="6A076F4D">
                  <w:pPr>
                    <w:pStyle w:val="51"/>
                    <w:autoSpaceDE/>
                    <w:autoSpaceDN/>
                    <w:adjustRightInd w:val="0"/>
                    <w:snapToGrid w:val="0"/>
                    <w:rPr>
                      <w:rFonts w:ascii="Times New Roman" w:hAnsi="Times New Roman" w:cs="Times New Roman"/>
                      <w:b/>
                      <w:bCs/>
                      <w:color w:val="auto"/>
                      <w:sz w:val="21"/>
                      <w:szCs w:val="21"/>
                    </w:rPr>
                  </w:pPr>
                  <w:r>
                    <w:rPr>
                      <w:rFonts w:ascii="Times New Roman" w:hAnsi="Times New Roman" w:cs="Times New Roman"/>
                      <w:b/>
                      <w:bCs/>
                      <w:color w:val="auto"/>
                      <w:sz w:val="21"/>
                      <w:szCs w:val="21"/>
                    </w:rPr>
                    <w:t>评价标准</w:t>
                  </w:r>
                </w:p>
              </w:tc>
              <w:tc>
                <w:tcPr>
                  <w:tcW w:w="1627" w:type="dxa"/>
                  <w:tcBorders>
                    <w:tl2br w:val="nil"/>
                    <w:tr2bl w:val="nil"/>
                  </w:tcBorders>
                  <w:vAlign w:val="center"/>
                </w:tcPr>
                <w:p w14:paraId="3A45DA2E">
                  <w:pPr>
                    <w:pStyle w:val="51"/>
                    <w:autoSpaceDE/>
                    <w:autoSpaceDN/>
                    <w:adjustRightInd w:val="0"/>
                    <w:snapToGrid w:val="0"/>
                    <w:rPr>
                      <w:rFonts w:ascii="Times New Roman" w:hAnsi="Times New Roman" w:cs="Times New Roman"/>
                      <w:b/>
                      <w:bCs/>
                      <w:color w:val="auto"/>
                      <w:sz w:val="21"/>
                      <w:szCs w:val="21"/>
                    </w:rPr>
                  </w:pPr>
                  <w:r>
                    <w:rPr>
                      <w:rFonts w:ascii="Times New Roman" w:hAnsi="Times New Roman" w:cs="Times New Roman"/>
                      <w:b/>
                      <w:bCs/>
                      <w:color w:val="auto"/>
                      <w:sz w:val="21"/>
                      <w:szCs w:val="21"/>
                    </w:rPr>
                    <w:t>标准来源</w:t>
                  </w:r>
                </w:p>
              </w:tc>
            </w:tr>
            <w:tr w14:paraId="29800B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040" w:type="dxa"/>
                  <w:vMerge w:val="restart"/>
                  <w:tcBorders>
                    <w:tl2br w:val="nil"/>
                    <w:tr2bl w:val="nil"/>
                  </w:tcBorders>
                  <w:vAlign w:val="center"/>
                </w:tcPr>
                <w:p w14:paraId="558BE294">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工频电场</w:t>
                  </w:r>
                </w:p>
              </w:tc>
              <w:tc>
                <w:tcPr>
                  <w:tcW w:w="4367" w:type="dxa"/>
                  <w:tcBorders>
                    <w:tl2br w:val="nil"/>
                    <w:tr2bl w:val="nil"/>
                  </w:tcBorders>
                  <w:vAlign w:val="center"/>
                </w:tcPr>
                <w:p w14:paraId="72802D5E">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线路</w:t>
                  </w:r>
                </w:p>
              </w:tc>
              <w:tc>
                <w:tcPr>
                  <w:tcW w:w="1389" w:type="dxa"/>
                  <w:tcBorders>
                    <w:tl2br w:val="nil"/>
                    <w:tr2bl w:val="nil"/>
                  </w:tcBorders>
                  <w:vAlign w:val="center"/>
                </w:tcPr>
                <w:p w14:paraId="3A5954AD">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4000V/m</w:t>
                  </w:r>
                </w:p>
              </w:tc>
              <w:tc>
                <w:tcPr>
                  <w:tcW w:w="1627" w:type="dxa"/>
                  <w:vMerge w:val="restart"/>
                  <w:tcBorders>
                    <w:tl2br w:val="nil"/>
                    <w:tr2bl w:val="nil"/>
                  </w:tcBorders>
                  <w:vAlign w:val="center"/>
                </w:tcPr>
                <w:p w14:paraId="10124F7C">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《电磁环境控制限值》（GB8702-2014）</w:t>
                  </w:r>
                </w:p>
              </w:tc>
            </w:tr>
            <w:tr w14:paraId="6CEB5D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040" w:type="dxa"/>
                  <w:vMerge w:val="continue"/>
                  <w:tcBorders>
                    <w:tl2br w:val="nil"/>
                    <w:tr2bl w:val="nil"/>
                  </w:tcBorders>
                  <w:vAlign w:val="center"/>
                </w:tcPr>
                <w:p w14:paraId="303F9A11">
                  <w:pPr>
                    <w:pStyle w:val="51"/>
                    <w:autoSpaceDE/>
                    <w:autoSpaceDN/>
                    <w:adjustRightInd w:val="0"/>
                    <w:snapToGrid w:val="0"/>
                    <w:rPr>
                      <w:rFonts w:ascii="Times New Roman" w:hAnsi="Times New Roman" w:cs="Times New Roman"/>
                      <w:color w:val="auto"/>
                      <w:sz w:val="21"/>
                      <w:szCs w:val="21"/>
                    </w:rPr>
                  </w:pPr>
                </w:p>
              </w:tc>
              <w:tc>
                <w:tcPr>
                  <w:tcW w:w="4367" w:type="dxa"/>
                  <w:tcBorders>
                    <w:tl2br w:val="nil"/>
                    <w:tr2bl w:val="nil"/>
                  </w:tcBorders>
                  <w:vAlign w:val="center"/>
                </w:tcPr>
                <w:p w14:paraId="13063E05">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架空输电线路线下的农田、园地、牧草地、畜禽饲养地、养殖水面、道路等场所</w:t>
                  </w:r>
                </w:p>
              </w:tc>
              <w:tc>
                <w:tcPr>
                  <w:tcW w:w="1389" w:type="dxa"/>
                  <w:tcBorders>
                    <w:tl2br w:val="nil"/>
                    <w:tr2bl w:val="nil"/>
                  </w:tcBorders>
                  <w:vAlign w:val="center"/>
                </w:tcPr>
                <w:p w14:paraId="7185F000">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10kV/m</w:t>
                  </w:r>
                </w:p>
              </w:tc>
              <w:tc>
                <w:tcPr>
                  <w:tcW w:w="1627" w:type="dxa"/>
                  <w:vMerge w:val="continue"/>
                  <w:tcBorders>
                    <w:tl2br w:val="nil"/>
                    <w:tr2bl w:val="nil"/>
                  </w:tcBorders>
                  <w:vAlign w:val="center"/>
                </w:tcPr>
                <w:p w14:paraId="3A5513F4">
                  <w:pPr>
                    <w:adjustRightInd w:val="0"/>
                    <w:snapToGrid w:val="0"/>
                    <w:jc w:val="center"/>
                    <w:rPr>
                      <w:rFonts w:ascii="Times New Roman" w:hAnsi="Times New Roman"/>
                      <w:color w:val="auto"/>
                      <w:szCs w:val="21"/>
                    </w:rPr>
                  </w:pPr>
                </w:p>
              </w:tc>
            </w:tr>
            <w:tr w14:paraId="662929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040" w:type="dxa"/>
                  <w:tcBorders>
                    <w:tl2br w:val="nil"/>
                    <w:tr2bl w:val="nil"/>
                  </w:tcBorders>
                  <w:vAlign w:val="center"/>
                </w:tcPr>
                <w:p w14:paraId="1C6D98AA">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工频磁场</w:t>
                  </w:r>
                </w:p>
              </w:tc>
              <w:tc>
                <w:tcPr>
                  <w:tcW w:w="4367" w:type="dxa"/>
                  <w:tcBorders>
                    <w:tl2br w:val="nil"/>
                    <w:tr2bl w:val="nil"/>
                  </w:tcBorders>
                  <w:vAlign w:val="center"/>
                </w:tcPr>
                <w:p w14:paraId="3386841B">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架空输电线路</w:t>
                  </w:r>
                </w:p>
              </w:tc>
              <w:tc>
                <w:tcPr>
                  <w:tcW w:w="1389" w:type="dxa"/>
                  <w:tcBorders>
                    <w:tl2br w:val="nil"/>
                    <w:tr2bl w:val="nil"/>
                  </w:tcBorders>
                  <w:vAlign w:val="center"/>
                </w:tcPr>
                <w:p w14:paraId="4A86CB30">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100μT</w:t>
                  </w:r>
                </w:p>
              </w:tc>
              <w:tc>
                <w:tcPr>
                  <w:tcW w:w="1627" w:type="dxa"/>
                  <w:vMerge w:val="continue"/>
                  <w:tcBorders>
                    <w:tl2br w:val="nil"/>
                    <w:tr2bl w:val="nil"/>
                  </w:tcBorders>
                  <w:vAlign w:val="center"/>
                </w:tcPr>
                <w:p w14:paraId="302DBFF0">
                  <w:pPr>
                    <w:adjustRightInd w:val="0"/>
                    <w:snapToGrid w:val="0"/>
                    <w:jc w:val="center"/>
                    <w:rPr>
                      <w:rFonts w:ascii="Times New Roman" w:hAnsi="Times New Roman"/>
                      <w:color w:val="auto"/>
                      <w:szCs w:val="21"/>
                    </w:rPr>
                  </w:pPr>
                </w:p>
              </w:tc>
            </w:tr>
          </w:tbl>
          <w:p w14:paraId="5422B4B5">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3.8.2污染物排放标准</w:t>
            </w:r>
          </w:p>
          <w:p w14:paraId="527B6B0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（1）工频电场强度、工频磁感应强度</w:t>
            </w:r>
          </w:p>
          <w:p w14:paraId="63C4EAB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根据《电磁环境控制限值》（GB8702-2014）的规定，为控制本工程工频电场、磁场所致公众曝露，环境中电场、磁场满足以下限值：</w:t>
            </w:r>
          </w:p>
          <w:p w14:paraId="146E4BA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①电场强度控制限值为200/f，即频率f=50Hz时电场强度E=4000V/m。</w:t>
            </w:r>
          </w:p>
          <w:p w14:paraId="6658E3D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磁感应强度控制限值为5/f，即频率f=50Hz时磁感应强度B=100μT。另外，《电磁环境控制限值》（GB8702-2014）中规定：“架空输电线路线下的耕地、园地、牧灌草地、畜禽饲养地、养殖水面、道路等场所，其频率50Hz的电场强度控制限值为10kV/m。”</w:t>
            </w:r>
          </w:p>
          <w:p w14:paraId="7B2A76D7">
            <w:pPr>
              <w:pStyle w:val="56"/>
              <w:adjustRightInd w:val="0"/>
              <w:snapToGrid w:val="0"/>
              <w:ind w:firstLine="482" w:firstLineChars="200"/>
              <w:jc w:val="center"/>
              <w:rPr>
                <w:b/>
                <w:bCs/>
                <w:color w:val="auto"/>
                <w:sz w:val="24"/>
                <w:szCs w:val="24"/>
              </w:rPr>
            </w:pPr>
            <w:r>
              <w:rPr>
                <w:b/>
                <w:bCs/>
                <w:color w:val="auto"/>
                <w:sz w:val="24"/>
                <w:szCs w:val="24"/>
              </w:rPr>
              <w:t>表3-</w:t>
            </w:r>
            <w:r>
              <w:rPr>
                <w:rFonts w:hint="eastAsia"/>
                <w:b/>
                <w:bCs/>
                <w:color w:val="auto"/>
                <w:sz w:val="24"/>
                <w:szCs w:val="24"/>
              </w:rPr>
              <w:t>37</w:t>
            </w:r>
            <w:r>
              <w:rPr>
                <w:b/>
                <w:bCs/>
                <w:color w:val="auto"/>
                <w:sz w:val="24"/>
                <w:szCs w:val="24"/>
              </w:rPr>
              <w:t xml:space="preserve">  电磁环境公众暴露控制限值</w:t>
            </w:r>
          </w:p>
          <w:tbl>
            <w:tblPr>
              <w:tblStyle w:val="27"/>
              <w:tblW w:w="8843"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557"/>
              <w:gridCol w:w="2334"/>
              <w:gridCol w:w="2952"/>
            </w:tblGrid>
            <w:tr w14:paraId="4DABF8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557" w:type="dxa"/>
                </w:tcPr>
                <w:p w14:paraId="271E02FA">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频率范围</w:t>
                  </w:r>
                </w:p>
              </w:tc>
              <w:tc>
                <w:tcPr>
                  <w:tcW w:w="2334" w:type="dxa"/>
                </w:tcPr>
                <w:p w14:paraId="456507D0">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电场强度E（V/m）</w:t>
                  </w:r>
                </w:p>
              </w:tc>
              <w:tc>
                <w:tcPr>
                  <w:tcW w:w="2952" w:type="dxa"/>
                </w:tcPr>
                <w:p w14:paraId="4FE98BFB">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磁感应强度B（μT）</w:t>
                  </w:r>
                </w:p>
              </w:tc>
            </w:tr>
            <w:tr w14:paraId="7C12DC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3557" w:type="dxa"/>
                </w:tcPr>
                <w:p w14:paraId="59719132">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0.025kHz~1.2kHz</w:t>
                  </w:r>
                </w:p>
              </w:tc>
              <w:tc>
                <w:tcPr>
                  <w:tcW w:w="2334" w:type="dxa"/>
                </w:tcPr>
                <w:p w14:paraId="74DC09A5">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200/f</w:t>
                  </w:r>
                </w:p>
              </w:tc>
              <w:tc>
                <w:tcPr>
                  <w:tcW w:w="2952" w:type="dxa"/>
                </w:tcPr>
                <w:p w14:paraId="386B0105">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5/f</w:t>
                  </w:r>
                </w:p>
              </w:tc>
            </w:tr>
            <w:tr w14:paraId="6A7B92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3557" w:type="dxa"/>
                </w:tcPr>
                <w:p w14:paraId="7AB08930">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输电线路工作频率（0.05kHz）</w:t>
                  </w:r>
                </w:p>
              </w:tc>
              <w:tc>
                <w:tcPr>
                  <w:tcW w:w="2334" w:type="dxa"/>
                </w:tcPr>
                <w:p w14:paraId="618BF48A">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4000V/m（4kV/m</w:t>
                  </w:r>
                  <w:r>
                    <w:rPr>
                      <w:rFonts w:hint="eastAsia" w:ascii="Times New Roman" w:hAnsi="Times New Roman" w:cs="Times New Roman"/>
                      <w:color w:val="auto"/>
                      <w:sz w:val="21"/>
                      <w:szCs w:val="21"/>
                    </w:rPr>
                    <w:t>）</w:t>
                  </w:r>
                </w:p>
              </w:tc>
              <w:tc>
                <w:tcPr>
                  <w:tcW w:w="2952" w:type="dxa"/>
                </w:tcPr>
                <w:p w14:paraId="513146F2">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100μT（0.1mT）</w:t>
                  </w:r>
                </w:p>
              </w:tc>
            </w:tr>
            <w:tr w14:paraId="640968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843" w:type="dxa"/>
                  <w:gridSpan w:val="3"/>
                </w:tcPr>
                <w:p w14:paraId="21B2D105">
                  <w:pPr>
                    <w:pStyle w:val="51"/>
                    <w:adjustRightInd w:val="0"/>
                    <w:snapToGrid w:val="0"/>
                    <w:jc w:val="left"/>
                    <w:rPr>
                      <w:rFonts w:ascii="Times New Roman" w:hAnsi="Times New Roman" w:cs="Times New Roman"/>
                      <w:color w:val="auto"/>
                      <w:sz w:val="21"/>
                      <w:szCs w:val="21"/>
                    </w:rPr>
                  </w:pPr>
                  <w:r>
                    <w:rPr>
                      <w:rFonts w:ascii="Times New Roman" w:hAnsi="Times New Roman" w:cs="Times New Roman"/>
                      <w:color w:val="auto"/>
                      <w:sz w:val="21"/>
                      <w:szCs w:val="21"/>
                    </w:rPr>
                    <w:t>注：1、频率f的取值为0.05kHz。2、架空输电线路线下的耕地、园地、牧草地、畜禽饲养地、养殖水面、道路等场所，其频率50Hz的电场强度控制限值为10kV/m，且应给出警示和防护指示标志。</w:t>
                  </w:r>
                </w:p>
              </w:tc>
            </w:tr>
          </w:tbl>
          <w:p w14:paraId="57F940D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（2）噪声</w:t>
            </w:r>
          </w:p>
          <w:p w14:paraId="10389CD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施工期噪声执行《建筑施工噪声排放标准》（GB12523-2025），标准见</w:t>
            </w:r>
            <w:r>
              <w:rPr>
                <w:rFonts w:hint="eastAsia" w:ascii="Times New Roman" w:hAnsi="Times New Roman"/>
                <w:color w:val="auto"/>
                <w:sz w:val="24"/>
                <w:szCs w:val="24"/>
              </w:rPr>
              <w:t>下</w:t>
            </w:r>
            <w:r>
              <w:rPr>
                <w:rFonts w:ascii="Times New Roman" w:hAnsi="Times New Roman"/>
                <w:color w:val="auto"/>
                <w:sz w:val="24"/>
                <w:szCs w:val="24"/>
              </w:rPr>
              <w:t>表。</w:t>
            </w:r>
          </w:p>
          <w:p w14:paraId="66E5DB2A">
            <w:pPr>
              <w:ind w:firstLine="463" w:firstLineChars="192"/>
              <w:jc w:val="center"/>
              <w:rPr>
                <w:rFonts w:ascii="Times New Roman" w:hAnsi="Times New Roman"/>
                <w:b/>
                <w:bCs/>
                <w:color w:val="auto"/>
                <w:sz w:val="24"/>
                <w:szCs w:val="24"/>
              </w:rPr>
            </w:pPr>
            <w:r>
              <w:rPr>
                <w:rFonts w:ascii="Times New Roman" w:hAnsi="Times New Roman"/>
                <w:b/>
                <w:bCs/>
                <w:color w:val="auto"/>
                <w:sz w:val="24"/>
                <w:szCs w:val="24"/>
              </w:rPr>
              <w:t>表3-</w:t>
            </w:r>
            <w:r>
              <w:rPr>
                <w:rFonts w:hint="eastAsia" w:ascii="Times New Roman" w:hAnsi="Times New Roman"/>
                <w:b/>
                <w:bCs/>
                <w:color w:val="auto"/>
                <w:sz w:val="24"/>
                <w:szCs w:val="24"/>
              </w:rPr>
              <w:t>38</w:t>
            </w:r>
            <w:r>
              <w:rPr>
                <w:rFonts w:ascii="Times New Roman" w:hAnsi="Times New Roman"/>
                <w:b/>
                <w:bCs/>
                <w:color w:val="auto"/>
                <w:sz w:val="24"/>
                <w:szCs w:val="24"/>
              </w:rPr>
              <w:t xml:space="preserve">  建筑施工场界噪声排放限值  单位：dB（A）</w:t>
            </w:r>
          </w:p>
          <w:tbl>
            <w:tblPr>
              <w:tblStyle w:val="27"/>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121"/>
              <w:gridCol w:w="4306"/>
            </w:tblGrid>
            <w:tr w14:paraId="41C730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45" w:type="pct"/>
                  <w:tcBorders>
                    <w:tl2br w:val="nil"/>
                    <w:tr2bl w:val="nil"/>
                  </w:tcBorders>
                  <w:vAlign w:val="center"/>
                </w:tcPr>
                <w:p w14:paraId="1B15CC27">
                  <w:pPr>
                    <w:adjustRightInd w:val="0"/>
                    <w:snapToGrid w:val="0"/>
                    <w:jc w:val="center"/>
                    <w:rPr>
                      <w:rFonts w:ascii="Times New Roman" w:hAnsi="Times New Roman"/>
                      <w:b/>
                      <w:bCs/>
                      <w:color w:val="auto"/>
                      <w:szCs w:val="21"/>
                    </w:rPr>
                  </w:pPr>
                  <w:r>
                    <w:rPr>
                      <w:rFonts w:ascii="Times New Roman" w:hAnsi="Times New Roman"/>
                      <w:b/>
                      <w:bCs/>
                      <w:color w:val="auto"/>
                      <w:szCs w:val="21"/>
                    </w:rPr>
                    <w:t>昼间</w:t>
                  </w:r>
                </w:p>
              </w:tc>
              <w:tc>
                <w:tcPr>
                  <w:tcW w:w="2554" w:type="pct"/>
                  <w:tcBorders>
                    <w:tl2br w:val="nil"/>
                    <w:tr2bl w:val="nil"/>
                  </w:tcBorders>
                  <w:vAlign w:val="center"/>
                </w:tcPr>
                <w:p w14:paraId="2E45AB3E">
                  <w:pPr>
                    <w:adjustRightInd w:val="0"/>
                    <w:snapToGrid w:val="0"/>
                    <w:jc w:val="center"/>
                    <w:rPr>
                      <w:rFonts w:ascii="Times New Roman" w:hAnsi="Times New Roman"/>
                      <w:b/>
                      <w:bCs/>
                      <w:color w:val="auto"/>
                      <w:szCs w:val="21"/>
                    </w:rPr>
                  </w:pPr>
                  <w:r>
                    <w:rPr>
                      <w:rFonts w:ascii="Times New Roman" w:hAnsi="Times New Roman"/>
                      <w:b/>
                      <w:bCs/>
                      <w:color w:val="auto"/>
                      <w:szCs w:val="21"/>
                    </w:rPr>
                    <w:t>夜间</w:t>
                  </w:r>
                </w:p>
              </w:tc>
            </w:tr>
            <w:tr w14:paraId="6AEDF1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45" w:type="pct"/>
                  <w:tcBorders>
                    <w:tl2br w:val="nil"/>
                    <w:tr2bl w:val="nil"/>
                  </w:tcBorders>
                  <w:vAlign w:val="center"/>
                </w:tcPr>
                <w:p w14:paraId="1198D92E">
                  <w:pPr>
                    <w:adjustRightInd w:val="0"/>
                    <w:snapToGrid w:val="0"/>
                    <w:jc w:val="center"/>
                    <w:rPr>
                      <w:rFonts w:ascii="Times New Roman" w:hAnsi="Times New Roman"/>
                      <w:color w:val="auto"/>
                      <w:szCs w:val="21"/>
                    </w:rPr>
                  </w:pPr>
                  <w:r>
                    <w:rPr>
                      <w:rFonts w:ascii="Times New Roman" w:hAnsi="Times New Roman"/>
                      <w:color w:val="auto"/>
                      <w:szCs w:val="21"/>
                    </w:rPr>
                    <w:t>70</w:t>
                  </w:r>
                </w:p>
              </w:tc>
              <w:tc>
                <w:tcPr>
                  <w:tcW w:w="2554" w:type="pct"/>
                  <w:tcBorders>
                    <w:tl2br w:val="nil"/>
                    <w:tr2bl w:val="nil"/>
                  </w:tcBorders>
                  <w:vAlign w:val="center"/>
                </w:tcPr>
                <w:p w14:paraId="2FD0738F">
                  <w:pPr>
                    <w:adjustRightInd w:val="0"/>
                    <w:snapToGrid w:val="0"/>
                    <w:jc w:val="center"/>
                    <w:rPr>
                      <w:rFonts w:ascii="Times New Roman" w:hAnsi="Times New Roman"/>
                      <w:color w:val="auto"/>
                      <w:szCs w:val="21"/>
                    </w:rPr>
                  </w:pPr>
                  <w:r>
                    <w:rPr>
                      <w:rFonts w:ascii="Times New Roman" w:hAnsi="Times New Roman"/>
                      <w:color w:val="auto"/>
                      <w:szCs w:val="21"/>
                    </w:rPr>
                    <w:t>55</w:t>
                  </w:r>
                </w:p>
              </w:tc>
            </w:tr>
          </w:tbl>
          <w:p w14:paraId="4547E04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（3）废污水</w:t>
            </w:r>
          </w:p>
          <w:p w14:paraId="71737EEC">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bCs/>
                <w:color w:val="auto"/>
                <w:sz w:val="24"/>
                <w:szCs w:val="24"/>
              </w:rPr>
              <w:t>施工期：</w:t>
            </w:r>
            <w:r>
              <w:rPr>
                <w:rFonts w:ascii="Times New Roman" w:hAnsi="Times New Roman"/>
                <w:color w:val="auto"/>
                <w:sz w:val="24"/>
                <w:szCs w:val="24"/>
              </w:rPr>
              <w:t>施工期废水经处理后回用于场地洒水降尘、建筑</w:t>
            </w:r>
            <w:r>
              <w:rPr>
                <w:rFonts w:hint="eastAsia" w:ascii="Times New Roman" w:hAnsi="Times New Roman"/>
                <w:color w:val="auto"/>
                <w:sz w:val="24"/>
                <w:szCs w:val="24"/>
              </w:rPr>
              <w:t>施工</w:t>
            </w:r>
            <w:r>
              <w:rPr>
                <w:rFonts w:ascii="Times New Roman" w:hAnsi="Times New Roman"/>
                <w:color w:val="auto"/>
                <w:sz w:val="24"/>
                <w:szCs w:val="24"/>
              </w:rPr>
              <w:t>等施工环节，不外排</w:t>
            </w:r>
            <w:r>
              <w:rPr>
                <w:rFonts w:hint="eastAsia" w:ascii="Times New Roman" w:hAnsi="Times New Roman"/>
                <w:color w:val="auto"/>
                <w:sz w:val="24"/>
                <w:szCs w:val="24"/>
              </w:rPr>
              <w:t>。</w:t>
            </w:r>
          </w:p>
          <w:p w14:paraId="76D904FD">
            <w:pPr>
              <w:adjustRightInd w:val="0"/>
              <w:snapToGrid w:val="0"/>
              <w:spacing w:line="440" w:lineRule="exact"/>
              <w:ind w:firstLine="482" w:firstLineChars="200"/>
              <w:rPr>
                <w:rFonts w:ascii="Times New Roman" w:hAnsi="Times New Roman"/>
                <w:color w:val="auto"/>
                <w:sz w:val="24"/>
                <w:szCs w:val="24"/>
              </w:rPr>
            </w:pPr>
            <w:r>
              <w:rPr>
                <w:rFonts w:ascii="Times New Roman" w:hAnsi="Times New Roman"/>
                <w:b/>
                <w:bCs/>
                <w:color w:val="auto"/>
                <w:sz w:val="24"/>
                <w:szCs w:val="24"/>
              </w:rPr>
              <w:t>运营期：</w:t>
            </w:r>
            <w:r>
              <w:rPr>
                <w:rFonts w:ascii="Times New Roman" w:hAnsi="Times New Roman"/>
                <w:color w:val="auto"/>
                <w:sz w:val="24"/>
                <w:szCs w:val="24"/>
              </w:rPr>
              <w:t>无废水产生，本次不设排放标准。</w:t>
            </w:r>
          </w:p>
          <w:p w14:paraId="7EA1556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（4）大气污染物</w:t>
            </w:r>
          </w:p>
          <w:p w14:paraId="0E56DF4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施工期大气污染物排放执行《大气污染物综合排放标准》（GB16297-1996）中表2无组织排放限值要求；运行期工程无大气污染物排放，不设废气排放标准。</w:t>
            </w:r>
          </w:p>
          <w:p w14:paraId="35C0BF46">
            <w:pPr>
              <w:adjustRightInd w:val="0"/>
              <w:snapToGrid w:val="0"/>
              <w:spacing w:line="440" w:lineRule="exact"/>
              <w:ind w:firstLine="480" w:firstLineChars="200"/>
              <w:rPr>
                <w:rFonts w:ascii="Times New Roman" w:hAnsi="Times New Roman"/>
                <w:color w:val="auto"/>
                <w:sz w:val="24"/>
                <w:szCs w:val="24"/>
              </w:rPr>
            </w:pPr>
            <w:bookmarkStart w:id="90" w:name="_Toc32484_WPSOffice_Level3"/>
            <w:r>
              <w:rPr>
                <w:rFonts w:ascii="Times New Roman" w:hAnsi="Times New Roman"/>
                <w:color w:val="auto"/>
                <w:sz w:val="24"/>
                <w:szCs w:val="24"/>
              </w:rPr>
              <w:t>（5）固体废物</w:t>
            </w:r>
            <w:bookmarkEnd w:id="90"/>
          </w:p>
          <w:p w14:paraId="3E76AC68">
            <w:pPr>
              <w:adjustRightInd w:val="0"/>
              <w:snapToGrid w:val="0"/>
              <w:spacing w:line="440" w:lineRule="exact"/>
              <w:ind w:firstLine="480" w:firstLineChars="200"/>
              <w:rPr>
                <w:rFonts w:ascii="Times New Roman" w:hAnsi="Times New Roman"/>
                <w:b/>
                <w:color w:val="auto"/>
              </w:rPr>
            </w:pPr>
            <w:r>
              <w:rPr>
                <w:rFonts w:ascii="Times New Roman" w:hAnsi="Times New Roman"/>
                <w:color w:val="auto"/>
                <w:sz w:val="24"/>
                <w:szCs w:val="24"/>
              </w:rPr>
              <w:t>项目一般固废执行《一般工业固体废物贮存和填埋污染控制标准》（GB18599-2020）要求。无危废产生，不设危废标准。</w:t>
            </w:r>
          </w:p>
        </w:tc>
      </w:tr>
      <w:tr w14:paraId="0E57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shd w:val="clear" w:color="auto" w:fill="auto"/>
            <w:vAlign w:val="center"/>
          </w:tcPr>
          <w:p w14:paraId="2A2A3847">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其他</w:t>
            </w:r>
          </w:p>
          <w:p w14:paraId="0349CCFD">
            <w:pPr>
              <w:pStyle w:val="2"/>
              <w:rPr>
                <w:rFonts w:ascii="Times New Roman" w:hAnsi="Times New Roman"/>
                <w:b/>
                <w:color w:val="auto"/>
                <w:sz w:val="24"/>
                <w:szCs w:val="24"/>
              </w:rPr>
            </w:pPr>
          </w:p>
          <w:p w14:paraId="078EE597">
            <w:pPr>
              <w:pStyle w:val="2"/>
              <w:rPr>
                <w:rFonts w:ascii="Times New Roman" w:hAnsi="Times New Roman"/>
                <w:b/>
                <w:color w:val="auto"/>
                <w:sz w:val="24"/>
                <w:szCs w:val="24"/>
              </w:rPr>
            </w:pPr>
          </w:p>
          <w:p w14:paraId="7A517F29">
            <w:pPr>
              <w:pStyle w:val="2"/>
              <w:rPr>
                <w:rFonts w:ascii="Times New Roman" w:hAnsi="Times New Roman"/>
                <w:b/>
                <w:color w:val="auto"/>
                <w:sz w:val="24"/>
                <w:szCs w:val="24"/>
              </w:rPr>
            </w:pPr>
          </w:p>
          <w:p w14:paraId="41A88139">
            <w:pPr>
              <w:pStyle w:val="2"/>
              <w:rPr>
                <w:rFonts w:ascii="Times New Roman" w:hAnsi="Times New Roman"/>
                <w:b/>
                <w:color w:val="auto"/>
                <w:sz w:val="24"/>
                <w:szCs w:val="24"/>
              </w:rPr>
            </w:pPr>
          </w:p>
          <w:p w14:paraId="49228C13">
            <w:pPr>
              <w:pStyle w:val="2"/>
              <w:rPr>
                <w:rFonts w:ascii="Times New Roman" w:hAnsi="Times New Roman"/>
                <w:b/>
                <w:color w:val="auto"/>
                <w:sz w:val="24"/>
                <w:szCs w:val="24"/>
              </w:rPr>
            </w:pPr>
          </w:p>
          <w:p w14:paraId="4C28E91E">
            <w:pPr>
              <w:pStyle w:val="2"/>
              <w:rPr>
                <w:rFonts w:ascii="Times New Roman" w:hAnsi="Times New Roman"/>
                <w:b/>
                <w:color w:val="auto"/>
                <w:sz w:val="24"/>
                <w:szCs w:val="24"/>
              </w:rPr>
            </w:pPr>
          </w:p>
          <w:p w14:paraId="11F3AE19">
            <w:pPr>
              <w:pStyle w:val="2"/>
              <w:rPr>
                <w:rFonts w:ascii="Times New Roman" w:hAnsi="Times New Roman"/>
                <w:b/>
                <w:color w:val="auto"/>
                <w:sz w:val="24"/>
                <w:szCs w:val="24"/>
              </w:rPr>
            </w:pPr>
          </w:p>
          <w:p w14:paraId="02AB97D5">
            <w:pPr>
              <w:pStyle w:val="2"/>
              <w:rPr>
                <w:rFonts w:ascii="Times New Roman" w:hAnsi="Times New Roman"/>
                <w:b/>
                <w:color w:val="auto"/>
                <w:sz w:val="24"/>
                <w:szCs w:val="24"/>
              </w:rPr>
            </w:pPr>
          </w:p>
          <w:p w14:paraId="48598DB4">
            <w:pPr>
              <w:pStyle w:val="2"/>
              <w:rPr>
                <w:rFonts w:ascii="Times New Roman" w:hAnsi="Times New Roman"/>
                <w:b/>
                <w:color w:val="auto"/>
                <w:sz w:val="24"/>
                <w:szCs w:val="24"/>
              </w:rPr>
            </w:pPr>
          </w:p>
          <w:p w14:paraId="2194ED61">
            <w:pPr>
              <w:pStyle w:val="2"/>
              <w:rPr>
                <w:rFonts w:ascii="Times New Roman" w:hAnsi="Times New Roman"/>
                <w:b/>
                <w:color w:val="auto"/>
                <w:sz w:val="24"/>
                <w:szCs w:val="24"/>
              </w:rPr>
            </w:pPr>
          </w:p>
          <w:p w14:paraId="53C0334E">
            <w:pPr>
              <w:pStyle w:val="2"/>
              <w:rPr>
                <w:rFonts w:ascii="Times New Roman" w:hAnsi="Times New Roman"/>
                <w:b/>
                <w:color w:val="auto"/>
                <w:sz w:val="24"/>
                <w:szCs w:val="24"/>
              </w:rPr>
            </w:pPr>
          </w:p>
          <w:p w14:paraId="0EC465E7">
            <w:pPr>
              <w:pStyle w:val="2"/>
              <w:rPr>
                <w:rFonts w:ascii="Times New Roman" w:hAnsi="Times New Roman"/>
                <w:b/>
                <w:color w:val="auto"/>
                <w:sz w:val="24"/>
                <w:szCs w:val="24"/>
              </w:rPr>
            </w:pPr>
          </w:p>
          <w:p w14:paraId="3FA2110E">
            <w:pPr>
              <w:pStyle w:val="2"/>
              <w:rPr>
                <w:rFonts w:ascii="Times New Roman" w:hAnsi="Times New Roman"/>
                <w:b/>
                <w:color w:val="auto"/>
                <w:sz w:val="24"/>
                <w:szCs w:val="24"/>
              </w:rPr>
            </w:pPr>
          </w:p>
          <w:p w14:paraId="2135AE47">
            <w:pPr>
              <w:pStyle w:val="2"/>
              <w:rPr>
                <w:rFonts w:ascii="Times New Roman" w:hAnsi="Times New Roman"/>
                <w:b/>
                <w:color w:val="auto"/>
                <w:sz w:val="24"/>
                <w:szCs w:val="24"/>
              </w:rPr>
            </w:pPr>
          </w:p>
          <w:p w14:paraId="30BDD170">
            <w:pPr>
              <w:adjustRightInd w:val="0"/>
              <w:snapToGrid w:val="0"/>
              <w:jc w:val="center"/>
              <w:rPr>
                <w:rFonts w:ascii="Times New Roman" w:hAnsi="Times New Roman"/>
                <w:b/>
                <w:color w:val="auto"/>
                <w:sz w:val="24"/>
                <w:szCs w:val="24"/>
              </w:rPr>
            </w:pPr>
          </w:p>
          <w:p w14:paraId="7D1880C3">
            <w:pPr>
              <w:adjustRightInd w:val="0"/>
              <w:snapToGrid w:val="0"/>
              <w:jc w:val="center"/>
              <w:rPr>
                <w:rFonts w:ascii="Times New Roman" w:hAnsi="Times New Roman"/>
                <w:b/>
                <w:color w:val="auto"/>
                <w:sz w:val="24"/>
                <w:szCs w:val="24"/>
              </w:rPr>
            </w:pPr>
          </w:p>
        </w:tc>
        <w:tc>
          <w:tcPr>
            <w:tcW w:w="8645" w:type="dxa"/>
            <w:shd w:val="clear" w:color="auto" w:fill="auto"/>
          </w:tcPr>
          <w:p w14:paraId="3010B93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本项目220kV输电线路新建工程，项目运行期间主要环境影响因子为工频电磁场和噪声，均不属于国家相关环境保护法律法规规定纳入总量控制计划管理的污染物。</w:t>
            </w:r>
          </w:p>
          <w:p w14:paraId="3D7C7C74">
            <w:pPr>
              <w:pStyle w:val="2"/>
              <w:rPr>
                <w:rFonts w:ascii="Times New Roman" w:hAnsi="Times New Roman"/>
                <w:color w:val="auto"/>
                <w:sz w:val="24"/>
                <w:szCs w:val="24"/>
              </w:rPr>
            </w:pPr>
          </w:p>
          <w:p w14:paraId="596685E2">
            <w:pPr>
              <w:pStyle w:val="2"/>
              <w:rPr>
                <w:rFonts w:ascii="Times New Roman" w:hAnsi="Times New Roman"/>
                <w:color w:val="auto"/>
                <w:sz w:val="24"/>
                <w:szCs w:val="24"/>
              </w:rPr>
            </w:pPr>
          </w:p>
          <w:p w14:paraId="2CF7213C">
            <w:pPr>
              <w:pStyle w:val="2"/>
              <w:rPr>
                <w:rFonts w:ascii="Times New Roman" w:hAnsi="Times New Roman"/>
                <w:color w:val="auto"/>
                <w:sz w:val="24"/>
                <w:szCs w:val="24"/>
              </w:rPr>
            </w:pPr>
          </w:p>
          <w:p w14:paraId="6A067A98">
            <w:pPr>
              <w:pStyle w:val="2"/>
              <w:rPr>
                <w:rFonts w:ascii="Times New Roman" w:hAnsi="Times New Roman"/>
                <w:color w:val="auto"/>
                <w:sz w:val="24"/>
                <w:szCs w:val="24"/>
              </w:rPr>
            </w:pPr>
          </w:p>
          <w:p w14:paraId="7DBB913A">
            <w:pPr>
              <w:pStyle w:val="2"/>
              <w:rPr>
                <w:rFonts w:ascii="Times New Roman" w:hAnsi="Times New Roman"/>
                <w:color w:val="auto"/>
                <w:sz w:val="24"/>
                <w:szCs w:val="24"/>
              </w:rPr>
            </w:pPr>
          </w:p>
          <w:p w14:paraId="3182643A">
            <w:pPr>
              <w:pStyle w:val="2"/>
              <w:rPr>
                <w:rFonts w:ascii="Times New Roman" w:hAnsi="Times New Roman"/>
                <w:color w:val="auto"/>
                <w:sz w:val="24"/>
                <w:szCs w:val="24"/>
              </w:rPr>
            </w:pPr>
          </w:p>
          <w:p w14:paraId="03A59A36">
            <w:pPr>
              <w:pStyle w:val="2"/>
              <w:rPr>
                <w:rFonts w:ascii="Times New Roman" w:hAnsi="Times New Roman"/>
                <w:color w:val="auto"/>
                <w:sz w:val="24"/>
                <w:szCs w:val="24"/>
              </w:rPr>
            </w:pPr>
          </w:p>
          <w:p w14:paraId="3F95E09D">
            <w:pPr>
              <w:pStyle w:val="2"/>
              <w:rPr>
                <w:rFonts w:ascii="Times New Roman" w:hAnsi="Times New Roman"/>
                <w:color w:val="auto"/>
                <w:sz w:val="24"/>
                <w:szCs w:val="24"/>
              </w:rPr>
            </w:pPr>
          </w:p>
          <w:p w14:paraId="43A7CB6F">
            <w:pPr>
              <w:pStyle w:val="2"/>
              <w:rPr>
                <w:rFonts w:ascii="Times New Roman" w:hAnsi="Times New Roman"/>
                <w:color w:val="auto"/>
                <w:sz w:val="24"/>
                <w:szCs w:val="24"/>
              </w:rPr>
            </w:pPr>
          </w:p>
          <w:p w14:paraId="66ADCF73">
            <w:pPr>
              <w:pStyle w:val="2"/>
              <w:rPr>
                <w:rFonts w:ascii="Times New Roman" w:hAnsi="Times New Roman"/>
                <w:color w:val="auto"/>
                <w:sz w:val="24"/>
                <w:szCs w:val="24"/>
              </w:rPr>
            </w:pPr>
          </w:p>
          <w:p w14:paraId="763DED80">
            <w:pPr>
              <w:pStyle w:val="2"/>
              <w:rPr>
                <w:rFonts w:ascii="Times New Roman" w:hAnsi="Times New Roman"/>
                <w:color w:val="auto"/>
                <w:sz w:val="24"/>
                <w:szCs w:val="24"/>
              </w:rPr>
            </w:pPr>
          </w:p>
          <w:p w14:paraId="29D6A876">
            <w:pPr>
              <w:pStyle w:val="2"/>
              <w:rPr>
                <w:rFonts w:ascii="Times New Roman" w:hAnsi="Times New Roman"/>
                <w:color w:val="auto"/>
                <w:sz w:val="24"/>
                <w:szCs w:val="24"/>
              </w:rPr>
            </w:pPr>
          </w:p>
          <w:p w14:paraId="7A7B9311">
            <w:pPr>
              <w:pStyle w:val="2"/>
              <w:rPr>
                <w:rFonts w:ascii="Times New Roman" w:hAnsi="Times New Roman"/>
                <w:color w:val="auto"/>
                <w:sz w:val="24"/>
                <w:szCs w:val="24"/>
              </w:rPr>
            </w:pPr>
          </w:p>
          <w:p w14:paraId="7AB8C435">
            <w:pPr>
              <w:pStyle w:val="2"/>
              <w:rPr>
                <w:rFonts w:ascii="Times New Roman" w:hAnsi="Times New Roman"/>
                <w:color w:val="auto"/>
                <w:sz w:val="24"/>
                <w:szCs w:val="24"/>
              </w:rPr>
            </w:pPr>
          </w:p>
          <w:p w14:paraId="68BD96FD">
            <w:pPr>
              <w:pStyle w:val="2"/>
              <w:rPr>
                <w:rFonts w:ascii="Times New Roman" w:hAnsi="Times New Roman"/>
                <w:color w:val="auto"/>
                <w:sz w:val="24"/>
                <w:szCs w:val="24"/>
              </w:rPr>
            </w:pPr>
          </w:p>
          <w:p w14:paraId="29B4C898">
            <w:pPr>
              <w:pStyle w:val="2"/>
              <w:rPr>
                <w:rFonts w:ascii="Times New Roman" w:hAnsi="Times New Roman"/>
                <w:color w:val="auto"/>
                <w:sz w:val="24"/>
                <w:szCs w:val="24"/>
              </w:rPr>
            </w:pPr>
          </w:p>
          <w:p w14:paraId="60A5C48A">
            <w:pPr>
              <w:pStyle w:val="2"/>
              <w:rPr>
                <w:rFonts w:ascii="Times New Roman" w:hAnsi="Times New Roman"/>
                <w:color w:val="auto"/>
                <w:sz w:val="24"/>
                <w:szCs w:val="24"/>
              </w:rPr>
            </w:pPr>
          </w:p>
          <w:p w14:paraId="545C3129">
            <w:pPr>
              <w:pStyle w:val="2"/>
              <w:rPr>
                <w:rFonts w:ascii="Times New Roman" w:hAnsi="Times New Roman"/>
                <w:color w:val="auto"/>
                <w:sz w:val="24"/>
                <w:szCs w:val="24"/>
              </w:rPr>
            </w:pPr>
          </w:p>
          <w:p w14:paraId="15D939D0">
            <w:pPr>
              <w:pStyle w:val="2"/>
              <w:rPr>
                <w:rFonts w:ascii="Times New Roman" w:hAnsi="Times New Roman"/>
                <w:color w:val="auto"/>
                <w:sz w:val="24"/>
                <w:szCs w:val="24"/>
              </w:rPr>
            </w:pPr>
          </w:p>
          <w:p w14:paraId="3DB6EB7E">
            <w:pPr>
              <w:pStyle w:val="2"/>
              <w:rPr>
                <w:rFonts w:ascii="Times New Roman" w:hAnsi="Times New Roman"/>
                <w:color w:val="auto"/>
                <w:sz w:val="24"/>
                <w:szCs w:val="24"/>
              </w:rPr>
            </w:pPr>
          </w:p>
          <w:p w14:paraId="0B03645F">
            <w:pPr>
              <w:pStyle w:val="2"/>
              <w:rPr>
                <w:rFonts w:ascii="Times New Roman" w:hAnsi="Times New Roman"/>
                <w:color w:val="auto"/>
                <w:sz w:val="24"/>
                <w:szCs w:val="24"/>
              </w:rPr>
            </w:pPr>
          </w:p>
          <w:p w14:paraId="28064A61">
            <w:pPr>
              <w:pStyle w:val="2"/>
              <w:rPr>
                <w:rFonts w:ascii="Times New Roman" w:hAnsi="Times New Roman"/>
                <w:color w:val="auto"/>
                <w:sz w:val="24"/>
                <w:szCs w:val="24"/>
              </w:rPr>
            </w:pPr>
          </w:p>
          <w:p w14:paraId="384A662B">
            <w:pPr>
              <w:pStyle w:val="2"/>
              <w:rPr>
                <w:rFonts w:ascii="Times New Roman" w:hAnsi="Times New Roman"/>
                <w:color w:val="auto"/>
                <w:sz w:val="24"/>
                <w:szCs w:val="24"/>
              </w:rPr>
            </w:pPr>
          </w:p>
          <w:p w14:paraId="2C63DFE7">
            <w:pPr>
              <w:pStyle w:val="2"/>
              <w:rPr>
                <w:rFonts w:ascii="Times New Roman" w:hAnsi="Times New Roman"/>
                <w:color w:val="auto"/>
                <w:sz w:val="24"/>
                <w:szCs w:val="24"/>
              </w:rPr>
            </w:pPr>
          </w:p>
          <w:p w14:paraId="31CCE43D">
            <w:pPr>
              <w:pStyle w:val="2"/>
              <w:rPr>
                <w:rFonts w:ascii="Times New Roman" w:hAnsi="Times New Roman"/>
                <w:color w:val="auto"/>
                <w:sz w:val="24"/>
                <w:szCs w:val="24"/>
              </w:rPr>
            </w:pPr>
          </w:p>
          <w:p w14:paraId="0C9D6C7D">
            <w:pPr>
              <w:adjustRightInd w:val="0"/>
              <w:snapToGrid w:val="0"/>
              <w:spacing w:line="440" w:lineRule="exact"/>
              <w:ind w:firstLine="480" w:firstLineChars="200"/>
              <w:rPr>
                <w:rFonts w:ascii="Times New Roman" w:hAnsi="Times New Roman"/>
                <w:color w:val="auto"/>
                <w:sz w:val="24"/>
                <w:szCs w:val="24"/>
              </w:rPr>
            </w:pPr>
          </w:p>
        </w:tc>
      </w:tr>
    </w:tbl>
    <w:p w14:paraId="54017B1C">
      <w:pPr>
        <w:rPr>
          <w:color w:val="auto"/>
        </w:rPr>
        <w:sectPr>
          <w:pgSz w:w="11907" w:h="16839"/>
          <w:pgMar w:top="1418" w:right="1519" w:bottom="1418" w:left="1519" w:header="794" w:footer="902" w:gutter="0"/>
          <w:pgBorders>
            <w:top w:val="none" w:sz="0" w:space="0"/>
            <w:left w:val="none" w:sz="0" w:space="0"/>
            <w:bottom w:val="none" w:sz="0" w:space="0"/>
            <w:right w:val="none" w:sz="0" w:space="0"/>
          </w:pgBorders>
          <w:cols w:space="425" w:num="1"/>
          <w:docGrid w:type="lines" w:linePitch="312" w:charSpace="0"/>
        </w:sectPr>
      </w:pPr>
      <w:bookmarkStart w:id="91" w:name="_Toc74062915"/>
    </w:p>
    <w:p w14:paraId="57DCCC9E">
      <w:pPr>
        <w:pStyle w:val="3"/>
        <w:rPr>
          <w:rFonts w:ascii="Times New Roman" w:hAnsi="Times New Roman"/>
          <w:color w:val="auto"/>
        </w:rPr>
      </w:pPr>
      <w:r>
        <w:rPr>
          <w:rFonts w:ascii="Times New Roman" w:hAnsi="Times New Roman"/>
          <w:color w:val="auto"/>
        </w:rPr>
        <w:t>四、生态环境影响分析</w:t>
      </w:r>
      <w:bookmarkEnd w:id="91"/>
    </w:p>
    <w:tbl>
      <w:tblPr>
        <w:tblStyle w:val="2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8648"/>
      </w:tblGrid>
      <w:tr w14:paraId="466A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dxa"/>
            <w:shd w:val="clear" w:color="auto" w:fill="auto"/>
            <w:vAlign w:val="center"/>
          </w:tcPr>
          <w:p w14:paraId="4CA2B55F">
            <w:pPr>
              <w:rPr>
                <w:rFonts w:ascii="Times New Roman" w:hAnsi="Times New Roman"/>
                <w:b/>
                <w:color w:val="auto"/>
                <w:sz w:val="24"/>
                <w:szCs w:val="24"/>
              </w:rPr>
            </w:pPr>
          </w:p>
          <w:p w14:paraId="1914CD8A">
            <w:pPr>
              <w:rPr>
                <w:rFonts w:ascii="Times New Roman" w:hAnsi="Times New Roman"/>
                <w:b/>
                <w:color w:val="auto"/>
                <w:sz w:val="24"/>
                <w:szCs w:val="24"/>
              </w:rPr>
            </w:pPr>
          </w:p>
          <w:p w14:paraId="4E1DDA4F">
            <w:pPr>
              <w:rPr>
                <w:rFonts w:ascii="Times New Roman" w:hAnsi="Times New Roman"/>
                <w:b/>
                <w:color w:val="auto"/>
                <w:sz w:val="24"/>
                <w:szCs w:val="24"/>
              </w:rPr>
            </w:pPr>
          </w:p>
          <w:p w14:paraId="6A4CE4DC">
            <w:pPr>
              <w:rPr>
                <w:rFonts w:ascii="Times New Roman" w:hAnsi="Times New Roman"/>
                <w:b/>
                <w:color w:val="auto"/>
                <w:sz w:val="24"/>
                <w:szCs w:val="24"/>
              </w:rPr>
            </w:pPr>
          </w:p>
          <w:p w14:paraId="22F4B5CC">
            <w:pPr>
              <w:rPr>
                <w:rFonts w:ascii="Times New Roman" w:hAnsi="Times New Roman"/>
                <w:b/>
                <w:color w:val="auto"/>
                <w:sz w:val="24"/>
                <w:szCs w:val="24"/>
              </w:rPr>
            </w:pPr>
          </w:p>
          <w:p w14:paraId="20EF1FD7">
            <w:pPr>
              <w:rPr>
                <w:rFonts w:ascii="Times New Roman" w:hAnsi="Times New Roman"/>
                <w:b/>
                <w:color w:val="auto"/>
                <w:sz w:val="24"/>
                <w:szCs w:val="24"/>
              </w:rPr>
            </w:pPr>
          </w:p>
          <w:p w14:paraId="10A52E96">
            <w:pPr>
              <w:rPr>
                <w:rFonts w:ascii="Times New Roman" w:hAnsi="Times New Roman"/>
                <w:b/>
                <w:color w:val="auto"/>
                <w:sz w:val="24"/>
                <w:szCs w:val="24"/>
              </w:rPr>
            </w:pPr>
          </w:p>
          <w:p w14:paraId="2BF8DBCD">
            <w:pPr>
              <w:rPr>
                <w:rFonts w:ascii="Times New Roman" w:hAnsi="Times New Roman"/>
                <w:b/>
                <w:color w:val="auto"/>
                <w:sz w:val="24"/>
                <w:szCs w:val="24"/>
              </w:rPr>
            </w:pPr>
          </w:p>
          <w:p w14:paraId="051520DE">
            <w:pPr>
              <w:rPr>
                <w:rFonts w:ascii="Times New Roman" w:hAnsi="Times New Roman"/>
                <w:b/>
                <w:color w:val="auto"/>
                <w:sz w:val="24"/>
                <w:szCs w:val="24"/>
              </w:rPr>
            </w:pPr>
          </w:p>
          <w:p w14:paraId="169A8C83">
            <w:pPr>
              <w:rPr>
                <w:rFonts w:ascii="Times New Roman" w:hAnsi="Times New Roman"/>
                <w:b/>
                <w:color w:val="auto"/>
                <w:sz w:val="24"/>
                <w:szCs w:val="24"/>
              </w:rPr>
            </w:pPr>
          </w:p>
          <w:p w14:paraId="420D4958">
            <w:pPr>
              <w:rPr>
                <w:rFonts w:ascii="Times New Roman" w:hAnsi="Times New Roman"/>
                <w:b/>
                <w:color w:val="auto"/>
                <w:sz w:val="24"/>
                <w:szCs w:val="24"/>
              </w:rPr>
            </w:pPr>
          </w:p>
          <w:p w14:paraId="12C380F3">
            <w:pPr>
              <w:rPr>
                <w:rFonts w:ascii="Times New Roman" w:hAnsi="Times New Roman"/>
                <w:b/>
                <w:color w:val="auto"/>
                <w:sz w:val="24"/>
                <w:szCs w:val="24"/>
              </w:rPr>
            </w:pPr>
          </w:p>
          <w:p w14:paraId="7136A4CB">
            <w:pPr>
              <w:rPr>
                <w:rFonts w:ascii="Times New Roman" w:hAnsi="Times New Roman"/>
                <w:b/>
                <w:color w:val="auto"/>
                <w:sz w:val="24"/>
                <w:szCs w:val="24"/>
              </w:rPr>
            </w:pPr>
          </w:p>
          <w:p w14:paraId="585CFAA1">
            <w:pPr>
              <w:rPr>
                <w:rFonts w:ascii="Times New Roman" w:hAnsi="Times New Roman"/>
                <w:b/>
                <w:color w:val="auto"/>
                <w:sz w:val="24"/>
                <w:szCs w:val="24"/>
              </w:rPr>
            </w:pPr>
          </w:p>
          <w:p w14:paraId="0207C823">
            <w:pPr>
              <w:rPr>
                <w:rFonts w:ascii="Times New Roman" w:hAnsi="Times New Roman"/>
                <w:b/>
                <w:color w:val="auto"/>
                <w:sz w:val="24"/>
                <w:szCs w:val="24"/>
              </w:rPr>
            </w:pPr>
          </w:p>
          <w:p w14:paraId="7F958B6D">
            <w:pPr>
              <w:rPr>
                <w:rFonts w:ascii="Times New Roman" w:hAnsi="Times New Roman"/>
                <w:b/>
                <w:color w:val="auto"/>
                <w:sz w:val="24"/>
                <w:szCs w:val="24"/>
              </w:rPr>
            </w:pPr>
            <w:r>
              <w:rPr>
                <w:rFonts w:ascii="Times New Roman" w:hAnsi="Times New Roman"/>
                <w:b/>
                <w:color w:val="auto"/>
                <w:sz w:val="24"/>
                <w:szCs w:val="24"/>
              </w:rPr>
              <w:t>施工期生态环境影响分析</w:t>
            </w:r>
          </w:p>
          <w:p w14:paraId="2712D4F4">
            <w:pPr>
              <w:jc w:val="center"/>
              <w:rPr>
                <w:rFonts w:ascii="Times New Roman" w:hAnsi="Times New Roman"/>
                <w:b/>
                <w:color w:val="auto"/>
                <w:sz w:val="24"/>
                <w:szCs w:val="24"/>
              </w:rPr>
            </w:pPr>
          </w:p>
          <w:p w14:paraId="188064E4">
            <w:pPr>
              <w:jc w:val="center"/>
              <w:rPr>
                <w:rFonts w:ascii="Times New Roman" w:hAnsi="Times New Roman"/>
                <w:b/>
                <w:color w:val="auto"/>
                <w:sz w:val="24"/>
                <w:szCs w:val="24"/>
              </w:rPr>
            </w:pPr>
          </w:p>
          <w:p w14:paraId="10AB46EA">
            <w:pPr>
              <w:jc w:val="center"/>
              <w:rPr>
                <w:rFonts w:ascii="Times New Roman" w:hAnsi="Times New Roman"/>
                <w:b/>
                <w:color w:val="auto"/>
                <w:sz w:val="24"/>
                <w:szCs w:val="24"/>
              </w:rPr>
            </w:pPr>
          </w:p>
          <w:p w14:paraId="15CC2872">
            <w:pPr>
              <w:jc w:val="center"/>
              <w:rPr>
                <w:rFonts w:ascii="Times New Roman" w:hAnsi="Times New Roman"/>
                <w:b/>
                <w:color w:val="auto"/>
                <w:sz w:val="24"/>
                <w:szCs w:val="24"/>
              </w:rPr>
            </w:pPr>
          </w:p>
          <w:p w14:paraId="5438620C">
            <w:pPr>
              <w:jc w:val="center"/>
              <w:rPr>
                <w:rFonts w:ascii="Times New Roman" w:hAnsi="Times New Roman"/>
                <w:b/>
                <w:color w:val="auto"/>
                <w:sz w:val="24"/>
                <w:szCs w:val="24"/>
              </w:rPr>
            </w:pPr>
          </w:p>
          <w:p w14:paraId="12164EE3">
            <w:pPr>
              <w:jc w:val="center"/>
              <w:rPr>
                <w:rFonts w:ascii="Times New Roman" w:hAnsi="Times New Roman"/>
                <w:b/>
                <w:color w:val="auto"/>
                <w:sz w:val="24"/>
                <w:szCs w:val="24"/>
              </w:rPr>
            </w:pPr>
          </w:p>
          <w:p w14:paraId="7CDD1CD9">
            <w:pPr>
              <w:jc w:val="center"/>
              <w:rPr>
                <w:rFonts w:ascii="Times New Roman" w:hAnsi="Times New Roman"/>
                <w:b/>
                <w:color w:val="auto"/>
                <w:sz w:val="24"/>
                <w:szCs w:val="24"/>
              </w:rPr>
            </w:pPr>
          </w:p>
          <w:p w14:paraId="49A8AE7D">
            <w:pPr>
              <w:jc w:val="center"/>
              <w:rPr>
                <w:rFonts w:ascii="Times New Roman" w:hAnsi="Times New Roman"/>
                <w:b/>
                <w:color w:val="auto"/>
                <w:sz w:val="24"/>
                <w:szCs w:val="24"/>
              </w:rPr>
            </w:pPr>
          </w:p>
          <w:p w14:paraId="673ABC69">
            <w:pPr>
              <w:jc w:val="center"/>
              <w:rPr>
                <w:rFonts w:ascii="Times New Roman" w:hAnsi="Times New Roman"/>
                <w:b/>
                <w:color w:val="auto"/>
                <w:sz w:val="24"/>
                <w:szCs w:val="24"/>
              </w:rPr>
            </w:pPr>
          </w:p>
          <w:p w14:paraId="535B0187">
            <w:pPr>
              <w:jc w:val="center"/>
              <w:rPr>
                <w:rFonts w:ascii="Times New Roman" w:hAnsi="Times New Roman"/>
                <w:b/>
                <w:color w:val="auto"/>
                <w:sz w:val="24"/>
                <w:szCs w:val="24"/>
              </w:rPr>
            </w:pPr>
          </w:p>
          <w:p w14:paraId="65567BC5">
            <w:pPr>
              <w:jc w:val="center"/>
              <w:rPr>
                <w:rFonts w:ascii="Times New Roman" w:hAnsi="Times New Roman"/>
                <w:b/>
                <w:color w:val="auto"/>
                <w:sz w:val="24"/>
                <w:szCs w:val="24"/>
              </w:rPr>
            </w:pPr>
          </w:p>
          <w:p w14:paraId="41D72BB4">
            <w:pPr>
              <w:jc w:val="center"/>
              <w:rPr>
                <w:rFonts w:ascii="Times New Roman" w:hAnsi="Times New Roman"/>
                <w:b/>
                <w:color w:val="auto"/>
                <w:sz w:val="24"/>
                <w:szCs w:val="24"/>
              </w:rPr>
            </w:pPr>
          </w:p>
          <w:p w14:paraId="76B46AE2">
            <w:pPr>
              <w:jc w:val="center"/>
              <w:rPr>
                <w:rFonts w:ascii="Times New Roman" w:hAnsi="Times New Roman"/>
                <w:b/>
                <w:color w:val="auto"/>
                <w:sz w:val="24"/>
                <w:szCs w:val="24"/>
              </w:rPr>
            </w:pPr>
          </w:p>
          <w:p w14:paraId="02755FC9">
            <w:pPr>
              <w:jc w:val="center"/>
              <w:rPr>
                <w:rFonts w:ascii="Times New Roman" w:hAnsi="Times New Roman"/>
                <w:b/>
                <w:color w:val="auto"/>
                <w:sz w:val="24"/>
                <w:szCs w:val="24"/>
              </w:rPr>
            </w:pPr>
          </w:p>
          <w:p w14:paraId="6BE842E9">
            <w:pPr>
              <w:jc w:val="center"/>
              <w:rPr>
                <w:rFonts w:ascii="Times New Roman" w:hAnsi="Times New Roman"/>
                <w:b/>
                <w:color w:val="auto"/>
                <w:sz w:val="24"/>
                <w:szCs w:val="24"/>
              </w:rPr>
            </w:pPr>
          </w:p>
          <w:p w14:paraId="485BDAE2">
            <w:pPr>
              <w:jc w:val="center"/>
              <w:rPr>
                <w:rFonts w:ascii="Times New Roman" w:hAnsi="Times New Roman"/>
                <w:b/>
                <w:color w:val="auto"/>
                <w:sz w:val="24"/>
                <w:szCs w:val="24"/>
              </w:rPr>
            </w:pPr>
          </w:p>
          <w:p w14:paraId="06E8F2C9">
            <w:pPr>
              <w:jc w:val="center"/>
              <w:rPr>
                <w:rFonts w:ascii="Times New Roman" w:hAnsi="Times New Roman"/>
                <w:b/>
                <w:color w:val="auto"/>
                <w:sz w:val="24"/>
                <w:szCs w:val="24"/>
              </w:rPr>
            </w:pPr>
          </w:p>
          <w:p w14:paraId="31B6C4F7">
            <w:pPr>
              <w:jc w:val="center"/>
              <w:rPr>
                <w:rFonts w:ascii="Times New Roman" w:hAnsi="Times New Roman"/>
                <w:b/>
                <w:color w:val="auto"/>
                <w:sz w:val="24"/>
                <w:szCs w:val="24"/>
              </w:rPr>
            </w:pPr>
          </w:p>
          <w:p w14:paraId="4BAEF732">
            <w:pPr>
              <w:jc w:val="center"/>
              <w:rPr>
                <w:rFonts w:ascii="Times New Roman" w:hAnsi="Times New Roman"/>
                <w:b/>
                <w:color w:val="auto"/>
                <w:sz w:val="24"/>
                <w:szCs w:val="24"/>
              </w:rPr>
            </w:pPr>
          </w:p>
          <w:p w14:paraId="124E0D3D">
            <w:pPr>
              <w:jc w:val="center"/>
              <w:rPr>
                <w:rFonts w:ascii="Times New Roman" w:hAnsi="Times New Roman"/>
                <w:b/>
                <w:color w:val="auto"/>
                <w:sz w:val="24"/>
                <w:szCs w:val="24"/>
              </w:rPr>
            </w:pPr>
          </w:p>
          <w:p w14:paraId="575E88FE">
            <w:pPr>
              <w:jc w:val="center"/>
              <w:rPr>
                <w:rFonts w:ascii="Times New Roman" w:hAnsi="Times New Roman"/>
                <w:b/>
                <w:color w:val="auto"/>
                <w:sz w:val="24"/>
                <w:szCs w:val="24"/>
              </w:rPr>
            </w:pPr>
          </w:p>
          <w:p w14:paraId="60BA5C14">
            <w:pPr>
              <w:jc w:val="center"/>
              <w:rPr>
                <w:rFonts w:ascii="Times New Roman" w:hAnsi="Times New Roman"/>
                <w:b/>
                <w:color w:val="auto"/>
                <w:sz w:val="24"/>
                <w:szCs w:val="24"/>
              </w:rPr>
            </w:pPr>
          </w:p>
          <w:p w14:paraId="686B4301">
            <w:pPr>
              <w:jc w:val="center"/>
              <w:rPr>
                <w:rFonts w:ascii="Times New Roman" w:hAnsi="Times New Roman"/>
                <w:b/>
                <w:color w:val="auto"/>
                <w:sz w:val="24"/>
                <w:szCs w:val="24"/>
              </w:rPr>
            </w:pPr>
          </w:p>
          <w:p w14:paraId="75F67219">
            <w:pPr>
              <w:jc w:val="center"/>
              <w:rPr>
                <w:rFonts w:ascii="Times New Roman" w:hAnsi="Times New Roman"/>
                <w:b/>
                <w:color w:val="auto"/>
                <w:sz w:val="24"/>
                <w:szCs w:val="24"/>
              </w:rPr>
            </w:pPr>
          </w:p>
          <w:p w14:paraId="0A842923">
            <w:pPr>
              <w:jc w:val="center"/>
              <w:rPr>
                <w:rFonts w:ascii="Times New Roman" w:hAnsi="Times New Roman"/>
                <w:b/>
                <w:color w:val="auto"/>
                <w:sz w:val="24"/>
                <w:szCs w:val="24"/>
              </w:rPr>
            </w:pPr>
          </w:p>
          <w:p w14:paraId="0B2AE787">
            <w:pPr>
              <w:jc w:val="center"/>
              <w:rPr>
                <w:rFonts w:ascii="Times New Roman" w:hAnsi="Times New Roman"/>
                <w:b/>
                <w:color w:val="auto"/>
                <w:sz w:val="24"/>
                <w:szCs w:val="24"/>
              </w:rPr>
            </w:pPr>
          </w:p>
          <w:p w14:paraId="0800E849">
            <w:pPr>
              <w:jc w:val="center"/>
              <w:rPr>
                <w:rFonts w:ascii="Times New Roman" w:hAnsi="Times New Roman"/>
                <w:b/>
                <w:color w:val="auto"/>
                <w:sz w:val="24"/>
                <w:szCs w:val="24"/>
              </w:rPr>
            </w:pPr>
          </w:p>
          <w:p w14:paraId="25DBDB83">
            <w:pPr>
              <w:jc w:val="center"/>
              <w:rPr>
                <w:rFonts w:ascii="Times New Roman" w:hAnsi="Times New Roman"/>
                <w:b/>
                <w:color w:val="auto"/>
                <w:sz w:val="24"/>
                <w:szCs w:val="24"/>
              </w:rPr>
            </w:pPr>
          </w:p>
          <w:p w14:paraId="7E8103C2">
            <w:pPr>
              <w:jc w:val="center"/>
              <w:rPr>
                <w:rFonts w:ascii="Times New Roman" w:hAnsi="Times New Roman"/>
                <w:b/>
                <w:color w:val="auto"/>
                <w:sz w:val="24"/>
                <w:szCs w:val="24"/>
              </w:rPr>
            </w:pPr>
            <w:r>
              <w:rPr>
                <w:rFonts w:ascii="Times New Roman" w:hAnsi="Times New Roman"/>
                <w:b/>
                <w:color w:val="auto"/>
                <w:sz w:val="24"/>
                <w:szCs w:val="24"/>
              </w:rPr>
              <w:t>施工期生态环境影响分析</w:t>
            </w:r>
          </w:p>
          <w:p w14:paraId="367A1B25">
            <w:pPr>
              <w:jc w:val="center"/>
              <w:rPr>
                <w:rFonts w:ascii="Times New Roman" w:hAnsi="Times New Roman"/>
                <w:b/>
                <w:color w:val="auto"/>
                <w:sz w:val="24"/>
                <w:szCs w:val="24"/>
              </w:rPr>
            </w:pPr>
          </w:p>
          <w:p w14:paraId="0570230D">
            <w:pPr>
              <w:jc w:val="center"/>
              <w:rPr>
                <w:rFonts w:ascii="Times New Roman" w:hAnsi="Times New Roman"/>
                <w:b/>
                <w:color w:val="auto"/>
                <w:sz w:val="24"/>
                <w:szCs w:val="24"/>
              </w:rPr>
            </w:pPr>
          </w:p>
          <w:p w14:paraId="39FD5D93">
            <w:pPr>
              <w:jc w:val="center"/>
              <w:rPr>
                <w:rFonts w:ascii="Times New Roman" w:hAnsi="Times New Roman"/>
                <w:b/>
                <w:color w:val="auto"/>
                <w:sz w:val="24"/>
                <w:szCs w:val="24"/>
              </w:rPr>
            </w:pPr>
          </w:p>
          <w:p w14:paraId="47FB9E8D">
            <w:pPr>
              <w:jc w:val="center"/>
              <w:rPr>
                <w:rFonts w:ascii="Times New Roman" w:hAnsi="Times New Roman"/>
                <w:b/>
                <w:color w:val="auto"/>
                <w:sz w:val="24"/>
                <w:szCs w:val="24"/>
              </w:rPr>
            </w:pPr>
          </w:p>
          <w:p w14:paraId="1AFE725F">
            <w:pPr>
              <w:jc w:val="center"/>
              <w:rPr>
                <w:rFonts w:ascii="Times New Roman" w:hAnsi="Times New Roman"/>
                <w:b/>
                <w:color w:val="auto"/>
                <w:sz w:val="24"/>
                <w:szCs w:val="24"/>
              </w:rPr>
            </w:pPr>
          </w:p>
          <w:p w14:paraId="2E76769D">
            <w:pPr>
              <w:jc w:val="center"/>
              <w:rPr>
                <w:rFonts w:ascii="Times New Roman" w:hAnsi="Times New Roman"/>
                <w:b/>
                <w:color w:val="auto"/>
                <w:sz w:val="24"/>
                <w:szCs w:val="24"/>
              </w:rPr>
            </w:pPr>
          </w:p>
          <w:p w14:paraId="11B11F2F">
            <w:pPr>
              <w:jc w:val="center"/>
              <w:rPr>
                <w:rFonts w:ascii="Times New Roman" w:hAnsi="Times New Roman"/>
                <w:b/>
                <w:color w:val="auto"/>
                <w:sz w:val="24"/>
                <w:szCs w:val="24"/>
              </w:rPr>
            </w:pPr>
          </w:p>
          <w:p w14:paraId="5305FFC0">
            <w:pPr>
              <w:jc w:val="center"/>
              <w:rPr>
                <w:rFonts w:ascii="Times New Roman" w:hAnsi="Times New Roman"/>
                <w:b/>
                <w:color w:val="auto"/>
                <w:sz w:val="24"/>
                <w:szCs w:val="24"/>
              </w:rPr>
            </w:pPr>
          </w:p>
          <w:p w14:paraId="28315300">
            <w:pPr>
              <w:jc w:val="center"/>
              <w:rPr>
                <w:rFonts w:ascii="Times New Roman" w:hAnsi="Times New Roman"/>
                <w:b/>
                <w:color w:val="auto"/>
                <w:sz w:val="24"/>
                <w:szCs w:val="24"/>
              </w:rPr>
            </w:pPr>
          </w:p>
          <w:p w14:paraId="0749F035">
            <w:pPr>
              <w:jc w:val="center"/>
              <w:rPr>
                <w:rFonts w:ascii="Times New Roman" w:hAnsi="Times New Roman"/>
                <w:b/>
                <w:color w:val="auto"/>
                <w:sz w:val="24"/>
                <w:szCs w:val="24"/>
              </w:rPr>
            </w:pPr>
          </w:p>
          <w:p w14:paraId="3A90E67D">
            <w:pPr>
              <w:jc w:val="center"/>
              <w:rPr>
                <w:rFonts w:ascii="Times New Roman" w:hAnsi="Times New Roman"/>
                <w:b/>
                <w:color w:val="auto"/>
                <w:sz w:val="24"/>
                <w:szCs w:val="24"/>
              </w:rPr>
            </w:pPr>
          </w:p>
          <w:p w14:paraId="63E71CF4">
            <w:pPr>
              <w:jc w:val="center"/>
              <w:rPr>
                <w:rFonts w:ascii="Times New Roman" w:hAnsi="Times New Roman"/>
                <w:b/>
                <w:color w:val="auto"/>
                <w:sz w:val="24"/>
                <w:szCs w:val="24"/>
              </w:rPr>
            </w:pPr>
          </w:p>
          <w:p w14:paraId="344EAAC9">
            <w:pPr>
              <w:jc w:val="center"/>
              <w:rPr>
                <w:rFonts w:ascii="Times New Roman" w:hAnsi="Times New Roman"/>
                <w:b/>
                <w:color w:val="auto"/>
                <w:sz w:val="24"/>
                <w:szCs w:val="24"/>
              </w:rPr>
            </w:pPr>
          </w:p>
          <w:p w14:paraId="48FABB4F">
            <w:pPr>
              <w:jc w:val="center"/>
              <w:rPr>
                <w:rFonts w:ascii="Times New Roman" w:hAnsi="Times New Roman"/>
                <w:b/>
                <w:color w:val="auto"/>
                <w:sz w:val="24"/>
                <w:szCs w:val="24"/>
              </w:rPr>
            </w:pPr>
          </w:p>
          <w:p w14:paraId="55F09AD1">
            <w:pPr>
              <w:jc w:val="center"/>
              <w:rPr>
                <w:rFonts w:ascii="Times New Roman" w:hAnsi="Times New Roman"/>
                <w:b/>
                <w:color w:val="auto"/>
                <w:sz w:val="24"/>
                <w:szCs w:val="24"/>
              </w:rPr>
            </w:pPr>
          </w:p>
          <w:p w14:paraId="0A702AF5">
            <w:pPr>
              <w:jc w:val="center"/>
              <w:rPr>
                <w:rFonts w:ascii="Times New Roman" w:hAnsi="Times New Roman"/>
                <w:b/>
                <w:color w:val="auto"/>
                <w:sz w:val="24"/>
                <w:szCs w:val="24"/>
              </w:rPr>
            </w:pPr>
          </w:p>
          <w:p w14:paraId="0C2CA31E">
            <w:pPr>
              <w:jc w:val="center"/>
              <w:rPr>
                <w:rFonts w:ascii="Times New Roman" w:hAnsi="Times New Roman"/>
                <w:b/>
                <w:color w:val="auto"/>
                <w:sz w:val="24"/>
                <w:szCs w:val="24"/>
              </w:rPr>
            </w:pPr>
          </w:p>
          <w:p w14:paraId="277A6C86">
            <w:pPr>
              <w:jc w:val="center"/>
              <w:rPr>
                <w:rFonts w:ascii="Times New Roman" w:hAnsi="Times New Roman"/>
                <w:b/>
                <w:color w:val="auto"/>
                <w:sz w:val="24"/>
                <w:szCs w:val="24"/>
              </w:rPr>
            </w:pPr>
          </w:p>
          <w:p w14:paraId="1EA2141E">
            <w:pPr>
              <w:jc w:val="center"/>
              <w:rPr>
                <w:rFonts w:ascii="Times New Roman" w:hAnsi="Times New Roman"/>
                <w:b/>
                <w:color w:val="auto"/>
                <w:sz w:val="24"/>
                <w:szCs w:val="24"/>
              </w:rPr>
            </w:pPr>
          </w:p>
          <w:p w14:paraId="4AEA88A8">
            <w:pPr>
              <w:jc w:val="center"/>
              <w:rPr>
                <w:rFonts w:ascii="Times New Roman" w:hAnsi="Times New Roman"/>
                <w:b/>
                <w:color w:val="auto"/>
                <w:sz w:val="24"/>
                <w:szCs w:val="24"/>
              </w:rPr>
            </w:pPr>
          </w:p>
          <w:p w14:paraId="228972FE">
            <w:pPr>
              <w:jc w:val="center"/>
              <w:rPr>
                <w:rFonts w:ascii="Times New Roman" w:hAnsi="Times New Roman"/>
                <w:b/>
                <w:color w:val="auto"/>
                <w:sz w:val="24"/>
                <w:szCs w:val="24"/>
              </w:rPr>
            </w:pPr>
          </w:p>
          <w:p w14:paraId="0E0D4B93">
            <w:pPr>
              <w:jc w:val="center"/>
              <w:rPr>
                <w:rFonts w:ascii="Times New Roman" w:hAnsi="Times New Roman"/>
                <w:b/>
                <w:color w:val="auto"/>
                <w:sz w:val="24"/>
                <w:szCs w:val="24"/>
              </w:rPr>
            </w:pPr>
          </w:p>
          <w:p w14:paraId="2F18FCF4">
            <w:pPr>
              <w:jc w:val="center"/>
              <w:rPr>
                <w:rFonts w:ascii="Times New Roman" w:hAnsi="Times New Roman"/>
                <w:b/>
                <w:color w:val="auto"/>
                <w:sz w:val="24"/>
                <w:szCs w:val="24"/>
              </w:rPr>
            </w:pPr>
          </w:p>
          <w:p w14:paraId="6CACD91B">
            <w:pPr>
              <w:jc w:val="center"/>
              <w:rPr>
                <w:rFonts w:ascii="Times New Roman" w:hAnsi="Times New Roman"/>
                <w:b/>
                <w:color w:val="auto"/>
                <w:sz w:val="24"/>
                <w:szCs w:val="24"/>
              </w:rPr>
            </w:pPr>
          </w:p>
          <w:p w14:paraId="3E11D10D">
            <w:pPr>
              <w:jc w:val="center"/>
              <w:rPr>
                <w:rFonts w:ascii="Times New Roman" w:hAnsi="Times New Roman"/>
                <w:b/>
                <w:color w:val="auto"/>
                <w:sz w:val="24"/>
                <w:szCs w:val="24"/>
              </w:rPr>
            </w:pPr>
          </w:p>
          <w:p w14:paraId="4C8DBD75">
            <w:pPr>
              <w:jc w:val="center"/>
              <w:rPr>
                <w:rFonts w:ascii="Times New Roman" w:hAnsi="Times New Roman"/>
                <w:b/>
                <w:color w:val="auto"/>
                <w:sz w:val="24"/>
                <w:szCs w:val="24"/>
              </w:rPr>
            </w:pPr>
          </w:p>
          <w:p w14:paraId="74AA1442">
            <w:pPr>
              <w:jc w:val="center"/>
              <w:rPr>
                <w:rFonts w:ascii="Times New Roman" w:hAnsi="Times New Roman"/>
                <w:b/>
                <w:color w:val="auto"/>
                <w:sz w:val="24"/>
                <w:szCs w:val="24"/>
              </w:rPr>
            </w:pPr>
          </w:p>
          <w:p w14:paraId="3BD81140">
            <w:pPr>
              <w:jc w:val="center"/>
              <w:rPr>
                <w:rFonts w:ascii="Times New Roman" w:hAnsi="Times New Roman"/>
                <w:b/>
                <w:color w:val="auto"/>
                <w:sz w:val="24"/>
                <w:szCs w:val="24"/>
              </w:rPr>
            </w:pPr>
          </w:p>
          <w:p w14:paraId="6B1AA607">
            <w:pPr>
              <w:jc w:val="center"/>
              <w:rPr>
                <w:rFonts w:ascii="Times New Roman" w:hAnsi="Times New Roman"/>
                <w:b/>
                <w:color w:val="auto"/>
                <w:sz w:val="24"/>
                <w:szCs w:val="24"/>
              </w:rPr>
            </w:pPr>
          </w:p>
          <w:p w14:paraId="78605C51">
            <w:pPr>
              <w:jc w:val="center"/>
              <w:rPr>
                <w:rFonts w:ascii="Times New Roman" w:hAnsi="Times New Roman"/>
                <w:b/>
                <w:color w:val="auto"/>
                <w:sz w:val="24"/>
                <w:szCs w:val="24"/>
              </w:rPr>
            </w:pPr>
          </w:p>
          <w:p w14:paraId="23C28058">
            <w:pPr>
              <w:jc w:val="center"/>
              <w:rPr>
                <w:rFonts w:ascii="Times New Roman" w:hAnsi="Times New Roman"/>
                <w:b/>
                <w:color w:val="auto"/>
                <w:sz w:val="24"/>
                <w:szCs w:val="24"/>
              </w:rPr>
            </w:pPr>
          </w:p>
          <w:p w14:paraId="77C27F9D">
            <w:pPr>
              <w:jc w:val="center"/>
              <w:rPr>
                <w:rFonts w:ascii="Times New Roman" w:hAnsi="Times New Roman"/>
                <w:b/>
                <w:color w:val="auto"/>
                <w:sz w:val="24"/>
                <w:szCs w:val="24"/>
              </w:rPr>
            </w:pPr>
            <w:r>
              <w:rPr>
                <w:rFonts w:ascii="Times New Roman" w:hAnsi="Times New Roman"/>
                <w:b/>
                <w:color w:val="auto"/>
                <w:sz w:val="24"/>
                <w:szCs w:val="24"/>
              </w:rPr>
              <w:t>施工期生态环境影响分析</w:t>
            </w:r>
          </w:p>
          <w:p w14:paraId="7BA6AD75">
            <w:pPr>
              <w:jc w:val="center"/>
              <w:rPr>
                <w:rFonts w:ascii="Times New Roman" w:hAnsi="Times New Roman"/>
                <w:b/>
                <w:color w:val="auto"/>
                <w:sz w:val="24"/>
                <w:szCs w:val="24"/>
              </w:rPr>
            </w:pPr>
          </w:p>
          <w:p w14:paraId="4459526C">
            <w:pPr>
              <w:jc w:val="center"/>
              <w:rPr>
                <w:rFonts w:ascii="Times New Roman" w:hAnsi="Times New Roman"/>
                <w:b/>
                <w:color w:val="auto"/>
                <w:sz w:val="24"/>
                <w:szCs w:val="24"/>
              </w:rPr>
            </w:pPr>
          </w:p>
          <w:p w14:paraId="31BBC8E2">
            <w:pPr>
              <w:jc w:val="center"/>
              <w:rPr>
                <w:rFonts w:ascii="Times New Roman" w:hAnsi="Times New Roman"/>
                <w:b/>
                <w:color w:val="auto"/>
                <w:sz w:val="24"/>
                <w:szCs w:val="24"/>
              </w:rPr>
            </w:pPr>
          </w:p>
          <w:p w14:paraId="0C16632A">
            <w:pPr>
              <w:jc w:val="center"/>
              <w:rPr>
                <w:rFonts w:ascii="Times New Roman" w:hAnsi="Times New Roman"/>
                <w:b/>
                <w:color w:val="auto"/>
                <w:sz w:val="24"/>
                <w:szCs w:val="24"/>
              </w:rPr>
            </w:pPr>
          </w:p>
          <w:p w14:paraId="51E70CA9">
            <w:pPr>
              <w:jc w:val="center"/>
              <w:rPr>
                <w:rFonts w:ascii="Times New Roman" w:hAnsi="Times New Roman"/>
                <w:b/>
                <w:color w:val="auto"/>
                <w:sz w:val="24"/>
                <w:szCs w:val="24"/>
              </w:rPr>
            </w:pPr>
          </w:p>
          <w:p w14:paraId="27DD9766">
            <w:pPr>
              <w:jc w:val="center"/>
              <w:rPr>
                <w:rFonts w:ascii="Times New Roman" w:hAnsi="Times New Roman"/>
                <w:b/>
                <w:color w:val="auto"/>
                <w:sz w:val="24"/>
                <w:szCs w:val="24"/>
              </w:rPr>
            </w:pPr>
          </w:p>
          <w:p w14:paraId="7B05DC06">
            <w:pPr>
              <w:jc w:val="center"/>
              <w:rPr>
                <w:rFonts w:ascii="Times New Roman" w:hAnsi="Times New Roman"/>
                <w:b/>
                <w:color w:val="auto"/>
                <w:sz w:val="24"/>
                <w:szCs w:val="24"/>
              </w:rPr>
            </w:pPr>
          </w:p>
          <w:p w14:paraId="2AD6C652">
            <w:pPr>
              <w:jc w:val="center"/>
              <w:rPr>
                <w:rFonts w:ascii="Times New Roman" w:hAnsi="Times New Roman"/>
                <w:b/>
                <w:color w:val="auto"/>
                <w:sz w:val="24"/>
                <w:szCs w:val="24"/>
              </w:rPr>
            </w:pPr>
          </w:p>
          <w:p w14:paraId="0C830040">
            <w:pPr>
              <w:jc w:val="center"/>
              <w:rPr>
                <w:rFonts w:ascii="Times New Roman" w:hAnsi="Times New Roman"/>
                <w:b/>
                <w:color w:val="auto"/>
                <w:sz w:val="24"/>
                <w:szCs w:val="24"/>
              </w:rPr>
            </w:pPr>
          </w:p>
          <w:p w14:paraId="18AD3D2B">
            <w:pPr>
              <w:jc w:val="center"/>
              <w:rPr>
                <w:rFonts w:ascii="Times New Roman" w:hAnsi="Times New Roman"/>
                <w:b/>
                <w:color w:val="auto"/>
                <w:sz w:val="24"/>
                <w:szCs w:val="24"/>
              </w:rPr>
            </w:pPr>
          </w:p>
          <w:p w14:paraId="49104AA6">
            <w:pPr>
              <w:jc w:val="center"/>
              <w:rPr>
                <w:rFonts w:ascii="Times New Roman" w:hAnsi="Times New Roman"/>
                <w:b/>
                <w:color w:val="auto"/>
                <w:sz w:val="24"/>
                <w:szCs w:val="24"/>
              </w:rPr>
            </w:pPr>
          </w:p>
          <w:p w14:paraId="110CACB5">
            <w:pPr>
              <w:jc w:val="center"/>
              <w:rPr>
                <w:rFonts w:ascii="Times New Roman" w:hAnsi="Times New Roman"/>
                <w:b/>
                <w:color w:val="auto"/>
                <w:sz w:val="24"/>
                <w:szCs w:val="24"/>
              </w:rPr>
            </w:pPr>
          </w:p>
          <w:p w14:paraId="2E4A4C89">
            <w:pPr>
              <w:jc w:val="center"/>
              <w:rPr>
                <w:rFonts w:ascii="Times New Roman" w:hAnsi="Times New Roman"/>
                <w:b/>
                <w:color w:val="auto"/>
                <w:sz w:val="24"/>
                <w:szCs w:val="24"/>
              </w:rPr>
            </w:pPr>
          </w:p>
          <w:p w14:paraId="7366E0C2">
            <w:pPr>
              <w:jc w:val="center"/>
              <w:rPr>
                <w:rFonts w:ascii="Times New Roman" w:hAnsi="Times New Roman"/>
                <w:b/>
                <w:color w:val="auto"/>
                <w:sz w:val="24"/>
                <w:szCs w:val="24"/>
              </w:rPr>
            </w:pPr>
          </w:p>
          <w:p w14:paraId="4CC96D22">
            <w:pPr>
              <w:jc w:val="center"/>
              <w:rPr>
                <w:rFonts w:ascii="Times New Roman" w:hAnsi="Times New Roman"/>
                <w:b/>
                <w:color w:val="auto"/>
                <w:sz w:val="24"/>
                <w:szCs w:val="24"/>
              </w:rPr>
            </w:pPr>
          </w:p>
          <w:p w14:paraId="666C9887">
            <w:pPr>
              <w:jc w:val="center"/>
              <w:rPr>
                <w:rFonts w:ascii="Times New Roman" w:hAnsi="Times New Roman"/>
                <w:b/>
                <w:color w:val="auto"/>
                <w:sz w:val="24"/>
                <w:szCs w:val="24"/>
              </w:rPr>
            </w:pPr>
          </w:p>
          <w:p w14:paraId="6F245173">
            <w:pPr>
              <w:jc w:val="center"/>
              <w:rPr>
                <w:rFonts w:ascii="Times New Roman" w:hAnsi="Times New Roman"/>
                <w:b/>
                <w:color w:val="auto"/>
                <w:sz w:val="24"/>
                <w:szCs w:val="24"/>
              </w:rPr>
            </w:pPr>
          </w:p>
          <w:p w14:paraId="5F55A3E2">
            <w:pPr>
              <w:jc w:val="center"/>
              <w:rPr>
                <w:rFonts w:ascii="Times New Roman" w:hAnsi="Times New Roman"/>
                <w:b/>
                <w:color w:val="auto"/>
                <w:sz w:val="24"/>
                <w:szCs w:val="24"/>
              </w:rPr>
            </w:pPr>
          </w:p>
          <w:p w14:paraId="737CFFB9">
            <w:pPr>
              <w:jc w:val="center"/>
              <w:rPr>
                <w:rFonts w:ascii="Times New Roman" w:hAnsi="Times New Roman"/>
                <w:b/>
                <w:color w:val="auto"/>
                <w:sz w:val="24"/>
                <w:szCs w:val="24"/>
              </w:rPr>
            </w:pPr>
          </w:p>
          <w:p w14:paraId="1D6B4842">
            <w:pPr>
              <w:jc w:val="center"/>
              <w:rPr>
                <w:rFonts w:ascii="Times New Roman" w:hAnsi="Times New Roman"/>
                <w:b/>
                <w:color w:val="auto"/>
                <w:sz w:val="24"/>
                <w:szCs w:val="24"/>
              </w:rPr>
            </w:pPr>
          </w:p>
          <w:p w14:paraId="37BFBCC1">
            <w:pPr>
              <w:jc w:val="center"/>
              <w:rPr>
                <w:rFonts w:ascii="Times New Roman" w:hAnsi="Times New Roman"/>
                <w:b/>
                <w:color w:val="auto"/>
                <w:sz w:val="24"/>
                <w:szCs w:val="24"/>
              </w:rPr>
            </w:pPr>
          </w:p>
          <w:p w14:paraId="51B91B78">
            <w:pPr>
              <w:jc w:val="center"/>
              <w:rPr>
                <w:rFonts w:ascii="Times New Roman" w:hAnsi="Times New Roman"/>
                <w:b/>
                <w:color w:val="auto"/>
                <w:sz w:val="24"/>
                <w:szCs w:val="24"/>
              </w:rPr>
            </w:pPr>
          </w:p>
          <w:p w14:paraId="455F9EE3">
            <w:pPr>
              <w:jc w:val="center"/>
              <w:rPr>
                <w:rFonts w:ascii="Times New Roman" w:hAnsi="Times New Roman"/>
                <w:b/>
                <w:color w:val="auto"/>
                <w:sz w:val="24"/>
                <w:szCs w:val="24"/>
              </w:rPr>
            </w:pPr>
          </w:p>
          <w:p w14:paraId="005F5192">
            <w:pPr>
              <w:jc w:val="center"/>
              <w:rPr>
                <w:rFonts w:ascii="Times New Roman" w:hAnsi="Times New Roman"/>
                <w:b/>
                <w:color w:val="auto"/>
                <w:sz w:val="24"/>
                <w:szCs w:val="24"/>
              </w:rPr>
            </w:pPr>
          </w:p>
          <w:p w14:paraId="63C8FF1E">
            <w:pPr>
              <w:jc w:val="center"/>
              <w:rPr>
                <w:rFonts w:ascii="Times New Roman" w:hAnsi="Times New Roman"/>
                <w:b/>
                <w:color w:val="auto"/>
                <w:sz w:val="24"/>
                <w:szCs w:val="24"/>
              </w:rPr>
            </w:pPr>
          </w:p>
          <w:p w14:paraId="30EFFAC4">
            <w:pPr>
              <w:jc w:val="center"/>
              <w:rPr>
                <w:rFonts w:ascii="Times New Roman" w:hAnsi="Times New Roman"/>
                <w:b/>
                <w:color w:val="auto"/>
                <w:sz w:val="24"/>
                <w:szCs w:val="24"/>
              </w:rPr>
            </w:pPr>
          </w:p>
          <w:p w14:paraId="01740367">
            <w:pPr>
              <w:jc w:val="center"/>
              <w:rPr>
                <w:rFonts w:ascii="Times New Roman" w:hAnsi="Times New Roman"/>
                <w:b/>
                <w:color w:val="auto"/>
                <w:sz w:val="24"/>
                <w:szCs w:val="24"/>
              </w:rPr>
            </w:pPr>
          </w:p>
          <w:p w14:paraId="5AB343DC">
            <w:pPr>
              <w:jc w:val="center"/>
              <w:rPr>
                <w:rFonts w:ascii="Times New Roman" w:hAnsi="Times New Roman"/>
                <w:b/>
                <w:color w:val="auto"/>
                <w:sz w:val="24"/>
                <w:szCs w:val="24"/>
              </w:rPr>
            </w:pPr>
          </w:p>
          <w:p w14:paraId="2A3F26AA">
            <w:pPr>
              <w:jc w:val="center"/>
              <w:rPr>
                <w:rFonts w:ascii="Times New Roman" w:hAnsi="Times New Roman"/>
                <w:b/>
                <w:color w:val="auto"/>
                <w:sz w:val="24"/>
                <w:szCs w:val="24"/>
              </w:rPr>
            </w:pPr>
          </w:p>
          <w:p w14:paraId="53BB2199">
            <w:pPr>
              <w:jc w:val="center"/>
              <w:rPr>
                <w:rFonts w:ascii="Times New Roman" w:hAnsi="Times New Roman"/>
                <w:b/>
                <w:color w:val="auto"/>
                <w:sz w:val="24"/>
                <w:szCs w:val="24"/>
              </w:rPr>
            </w:pPr>
          </w:p>
          <w:p w14:paraId="4D04BC41">
            <w:pPr>
              <w:jc w:val="center"/>
              <w:rPr>
                <w:rFonts w:ascii="Times New Roman" w:hAnsi="Times New Roman"/>
                <w:b/>
                <w:color w:val="auto"/>
                <w:sz w:val="24"/>
                <w:szCs w:val="24"/>
              </w:rPr>
            </w:pPr>
          </w:p>
          <w:p w14:paraId="49B6E301">
            <w:pPr>
              <w:jc w:val="center"/>
              <w:rPr>
                <w:rFonts w:ascii="Times New Roman" w:hAnsi="Times New Roman"/>
                <w:b/>
                <w:color w:val="auto"/>
                <w:sz w:val="24"/>
                <w:szCs w:val="24"/>
              </w:rPr>
            </w:pPr>
          </w:p>
          <w:p w14:paraId="082F6B98">
            <w:pPr>
              <w:jc w:val="center"/>
              <w:rPr>
                <w:rFonts w:ascii="Times New Roman" w:hAnsi="Times New Roman"/>
                <w:b/>
                <w:color w:val="auto"/>
                <w:sz w:val="24"/>
                <w:szCs w:val="24"/>
              </w:rPr>
            </w:pPr>
          </w:p>
          <w:p w14:paraId="1E3F4B9C">
            <w:pPr>
              <w:jc w:val="center"/>
              <w:rPr>
                <w:rFonts w:ascii="Times New Roman" w:hAnsi="Times New Roman"/>
                <w:b/>
                <w:color w:val="auto"/>
                <w:sz w:val="24"/>
                <w:szCs w:val="24"/>
              </w:rPr>
            </w:pPr>
          </w:p>
          <w:p w14:paraId="7D446BA5">
            <w:pPr>
              <w:jc w:val="center"/>
              <w:rPr>
                <w:rFonts w:ascii="Times New Roman" w:hAnsi="Times New Roman"/>
                <w:b/>
                <w:color w:val="auto"/>
                <w:sz w:val="24"/>
                <w:szCs w:val="24"/>
              </w:rPr>
            </w:pPr>
          </w:p>
          <w:p w14:paraId="44E2A030">
            <w:pPr>
              <w:jc w:val="center"/>
              <w:rPr>
                <w:rFonts w:ascii="Times New Roman" w:hAnsi="Times New Roman"/>
                <w:b/>
                <w:color w:val="auto"/>
                <w:sz w:val="24"/>
                <w:szCs w:val="24"/>
              </w:rPr>
            </w:pPr>
          </w:p>
          <w:p w14:paraId="45282608">
            <w:pPr>
              <w:jc w:val="center"/>
              <w:rPr>
                <w:rFonts w:ascii="Times New Roman" w:hAnsi="Times New Roman"/>
                <w:b/>
                <w:color w:val="auto"/>
                <w:sz w:val="24"/>
                <w:szCs w:val="24"/>
              </w:rPr>
            </w:pPr>
            <w:r>
              <w:rPr>
                <w:rFonts w:ascii="Times New Roman" w:hAnsi="Times New Roman"/>
                <w:b/>
                <w:color w:val="auto"/>
                <w:sz w:val="24"/>
                <w:szCs w:val="24"/>
              </w:rPr>
              <w:t>施工期生态环境影响分析</w:t>
            </w:r>
          </w:p>
          <w:p w14:paraId="3047DD85">
            <w:pPr>
              <w:jc w:val="center"/>
              <w:rPr>
                <w:rFonts w:ascii="Times New Roman" w:hAnsi="Times New Roman"/>
                <w:b/>
                <w:color w:val="auto"/>
                <w:sz w:val="24"/>
                <w:szCs w:val="24"/>
              </w:rPr>
            </w:pPr>
          </w:p>
          <w:p w14:paraId="5009FE46">
            <w:pPr>
              <w:jc w:val="center"/>
              <w:rPr>
                <w:rFonts w:ascii="Times New Roman" w:hAnsi="Times New Roman"/>
                <w:b/>
                <w:color w:val="auto"/>
                <w:sz w:val="24"/>
                <w:szCs w:val="24"/>
              </w:rPr>
            </w:pPr>
          </w:p>
          <w:p w14:paraId="2A6C9DCB">
            <w:pPr>
              <w:jc w:val="center"/>
              <w:rPr>
                <w:rFonts w:ascii="Times New Roman" w:hAnsi="Times New Roman"/>
                <w:b/>
                <w:color w:val="auto"/>
                <w:sz w:val="24"/>
                <w:szCs w:val="24"/>
              </w:rPr>
            </w:pPr>
          </w:p>
          <w:p w14:paraId="23EE50D6">
            <w:pPr>
              <w:jc w:val="center"/>
              <w:rPr>
                <w:rFonts w:ascii="Times New Roman" w:hAnsi="Times New Roman"/>
                <w:b/>
                <w:color w:val="auto"/>
                <w:sz w:val="24"/>
                <w:szCs w:val="24"/>
              </w:rPr>
            </w:pPr>
          </w:p>
          <w:p w14:paraId="089FDE4A">
            <w:pPr>
              <w:jc w:val="center"/>
              <w:rPr>
                <w:rFonts w:ascii="Times New Roman" w:hAnsi="Times New Roman"/>
                <w:b/>
                <w:color w:val="auto"/>
                <w:sz w:val="24"/>
                <w:szCs w:val="24"/>
              </w:rPr>
            </w:pPr>
          </w:p>
          <w:p w14:paraId="781F675D">
            <w:pPr>
              <w:jc w:val="center"/>
              <w:rPr>
                <w:rFonts w:ascii="Times New Roman" w:hAnsi="Times New Roman"/>
                <w:b/>
                <w:color w:val="auto"/>
                <w:sz w:val="24"/>
                <w:szCs w:val="24"/>
              </w:rPr>
            </w:pPr>
          </w:p>
          <w:p w14:paraId="67CD5A9C">
            <w:pPr>
              <w:jc w:val="center"/>
              <w:rPr>
                <w:rFonts w:ascii="Times New Roman" w:hAnsi="Times New Roman"/>
                <w:b/>
                <w:color w:val="auto"/>
                <w:sz w:val="24"/>
                <w:szCs w:val="24"/>
              </w:rPr>
            </w:pPr>
          </w:p>
          <w:p w14:paraId="4C1A0E61">
            <w:pPr>
              <w:jc w:val="center"/>
              <w:rPr>
                <w:rFonts w:ascii="Times New Roman" w:hAnsi="Times New Roman"/>
                <w:b/>
                <w:color w:val="auto"/>
                <w:sz w:val="24"/>
                <w:szCs w:val="24"/>
              </w:rPr>
            </w:pPr>
          </w:p>
          <w:p w14:paraId="1EA674CF">
            <w:pPr>
              <w:jc w:val="center"/>
              <w:rPr>
                <w:rFonts w:ascii="Times New Roman" w:hAnsi="Times New Roman"/>
                <w:b/>
                <w:color w:val="auto"/>
                <w:sz w:val="24"/>
                <w:szCs w:val="24"/>
              </w:rPr>
            </w:pPr>
          </w:p>
          <w:p w14:paraId="72DBED4E">
            <w:pPr>
              <w:jc w:val="center"/>
              <w:rPr>
                <w:rFonts w:ascii="Times New Roman" w:hAnsi="Times New Roman"/>
                <w:b/>
                <w:color w:val="auto"/>
                <w:sz w:val="24"/>
                <w:szCs w:val="24"/>
              </w:rPr>
            </w:pPr>
          </w:p>
          <w:p w14:paraId="7A2BCDCE">
            <w:pPr>
              <w:jc w:val="center"/>
              <w:rPr>
                <w:rFonts w:ascii="Times New Roman" w:hAnsi="Times New Roman"/>
                <w:b/>
                <w:color w:val="auto"/>
                <w:sz w:val="24"/>
                <w:szCs w:val="24"/>
              </w:rPr>
            </w:pPr>
          </w:p>
          <w:p w14:paraId="7D835D6E">
            <w:pPr>
              <w:jc w:val="center"/>
              <w:rPr>
                <w:rFonts w:ascii="Times New Roman" w:hAnsi="Times New Roman"/>
                <w:b/>
                <w:color w:val="auto"/>
                <w:sz w:val="24"/>
                <w:szCs w:val="24"/>
              </w:rPr>
            </w:pPr>
          </w:p>
          <w:p w14:paraId="33A44012">
            <w:pPr>
              <w:jc w:val="center"/>
              <w:rPr>
                <w:rFonts w:ascii="Times New Roman" w:hAnsi="Times New Roman"/>
                <w:b/>
                <w:color w:val="auto"/>
                <w:sz w:val="24"/>
                <w:szCs w:val="24"/>
              </w:rPr>
            </w:pPr>
          </w:p>
          <w:p w14:paraId="3F3AB6CD">
            <w:pPr>
              <w:jc w:val="center"/>
              <w:rPr>
                <w:rFonts w:ascii="Times New Roman" w:hAnsi="Times New Roman"/>
                <w:b/>
                <w:color w:val="auto"/>
                <w:sz w:val="24"/>
                <w:szCs w:val="24"/>
              </w:rPr>
            </w:pPr>
          </w:p>
          <w:p w14:paraId="4A839C28">
            <w:pPr>
              <w:jc w:val="center"/>
              <w:rPr>
                <w:rFonts w:ascii="Times New Roman" w:hAnsi="Times New Roman"/>
                <w:b/>
                <w:color w:val="auto"/>
                <w:sz w:val="24"/>
                <w:szCs w:val="24"/>
              </w:rPr>
            </w:pPr>
          </w:p>
          <w:p w14:paraId="360A8186">
            <w:pPr>
              <w:jc w:val="center"/>
              <w:rPr>
                <w:rFonts w:ascii="Times New Roman" w:hAnsi="Times New Roman"/>
                <w:b/>
                <w:color w:val="auto"/>
                <w:sz w:val="24"/>
                <w:szCs w:val="24"/>
              </w:rPr>
            </w:pPr>
          </w:p>
          <w:p w14:paraId="4C17C719">
            <w:pPr>
              <w:jc w:val="center"/>
              <w:rPr>
                <w:rFonts w:ascii="Times New Roman" w:hAnsi="Times New Roman"/>
                <w:b/>
                <w:color w:val="auto"/>
                <w:sz w:val="24"/>
                <w:szCs w:val="24"/>
              </w:rPr>
            </w:pPr>
          </w:p>
          <w:p w14:paraId="473DE69E">
            <w:pPr>
              <w:jc w:val="center"/>
              <w:rPr>
                <w:rFonts w:ascii="Times New Roman" w:hAnsi="Times New Roman"/>
                <w:b/>
                <w:color w:val="auto"/>
                <w:sz w:val="24"/>
                <w:szCs w:val="24"/>
              </w:rPr>
            </w:pPr>
          </w:p>
          <w:p w14:paraId="2CC521C1">
            <w:pPr>
              <w:jc w:val="center"/>
              <w:rPr>
                <w:rFonts w:ascii="Times New Roman" w:hAnsi="Times New Roman"/>
                <w:b/>
                <w:color w:val="auto"/>
                <w:sz w:val="24"/>
                <w:szCs w:val="24"/>
              </w:rPr>
            </w:pPr>
          </w:p>
          <w:p w14:paraId="21ACA13D">
            <w:pPr>
              <w:jc w:val="center"/>
              <w:rPr>
                <w:rFonts w:ascii="Times New Roman" w:hAnsi="Times New Roman"/>
                <w:b/>
                <w:color w:val="auto"/>
                <w:sz w:val="24"/>
                <w:szCs w:val="24"/>
              </w:rPr>
            </w:pPr>
          </w:p>
          <w:p w14:paraId="76B25682">
            <w:pPr>
              <w:jc w:val="center"/>
              <w:rPr>
                <w:rFonts w:ascii="Times New Roman" w:hAnsi="Times New Roman"/>
                <w:b/>
                <w:color w:val="auto"/>
                <w:sz w:val="24"/>
                <w:szCs w:val="24"/>
              </w:rPr>
            </w:pPr>
          </w:p>
          <w:p w14:paraId="32AD9FA8">
            <w:pPr>
              <w:jc w:val="center"/>
              <w:rPr>
                <w:rFonts w:ascii="Times New Roman" w:hAnsi="Times New Roman"/>
                <w:b/>
                <w:color w:val="auto"/>
                <w:sz w:val="24"/>
                <w:szCs w:val="24"/>
              </w:rPr>
            </w:pPr>
          </w:p>
          <w:p w14:paraId="49D2AF32">
            <w:pPr>
              <w:jc w:val="center"/>
              <w:rPr>
                <w:rFonts w:ascii="Times New Roman" w:hAnsi="Times New Roman"/>
                <w:b/>
                <w:color w:val="auto"/>
                <w:sz w:val="24"/>
                <w:szCs w:val="24"/>
              </w:rPr>
            </w:pPr>
          </w:p>
          <w:p w14:paraId="3297EFBA">
            <w:pPr>
              <w:jc w:val="center"/>
              <w:rPr>
                <w:rFonts w:ascii="Times New Roman" w:hAnsi="Times New Roman"/>
                <w:b/>
                <w:color w:val="auto"/>
                <w:sz w:val="24"/>
                <w:szCs w:val="24"/>
              </w:rPr>
            </w:pPr>
          </w:p>
          <w:p w14:paraId="09D46EE4">
            <w:pPr>
              <w:jc w:val="center"/>
              <w:rPr>
                <w:rFonts w:ascii="Times New Roman" w:hAnsi="Times New Roman"/>
                <w:b/>
                <w:color w:val="auto"/>
                <w:sz w:val="24"/>
                <w:szCs w:val="24"/>
              </w:rPr>
            </w:pPr>
          </w:p>
          <w:p w14:paraId="35AEDCC6">
            <w:pPr>
              <w:jc w:val="center"/>
              <w:rPr>
                <w:rFonts w:ascii="Times New Roman" w:hAnsi="Times New Roman"/>
                <w:b/>
                <w:color w:val="auto"/>
                <w:sz w:val="24"/>
                <w:szCs w:val="24"/>
              </w:rPr>
            </w:pPr>
          </w:p>
          <w:p w14:paraId="10585766">
            <w:pPr>
              <w:jc w:val="center"/>
              <w:rPr>
                <w:rFonts w:ascii="Times New Roman" w:hAnsi="Times New Roman"/>
                <w:b/>
                <w:color w:val="auto"/>
                <w:sz w:val="24"/>
                <w:szCs w:val="24"/>
              </w:rPr>
            </w:pPr>
          </w:p>
          <w:p w14:paraId="281D91C3">
            <w:pPr>
              <w:jc w:val="center"/>
              <w:rPr>
                <w:rFonts w:ascii="Times New Roman" w:hAnsi="Times New Roman"/>
                <w:b/>
                <w:color w:val="auto"/>
                <w:sz w:val="24"/>
                <w:szCs w:val="24"/>
              </w:rPr>
            </w:pPr>
          </w:p>
          <w:p w14:paraId="116DB80A">
            <w:pPr>
              <w:jc w:val="center"/>
              <w:rPr>
                <w:rFonts w:ascii="Times New Roman" w:hAnsi="Times New Roman"/>
                <w:b/>
                <w:color w:val="auto"/>
                <w:sz w:val="24"/>
                <w:szCs w:val="24"/>
              </w:rPr>
            </w:pPr>
          </w:p>
          <w:p w14:paraId="393A1513">
            <w:pPr>
              <w:jc w:val="center"/>
              <w:rPr>
                <w:rFonts w:ascii="Times New Roman" w:hAnsi="Times New Roman"/>
                <w:b/>
                <w:color w:val="auto"/>
                <w:sz w:val="24"/>
                <w:szCs w:val="24"/>
              </w:rPr>
            </w:pPr>
          </w:p>
          <w:p w14:paraId="044751A6">
            <w:pPr>
              <w:jc w:val="center"/>
              <w:rPr>
                <w:rFonts w:ascii="Times New Roman" w:hAnsi="Times New Roman"/>
                <w:b/>
                <w:color w:val="auto"/>
                <w:sz w:val="24"/>
                <w:szCs w:val="24"/>
              </w:rPr>
            </w:pPr>
          </w:p>
          <w:p w14:paraId="3F13F551">
            <w:pPr>
              <w:jc w:val="center"/>
              <w:rPr>
                <w:rFonts w:ascii="Times New Roman" w:hAnsi="Times New Roman"/>
                <w:b/>
                <w:color w:val="auto"/>
                <w:sz w:val="24"/>
                <w:szCs w:val="24"/>
              </w:rPr>
            </w:pPr>
          </w:p>
          <w:p w14:paraId="7BB6FE1D">
            <w:pPr>
              <w:jc w:val="center"/>
              <w:rPr>
                <w:rFonts w:ascii="Times New Roman" w:hAnsi="Times New Roman"/>
                <w:b/>
                <w:color w:val="auto"/>
                <w:sz w:val="24"/>
                <w:szCs w:val="24"/>
              </w:rPr>
            </w:pPr>
            <w:r>
              <w:rPr>
                <w:rFonts w:ascii="Times New Roman" w:hAnsi="Times New Roman"/>
                <w:b/>
                <w:color w:val="auto"/>
                <w:sz w:val="24"/>
                <w:szCs w:val="24"/>
              </w:rPr>
              <w:t>施工期生态环境影响分析</w:t>
            </w:r>
          </w:p>
          <w:p w14:paraId="363F88A2">
            <w:pPr>
              <w:jc w:val="center"/>
              <w:rPr>
                <w:rFonts w:ascii="Times New Roman" w:hAnsi="Times New Roman"/>
                <w:b/>
                <w:color w:val="auto"/>
                <w:sz w:val="24"/>
                <w:szCs w:val="24"/>
              </w:rPr>
            </w:pPr>
          </w:p>
          <w:p w14:paraId="3E69907C">
            <w:pPr>
              <w:jc w:val="center"/>
              <w:rPr>
                <w:rFonts w:ascii="Times New Roman" w:hAnsi="Times New Roman"/>
                <w:b/>
                <w:color w:val="auto"/>
                <w:sz w:val="24"/>
                <w:szCs w:val="24"/>
              </w:rPr>
            </w:pPr>
          </w:p>
        </w:tc>
        <w:tc>
          <w:tcPr>
            <w:tcW w:w="8648" w:type="dxa"/>
            <w:shd w:val="clear" w:color="auto" w:fill="auto"/>
            <w:vAlign w:val="center"/>
          </w:tcPr>
          <w:p w14:paraId="72D8B285">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4.1施工期影响分析</w:t>
            </w:r>
          </w:p>
          <w:p w14:paraId="7E45917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本项目为输变电建设项目，即将高压电流通过输电线路的导线送入另一变电站。项目施工期产污环节示意图见图</w:t>
            </w:r>
            <w:r>
              <w:rPr>
                <w:rFonts w:hint="eastAsia" w:ascii="Times New Roman" w:hAnsi="Times New Roman"/>
                <w:color w:val="auto"/>
                <w:sz w:val="24"/>
                <w:szCs w:val="24"/>
              </w:rPr>
              <w:t>2-3</w:t>
            </w:r>
            <w:r>
              <w:rPr>
                <w:rFonts w:ascii="Times New Roman" w:hAnsi="Times New Roman"/>
                <w:color w:val="auto"/>
                <w:sz w:val="24"/>
                <w:szCs w:val="24"/>
              </w:rPr>
              <w:t>。</w:t>
            </w:r>
          </w:p>
          <w:p w14:paraId="4DEAC438">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4.1.1施工期</w:t>
            </w:r>
            <w:r>
              <w:rPr>
                <w:rFonts w:ascii="Times New Roman" w:hAnsi="Times New Roman"/>
                <w:b/>
                <w:color w:val="auto"/>
                <w:sz w:val="24"/>
              </w:rPr>
              <w:t>产污环节、污染源、项目特点分析</w:t>
            </w:r>
          </w:p>
          <w:p w14:paraId="42767C8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输变电工程施工期土建施工、设备安装等过程中若不采取有效的防治措施可能产生生态（包括土地占用、植物、动物）、扬尘、施工噪声、废污水以及固体废物等影响。本工程施工期对环境产生的影响如下：</w:t>
            </w:r>
          </w:p>
          <w:p w14:paraId="5693F4E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（1）生态环境：工程永久占地及施工场地、牵张场、</w:t>
            </w:r>
            <w:r>
              <w:rPr>
                <w:rFonts w:hint="eastAsia" w:ascii="Times New Roman" w:hAnsi="Times New Roman"/>
                <w:color w:val="auto"/>
                <w:sz w:val="24"/>
                <w:szCs w:val="24"/>
              </w:rPr>
              <w:t>人抬</w:t>
            </w:r>
            <w:r>
              <w:rPr>
                <w:rFonts w:ascii="Times New Roman" w:hAnsi="Times New Roman"/>
                <w:color w:val="auto"/>
                <w:sz w:val="24"/>
                <w:szCs w:val="24"/>
              </w:rPr>
              <w:t>道路等临时占地会损坏原地表植被。同时随着工程的开工，施工机械、施工人员陆续进场，将破坏和改变局部原有野生动物的生存、栖息环境，施工机械噪声会驱赶野生动物，使施工区域的动物被迫暂时迁移到适宜的环境中去栖息和繁衍。</w:t>
            </w:r>
          </w:p>
          <w:p w14:paraId="0526FBB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（2）施工噪声：施工机械产生。</w:t>
            </w:r>
          </w:p>
          <w:p w14:paraId="43926A8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（3）施工扬尘：线路杆塔基础开挖以及设备运输过程中产生。</w:t>
            </w:r>
          </w:p>
          <w:p w14:paraId="630C88F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（4）施工废污水：施工废水及施工人员的生活污水。</w:t>
            </w:r>
          </w:p>
          <w:p w14:paraId="72F03F9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（5）固体废物：杆塔基础施工可能产生的临时土方和建筑垃圾，施工人员的生活垃圾等。</w:t>
            </w:r>
          </w:p>
          <w:p w14:paraId="05C4F428">
            <w:pPr>
              <w:adjustRightInd w:val="0"/>
              <w:snapToGrid w:val="0"/>
              <w:spacing w:line="440" w:lineRule="exact"/>
              <w:ind w:firstLine="480" w:firstLineChars="200"/>
              <w:rPr>
                <w:rFonts w:ascii="Times New Roman" w:hAnsi="Times New Roman"/>
                <w:color w:val="auto"/>
                <w:sz w:val="20"/>
                <w:szCs w:val="24"/>
              </w:rPr>
            </w:pPr>
            <w:r>
              <w:rPr>
                <w:rFonts w:ascii="Times New Roman" w:hAnsi="Times New Roman"/>
                <w:color w:val="auto"/>
                <w:sz w:val="24"/>
                <w:szCs w:val="24"/>
              </w:rPr>
              <w:t>本工程为</w:t>
            </w:r>
            <w:r>
              <w:rPr>
                <w:rFonts w:hint="eastAsia" w:ascii="Times New Roman" w:hAnsi="Times New Roman"/>
                <w:color w:val="auto"/>
                <w:sz w:val="24"/>
                <w:szCs w:val="24"/>
              </w:rPr>
              <w:t>22</w:t>
            </w:r>
            <w:r>
              <w:rPr>
                <w:rFonts w:ascii="Times New Roman" w:hAnsi="Times New Roman"/>
                <w:color w:val="auto"/>
                <w:sz w:val="24"/>
                <w:szCs w:val="24"/>
              </w:rPr>
              <w:t>0</w:t>
            </w:r>
            <w:r>
              <w:rPr>
                <w:rFonts w:hint="eastAsia" w:ascii="Times New Roman" w:hAnsi="Times New Roman"/>
                <w:color w:val="auto"/>
                <w:sz w:val="24"/>
                <w:szCs w:val="24"/>
              </w:rPr>
              <w:t>kV</w:t>
            </w:r>
            <w:r>
              <w:rPr>
                <w:rFonts w:ascii="Times New Roman" w:hAnsi="Times New Roman"/>
                <w:color w:val="auto"/>
                <w:sz w:val="24"/>
                <w:szCs w:val="24"/>
              </w:rPr>
              <w:t>输变</w:t>
            </w:r>
            <w:r>
              <w:rPr>
                <w:rFonts w:hint="eastAsia" w:ascii="Times New Roman" w:hAnsi="Times New Roman"/>
                <w:color w:val="auto"/>
                <w:sz w:val="24"/>
                <w:szCs w:val="24"/>
              </w:rPr>
              <w:t>线路</w:t>
            </w:r>
            <w:r>
              <w:rPr>
                <w:rFonts w:ascii="Times New Roman" w:hAnsi="Times New Roman"/>
                <w:color w:val="auto"/>
                <w:sz w:val="24"/>
                <w:szCs w:val="24"/>
              </w:rPr>
              <w:t>工程，施工期可能产生一定的生态环境和声环境、环境空气、水环境、固体废物等影响，但采取相应生态保护和污染防治措施后，施工期的环境影响是短暂的，并可在一定时间内得到恢复。</w:t>
            </w:r>
          </w:p>
          <w:p w14:paraId="6FD743B9">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4.1.2施工期生态环境影响分析</w:t>
            </w:r>
          </w:p>
          <w:p w14:paraId="304DFBF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本项目施工期对周边生态环境的影响主要体现在项目临时占地、永久占地及施工活动带来的影响。施工期，施工人员野外用火可能会引发森林草原火灾，造成</w:t>
            </w:r>
            <w:r>
              <w:rPr>
                <w:rFonts w:ascii="Times New Roman" w:hAnsi="Times New Roman"/>
                <w:bCs/>
                <w:color w:val="auto"/>
                <w:sz w:val="24"/>
                <w:szCs w:val="24"/>
              </w:rPr>
              <w:t>植被的破坏、林木损失</w:t>
            </w:r>
            <w:r>
              <w:rPr>
                <w:rFonts w:ascii="Times New Roman" w:hAnsi="Times New Roman"/>
                <w:color w:val="auto"/>
                <w:sz w:val="24"/>
                <w:szCs w:val="24"/>
              </w:rPr>
              <w:t>。线路塔基等永久占地处的开挖活动和牵张场地等临时占地将破坏地表植被，干扰野生动物的栖息。</w:t>
            </w:r>
          </w:p>
          <w:p w14:paraId="3AC7A146">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（1）对土地利用影响分析</w:t>
            </w:r>
          </w:p>
          <w:p w14:paraId="1782C7E9">
            <w:pPr>
              <w:overflowPunct w:val="0"/>
              <w:topLinePunct/>
              <w:autoSpaceDE w:val="0"/>
              <w:autoSpaceDN w:val="0"/>
              <w:adjustRightInd w:val="0"/>
              <w:snapToGrid w:val="0"/>
              <w:spacing w:line="440" w:lineRule="exact"/>
              <w:ind w:firstLine="480" w:firstLineChars="200"/>
              <w:rPr>
                <w:rFonts w:ascii="Times New Roman" w:hAnsi="Times New Roman"/>
                <w:color w:val="auto"/>
                <w:szCs w:val="24"/>
                <w:lang w:bidi="ar"/>
              </w:rPr>
            </w:pPr>
            <w:r>
              <w:rPr>
                <w:rFonts w:ascii="Times New Roman" w:hAnsi="Times New Roman"/>
                <w:color w:val="auto"/>
                <w:sz w:val="24"/>
                <w:szCs w:val="24"/>
              </w:rPr>
              <w:t>工程总占地面积为0.</w:t>
            </w:r>
            <w:r>
              <w:rPr>
                <w:rFonts w:hint="eastAsia" w:ascii="Times New Roman" w:hAnsi="Times New Roman"/>
                <w:color w:val="auto"/>
                <w:sz w:val="24"/>
                <w:szCs w:val="24"/>
              </w:rPr>
              <w:t>92</w:t>
            </w:r>
            <w:r>
              <w:rPr>
                <w:rFonts w:ascii="Times New Roman" w:hAnsi="Times New Roman"/>
                <w:color w:val="auto"/>
                <w:sz w:val="24"/>
                <w:szCs w:val="24"/>
              </w:rPr>
              <w:t>hm</w:t>
            </w:r>
            <w:r>
              <w:rPr>
                <w:rFonts w:ascii="Times New Roman" w:hAnsi="Times New Roman"/>
                <w:color w:val="auto"/>
                <w:sz w:val="24"/>
                <w:szCs w:val="24"/>
                <w:vertAlign w:val="superscript"/>
              </w:rPr>
              <w:t>2</w:t>
            </w:r>
            <w:r>
              <w:rPr>
                <w:rFonts w:ascii="Times New Roman" w:hAnsi="Times New Roman"/>
                <w:color w:val="auto"/>
                <w:sz w:val="24"/>
                <w:szCs w:val="24"/>
              </w:rPr>
              <w:t>，其中永久占地0.</w:t>
            </w:r>
            <w:r>
              <w:rPr>
                <w:rFonts w:hint="eastAsia" w:ascii="Times New Roman" w:hAnsi="Times New Roman"/>
                <w:color w:val="auto"/>
                <w:sz w:val="24"/>
                <w:szCs w:val="24"/>
              </w:rPr>
              <w:t>38</w:t>
            </w:r>
            <w:r>
              <w:rPr>
                <w:rFonts w:ascii="Times New Roman" w:hAnsi="Times New Roman"/>
                <w:color w:val="auto"/>
                <w:sz w:val="24"/>
                <w:szCs w:val="24"/>
              </w:rPr>
              <w:t>hm²，临时占地0.</w:t>
            </w:r>
            <w:r>
              <w:rPr>
                <w:rFonts w:hint="eastAsia" w:ascii="Times New Roman" w:hAnsi="Times New Roman"/>
                <w:color w:val="auto"/>
                <w:sz w:val="24"/>
                <w:szCs w:val="24"/>
              </w:rPr>
              <w:t>54</w:t>
            </w:r>
            <w:r>
              <w:rPr>
                <w:rFonts w:ascii="Times New Roman" w:hAnsi="Times New Roman"/>
                <w:color w:val="auto"/>
                <w:sz w:val="24"/>
                <w:szCs w:val="24"/>
              </w:rPr>
              <w:t>hm²，永久占地主要为塔基占地，工程占用乔木林地面积0.38hm²，占评价区同类型土地利用面积的0.05%；工程占用旱地面积0.07hm²，占评价区同类型土地利用面积的0.02%；工程占用其他草地面积0.38hm²，占评价区同类型土地利用面积的0.14%。</w:t>
            </w:r>
            <w:r>
              <w:rPr>
                <w:rFonts w:ascii="Times New Roman" w:hAnsi="Times New Roman"/>
                <w:color w:val="auto"/>
                <w:sz w:val="24"/>
                <w:szCs w:val="24"/>
                <w:lang w:bidi="ar"/>
              </w:rPr>
              <w:t>工程永久占地及临时占地类型见下表。</w:t>
            </w:r>
          </w:p>
          <w:p w14:paraId="0F3BE215">
            <w:pPr>
              <w:adjustRightInd w:val="0"/>
              <w:snapToGrid w:val="0"/>
              <w:ind w:firstLine="482"/>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 xml:space="preserve">4-1 </w:t>
            </w:r>
            <w:r>
              <w:rPr>
                <w:rFonts w:ascii="Times New Roman" w:hAnsi="Times New Roman"/>
                <w:b/>
                <w:color w:val="auto"/>
                <w:sz w:val="24"/>
                <w:szCs w:val="24"/>
              </w:rPr>
              <w:t xml:space="preserve"> 工程对土地利用影响一览表  单位：hm²</w:t>
            </w:r>
          </w:p>
          <w:tbl>
            <w:tblPr>
              <w:tblStyle w:val="27"/>
              <w:tblW w:w="4998"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4"/>
              <w:gridCol w:w="1585"/>
              <w:gridCol w:w="1049"/>
              <w:gridCol w:w="597"/>
              <w:gridCol w:w="850"/>
              <w:gridCol w:w="840"/>
              <w:gridCol w:w="688"/>
              <w:gridCol w:w="1280"/>
              <w:gridCol w:w="846"/>
            </w:tblGrid>
            <w:tr w14:paraId="75926D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restart"/>
                  <w:tcBorders>
                    <w:tl2br w:val="nil"/>
                    <w:tr2bl w:val="nil"/>
                  </w:tcBorders>
                  <w:shd w:val="clear" w:color="auto" w:fill="auto"/>
                  <w:noWrap/>
                  <w:vAlign w:val="center"/>
                </w:tcPr>
                <w:p w14:paraId="075CE818">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一级类</w:t>
                  </w:r>
                </w:p>
              </w:tc>
              <w:tc>
                <w:tcPr>
                  <w:tcW w:w="940" w:type="pct"/>
                  <w:vMerge w:val="restart"/>
                  <w:tcBorders>
                    <w:tl2br w:val="nil"/>
                    <w:tr2bl w:val="nil"/>
                  </w:tcBorders>
                  <w:shd w:val="clear" w:color="auto" w:fill="auto"/>
                  <w:noWrap/>
                  <w:vAlign w:val="center"/>
                </w:tcPr>
                <w:p w14:paraId="1240977F">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二级类</w:t>
                  </w:r>
                </w:p>
              </w:tc>
              <w:tc>
                <w:tcPr>
                  <w:tcW w:w="622" w:type="pct"/>
                  <w:vMerge w:val="restart"/>
                  <w:tcBorders>
                    <w:tl2br w:val="nil"/>
                    <w:tr2bl w:val="nil"/>
                  </w:tcBorders>
                  <w:shd w:val="clear" w:color="auto" w:fill="auto"/>
                  <w:vAlign w:val="center"/>
                </w:tcPr>
                <w:p w14:paraId="53008E25">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评价区面积</w:t>
                  </w:r>
                </w:p>
              </w:tc>
              <w:tc>
                <w:tcPr>
                  <w:tcW w:w="1356" w:type="pct"/>
                  <w:gridSpan w:val="3"/>
                  <w:tcBorders>
                    <w:tl2br w:val="nil"/>
                    <w:tr2bl w:val="nil"/>
                  </w:tcBorders>
                  <w:shd w:val="clear" w:color="auto" w:fill="auto"/>
                  <w:vAlign w:val="center"/>
                </w:tcPr>
                <w:p w14:paraId="575A0552">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占用面积</w:t>
                  </w:r>
                </w:p>
              </w:tc>
              <w:tc>
                <w:tcPr>
                  <w:tcW w:w="1669" w:type="pct"/>
                  <w:gridSpan w:val="3"/>
                  <w:tcBorders>
                    <w:tl2br w:val="nil"/>
                    <w:tr2bl w:val="nil"/>
                  </w:tcBorders>
                  <w:shd w:val="clear" w:color="auto" w:fill="auto"/>
                  <w:vAlign w:val="center"/>
                </w:tcPr>
                <w:p w14:paraId="338AF980">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占评价区同类比例</w:t>
                  </w:r>
                  <w:r>
                    <w:rPr>
                      <w:rFonts w:ascii="Times New Roman" w:hAnsi="Times New Roman"/>
                      <w:b/>
                      <w:bCs/>
                      <w:color w:val="auto"/>
                      <w:szCs w:val="21"/>
                    </w:rPr>
                    <w:t>(%)</w:t>
                  </w:r>
                </w:p>
              </w:tc>
            </w:tr>
            <w:tr w14:paraId="165BC2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411" w:type="pct"/>
                  <w:vMerge w:val="continue"/>
                  <w:tcBorders>
                    <w:tl2br w:val="nil"/>
                    <w:tr2bl w:val="nil"/>
                  </w:tcBorders>
                  <w:shd w:val="clear" w:color="auto" w:fill="auto"/>
                  <w:noWrap/>
                  <w:vAlign w:val="center"/>
                </w:tcPr>
                <w:p w14:paraId="0D895F2E">
                  <w:pPr>
                    <w:adjustRightInd w:val="0"/>
                    <w:snapToGrid w:val="0"/>
                    <w:jc w:val="center"/>
                    <w:rPr>
                      <w:rFonts w:ascii="Times New Roman" w:hAnsi="Times New Roman"/>
                      <w:b/>
                      <w:bCs/>
                      <w:color w:val="auto"/>
                      <w:szCs w:val="21"/>
                    </w:rPr>
                  </w:pPr>
                </w:p>
              </w:tc>
              <w:tc>
                <w:tcPr>
                  <w:tcW w:w="940" w:type="pct"/>
                  <w:vMerge w:val="continue"/>
                  <w:tcBorders>
                    <w:tl2br w:val="nil"/>
                    <w:tr2bl w:val="nil"/>
                  </w:tcBorders>
                  <w:shd w:val="clear" w:color="auto" w:fill="auto"/>
                  <w:noWrap/>
                  <w:vAlign w:val="center"/>
                </w:tcPr>
                <w:p w14:paraId="6A152812">
                  <w:pPr>
                    <w:adjustRightInd w:val="0"/>
                    <w:snapToGrid w:val="0"/>
                    <w:jc w:val="center"/>
                    <w:rPr>
                      <w:rFonts w:ascii="Times New Roman" w:hAnsi="Times New Roman"/>
                      <w:b/>
                      <w:bCs/>
                      <w:color w:val="auto"/>
                      <w:szCs w:val="21"/>
                    </w:rPr>
                  </w:pPr>
                </w:p>
              </w:tc>
              <w:tc>
                <w:tcPr>
                  <w:tcW w:w="622" w:type="pct"/>
                  <w:vMerge w:val="continue"/>
                  <w:tcBorders>
                    <w:tl2br w:val="nil"/>
                    <w:tr2bl w:val="nil"/>
                  </w:tcBorders>
                  <w:shd w:val="clear" w:color="auto" w:fill="auto"/>
                  <w:vAlign w:val="center"/>
                </w:tcPr>
                <w:p w14:paraId="48AF3BDD">
                  <w:pPr>
                    <w:adjustRightInd w:val="0"/>
                    <w:snapToGrid w:val="0"/>
                    <w:jc w:val="center"/>
                    <w:rPr>
                      <w:rFonts w:ascii="Times New Roman" w:hAnsi="Times New Roman"/>
                      <w:b/>
                      <w:bCs/>
                      <w:color w:val="auto"/>
                      <w:szCs w:val="21"/>
                    </w:rPr>
                  </w:pPr>
                </w:p>
              </w:tc>
              <w:tc>
                <w:tcPr>
                  <w:tcW w:w="354" w:type="pct"/>
                  <w:vMerge w:val="restart"/>
                  <w:tcBorders>
                    <w:tl2br w:val="nil"/>
                    <w:tr2bl w:val="nil"/>
                  </w:tcBorders>
                  <w:shd w:val="clear" w:color="auto" w:fill="auto"/>
                  <w:vAlign w:val="center"/>
                </w:tcPr>
                <w:p w14:paraId="05987AC2">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合计</w:t>
                  </w:r>
                </w:p>
              </w:tc>
              <w:tc>
                <w:tcPr>
                  <w:tcW w:w="504" w:type="pct"/>
                  <w:vMerge w:val="restart"/>
                  <w:tcBorders>
                    <w:tl2br w:val="nil"/>
                    <w:tr2bl w:val="nil"/>
                  </w:tcBorders>
                  <w:shd w:val="clear" w:color="auto" w:fill="auto"/>
                  <w:vAlign w:val="center"/>
                </w:tcPr>
                <w:p w14:paraId="45AA266A">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永久占地</w:t>
                  </w:r>
                </w:p>
              </w:tc>
              <w:tc>
                <w:tcPr>
                  <w:tcW w:w="498" w:type="pct"/>
                  <w:vMerge w:val="restart"/>
                  <w:tcBorders>
                    <w:tl2br w:val="nil"/>
                    <w:tr2bl w:val="nil"/>
                  </w:tcBorders>
                  <w:shd w:val="clear" w:color="auto" w:fill="auto"/>
                  <w:vAlign w:val="center"/>
                </w:tcPr>
                <w:p w14:paraId="2B90845B">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临时</w:t>
                  </w:r>
                </w:p>
              </w:tc>
              <w:tc>
                <w:tcPr>
                  <w:tcW w:w="408" w:type="pct"/>
                  <w:vMerge w:val="restart"/>
                  <w:tcBorders>
                    <w:tl2br w:val="nil"/>
                    <w:tr2bl w:val="nil"/>
                  </w:tcBorders>
                  <w:shd w:val="clear" w:color="auto" w:fill="auto"/>
                  <w:vAlign w:val="center"/>
                </w:tcPr>
                <w:p w14:paraId="62325459">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合计</w:t>
                  </w:r>
                </w:p>
              </w:tc>
              <w:tc>
                <w:tcPr>
                  <w:tcW w:w="759" w:type="pct"/>
                  <w:vMerge w:val="restart"/>
                  <w:tcBorders>
                    <w:tl2br w:val="nil"/>
                    <w:tr2bl w:val="nil"/>
                  </w:tcBorders>
                  <w:shd w:val="clear" w:color="auto" w:fill="auto"/>
                  <w:vAlign w:val="center"/>
                </w:tcPr>
                <w:p w14:paraId="3FDACA80">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永久占地</w:t>
                  </w:r>
                </w:p>
              </w:tc>
              <w:tc>
                <w:tcPr>
                  <w:tcW w:w="501" w:type="pct"/>
                  <w:vMerge w:val="restart"/>
                  <w:tcBorders>
                    <w:tl2br w:val="nil"/>
                    <w:tr2bl w:val="nil"/>
                  </w:tcBorders>
                  <w:shd w:val="clear" w:color="auto" w:fill="auto"/>
                  <w:vAlign w:val="center"/>
                </w:tcPr>
                <w:p w14:paraId="4797671E">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临时占地</w:t>
                  </w:r>
                </w:p>
              </w:tc>
            </w:tr>
            <w:tr w14:paraId="58DF5A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411" w:type="pct"/>
                  <w:vMerge w:val="continue"/>
                  <w:tcBorders>
                    <w:tl2br w:val="nil"/>
                    <w:tr2bl w:val="nil"/>
                  </w:tcBorders>
                  <w:shd w:val="clear" w:color="auto" w:fill="auto"/>
                  <w:noWrap/>
                  <w:vAlign w:val="center"/>
                </w:tcPr>
                <w:p w14:paraId="594E7CE2">
                  <w:pPr>
                    <w:adjustRightInd w:val="0"/>
                    <w:snapToGrid w:val="0"/>
                    <w:jc w:val="center"/>
                    <w:rPr>
                      <w:rFonts w:ascii="Times New Roman" w:hAnsi="Times New Roman"/>
                      <w:color w:val="auto"/>
                      <w:szCs w:val="21"/>
                    </w:rPr>
                  </w:pPr>
                </w:p>
              </w:tc>
              <w:tc>
                <w:tcPr>
                  <w:tcW w:w="940" w:type="pct"/>
                  <w:vMerge w:val="continue"/>
                  <w:tcBorders>
                    <w:tl2br w:val="nil"/>
                    <w:tr2bl w:val="nil"/>
                  </w:tcBorders>
                  <w:shd w:val="clear" w:color="auto" w:fill="auto"/>
                  <w:noWrap/>
                  <w:vAlign w:val="center"/>
                </w:tcPr>
                <w:p w14:paraId="3319CE95">
                  <w:pPr>
                    <w:adjustRightInd w:val="0"/>
                    <w:snapToGrid w:val="0"/>
                    <w:jc w:val="center"/>
                    <w:rPr>
                      <w:rFonts w:ascii="Times New Roman" w:hAnsi="Times New Roman"/>
                      <w:color w:val="auto"/>
                      <w:szCs w:val="21"/>
                    </w:rPr>
                  </w:pPr>
                </w:p>
              </w:tc>
              <w:tc>
                <w:tcPr>
                  <w:tcW w:w="622" w:type="pct"/>
                  <w:vMerge w:val="continue"/>
                  <w:tcBorders>
                    <w:tl2br w:val="nil"/>
                    <w:tr2bl w:val="nil"/>
                  </w:tcBorders>
                  <w:shd w:val="clear" w:color="auto" w:fill="auto"/>
                  <w:vAlign w:val="center"/>
                </w:tcPr>
                <w:p w14:paraId="0016F3DD">
                  <w:pPr>
                    <w:adjustRightInd w:val="0"/>
                    <w:snapToGrid w:val="0"/>
                    <w:jc w:val="center"/>
                    <w:rPr>
                      <w:rFonts w:ascii="Times New Roman" w:hAnsi="Times New Roman"/>
                      <w:color w:val="auto"/>
                      <w:szCs w:val="21"/>
                    </w:rPr>
                  </w:pPr>
                </w:p>
              </w:tc>
              <w:tc>
                <w:tcPr>
                  <w:tcW w:w="354" w:type="pct"/>
                  <w:vMerge w:val="continue"/>
                  <w:tcBorders>
                    <w:tl2br w:val="nil"/>
                    <w:tr2bl w:val="nil"/>
                  </w:tcBorders>
                  <w:shd w:val="clear" w:color="auto" w:fill="auto"/>
                  <w:vAlign w:val="center"/>
                </w:tcPr>
                <w:p w14:paraId="0B960E93">
                  <w:pPr>
                    <w:adjustRightInd w:val="0"/>
                    <w:snapToGrid w:val="0"/>
                    <w:jc w:val="center"/>
                    <w:rPr>
                      <w:rFonts w:ascii="Times New Roman" w:hAnsi="Times New Roman"/>
                      <w:color w:val="auto"/>
                      <w:szCs w:val="21"/>
                    </w:rPr>
                  </w:pPr>
                </w:p>
              </w:tc>
              <w:tc>
                <w:tcPr>
                  <w:tcW w:w="504" w:type="pct"/>
                  <w:vMerge w:val="continue"/>
                  <w:tcBorders>
                    <w:tl2br w:val="nil"/>
                    <w:tr2bl w:val="nil"/>
                  </w:tcBorders>
                  <w:shd w:val="clear" w:color="auto" w:fill="auto"/>
                  <w:vAlign w:val="center"/>
                </w:tcPr>
                <w:p w14:paraId="16B9D41B">
                  <w:pPr>
                    <w:adjustRightInd w:val="0"/>
                    <w:snapToGrid w:val="0"/>
                    <w:jc w:val="center"/>
                    <w:rPr>
                      <w:rFonts w:ascii="Times New Roman" w:hAnsi="Times New Roman"/>
                      <w:color w:val="auto"/>
                      <w:szCs w:val="21"/>
                    </w:rPr>
                  </w:pPr>
                </w:p>
              </w:tc>
              <w:tc>
                <w:tcPr>
                  <w:tcW w:w="498" w:type="pct"/>
                  <w:vMerge w:val="continue"/>
                  <w:tcBorders>
                    <w:tl2br w:val="nil"/>
                    <w:tr2bl w:val="nil"/>
                  </w:tcBorders>
                  <w:shd w:val="clear" w:color="auto" w:fill="auto"/>
                  <w:vAlign w:val="center"/>
                </w:tcPr>
                <w:p w14:paraId="720AC181">
                  <w:pPr>
                    <w:adjustRightInd w:val="0"/>
                    <w:snapToGrid w:val="0"/>
                    <w:jc w:val="center"/>
                    <w:rPr>
                      <w:rFonts w:ascii="Times New Roman" w:hAnsi="Times New Roman"/>
                      <w:color w:val="auto"/>
                      <w:szCs w:val="21"/>
                    </w:rPr>
                  </w:pPr>
                </w:p>
              </w:tc>
              <w:tc>
                <w:tcPr>
                  <w:tcW w:w="408" w:type="pct"/>
                  <w:vMerge w:val="continue"/>
                  <w:tcBorders>
                    <w:tl2br w:val="nil"/>
                    <w:tr2bl w:val="nil"/>
                  </w:tcBorders>
                  <w:shd w:val="clear" w:color="auto" w:fill="auto"/>
                  <w:vAlign w:val="center"/>
                </w:tcPr>
                <w:p w14:paraId="21AE5444">
                  <w:pPr>
                    <w:adjustRightInd w:val="0"/>
                    <w:snapToGrid w:val="0"/>
                    <w:jc w:val="center"/>
                    <w:rPr>
                      <w:rFonts w:ascii="Times New Roman" w:hAnsi="Times New Roman"/>
                      <w:color w:val="auto"/>
                      <w:szCs w:val="21"/>
                    </w:rPr>
                  </w:pPr>
                </w:p>
              </w:tc>
              <w:tc>
                <w:tcPr>
                  <w:tcW w:w="759" w:type="pct"/>
                  <w:vMerge w:val="continue"/>
                  <w:tcBorders>
                    <w:tl2br w:val="nil"/>
                    <w:tr2bl w:val="nil"/>
                  </w:tcBorders>
                  <w:shd w:val="clear" w:color="auto" w:fill="auto"/>
                  <w:vAlign w:val="center"/>
                </w:tcPr>
                <w:p w14:paraId="37E3736B">
                  <w:pPr>
                    <w:adjustRightInd w:val="0"/>
                    <w:snapToGrid w:val="0"/>
                    <w:jc w:val="center"/>
                    <w:rPr>
                      <w:rFonts w:ascii="Times New Roman" w:hAnsi="Times New Roman"/>
                      <w:color w:val="auto"/>
                      <w:szCs w:val="21"/>
                    </w:rPr>
                  </w:pPr>
                </w:p>
              </w:tc>
              <w:tc>
                <w:tcPr>
                  <w:tcW w:w="501" w:type="pct"/>
                  <w:vMerge w:val="continue"/>
                  <w:tcBorders>
                    <w:tl2br w:val="nil"/>
                    <w:tr2bl w:val="nil"/>
                  </w:tcBorders>
                  <w:shd w:val="clear" w:color="auto" w:fill="auto"/>
                  <w:vAlign w:val="center"/>
                </w:tcPr>
                <w:p w14:paraId="2BCFAAFC">
                  <w:pPr>
                    <w:adjustRightInd w:val="0"/>
                    <w:snapToGrid w:val="0"/>
                    <w:jc w:val="center"/>
                    <w:rPr>
                      <w:rFonts w:ascii="Times New Roman" w:hAnsi="Times New Roman"/>
                      <w:color w:val="auto"/>
                      <w:szCs w:val="21"/>
                    </w:rPr>
                  </w:pPr>
                </w:p>
              </w:tc>
            </w:tr>
            <w:tr w14:paraId="72BE23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restart"/>
                  <w:tcBorders>
                    <w:tl2br w:val="nil"/>
                    <w:tr2bl w:val="nil"/>
                  </w:tcBorders>
                  <w:shd w:val="clear" w:color="auto" w:fill="auto"/>
                  <w:vAlign w:val="center"/>
                </w:tcPr>
                <w:p w14:paraId="0BA332EB">
                  <w:pPr>
                    <w:adjustRightInd w:val="0"/>
                    <w:snapToGrid w:val="0"/>
                    <w:jc w:val="center"/>
                    <w:rPr>
                      <w:rFonts w:ascii="Times New Roman" w:hAnsi="Times New Roman"/>
                      <w:color w:val="auto"/>
                      <w:szCs w:val="21"/>
                    </w:rPr>
                  </w:pPr>
                  <w:r>
                    <w:rPr>
                      <w:rFonts w:hint="eastAsia" w:ascii="Times New Roman" w:hAnsi="Times New Roman"/>
                      <w:color w:val="auto"/>
                      <w:szCs w:val="21"/>
                    </w:rPr>
                    <w:t>耕地</w:t>
                  </w:r>
                </w:p>
              </w:tc>
              <w:tc>
                <w:tcPr>
                  <w:tcW w:w="940" w:type="pct"/>
                  <w:tcBorders>
                    <w:tl2br w:val="nil"/>
                    <w:tr2bl w:val="nil"/>
                  </w:tcBorders>
                  <w:shd w:val="clear" w:color="auto" w:fill="auto"/>
                  <w:vAlign w:val="center"/>
                </w:tcPr>
                <w:p w14:paraId="0EE50F9B">
                  <w:pPr>
                    <w:adjustRightInd w:val="0"/>
                    <w:snapToGrid w:val="0"/>
                    <w:jc w:val="center"/>
                    <w:rPr>
                      <w:rFonts w:ascii="Times New Roman" w:hAnsi="Times New Roman"/>
                      <w:color w:val="auto"/>
                      <w:szCs w:val="21"/>
                    </w:rPr>
                  </w:pPr>
                  <w:r>
                    <w:rPr>
                      <w:rFonts w:ascii="Times New Roman" w:hAnsi="Times New Roman"/>
                      <w:color w:val="auto"/>
                      <w:szCs w:val="21"/>
                    </w:rPr>
                    <w:t>0101</w:t>
                  </w:r>
                  <w:r>
                    <w:rPr>
                      <w:rFonts w:hint="eastAsia" w:ascii="Times New Roman" w:hAnsi="Times New Roman"/>
                      <w:color w:val="auto"/>
                      <w:szCs w:val="21"/>
                    </w:rPr>
                    <w:t>水田</w:t>
                  </w:r>
                </w:p>
              </w:tc>
              <w:tc>
                <w:tcPr>
                  <w:tcW w:w="622" w:type="pct"/>
                  <w:tcBorders>
                    <w:tl2br w:val="nil"/>
                    <w:tr2bl w:val="nil"/>
                  </w:tcBorders>
                  <w:shd w:val="clear" w:color="auto" w:fill="auto"/>
                  <w:noWrap/>
                  <w:vAlign w:val="center"/>
                </w:tcPr>
                <w:p w14:paraId="04946390">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10.861 </w:t>
                  </w:r>
                </w:p>
              </w:tc>
              <w:tc>
                <w:tcPr>
                  <w:tcW w:w="354" w:type="pct"/>
                  <w:vMerge w:val="restart"/>
                  <w:tcBorders>
                    <w:tl2br w:val="nil"/>
                    <w:tr2bl w:val="nil"/>
                  </w:tcBorders>
                  <w:shd w:val="clear" w:color="auto" w:fill="auto"/>
                  <w:noWrap/>
                  <w:vAlign w:val="center"/>
                </w:tcPr>
                <w:p w14:paraId="4BBC2BE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0.12</w:t>
                  </w:r>
                </w:p>
              </w:tc>
              <w:tc>
                <w:tcPr>
                  <w:tcW w:w="504" w:type="pct"/>
                  <w:tcBorders>
                    <w:tl2br w:val="nil"/>
                    <w:tr2bl w:val="nil"/>
                  </w:tcBorders>
                  <w:shd w:val="clear" w:color="auto" w:fill="auto"/>
                  <w:noWrap/>
                  <w:vAlign w:val="center"/>
                </w:tcPr>
                <w:p w14:paraId="0CED3DA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98" w:type="pct"/>
                  <w:tcBorders>
                    <w:tl2br w:val="nil"/>
                    <w:tr2bl w:val="nil"/>
                  </w:tcBorders>
                  <w:shd w:val="clear" w:color="auto" w:fill="auto"/>
                  <w:noWrap/>
                  <w:vAlign w:val="center"/>
                </w:tcPr>
                <w:p w14:paraId="0462BF0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08" w:type="pct"/>
                  <w:tcBorders>
                    <w:tl2br w:val="nil"/>
                    <w:tr2bl w:val="nil"/>
                  </w:tcBorders>
                  <w:shd w:val="clear" w:color="auto" w:fill="auto"/>
                  <w:noWrap/>
                  <w:vAlign w:val="center"/>
                </w:tcPr>
                <w:p w14:paraId="5B47527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59" w:type="pct"/>
                  <w:tcBorders>
                    <w:tl2br w:val="nil"/>
                    <w:tr2bl w:val="nil"/>
                  </w:tcBorders>
                  <w:shd w:val="clear" w:color="auto" w:fill="auto"/>
                  <w:noWrap/>
                  <w:vAlign w:val="center"/>
                </w:tcPr>
                <w:p w14:paraId="5A32D6A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501" w:type="pct"/>
                  <w:tcBorders>
                    <w:tl2br w:val="nil"/>
                    <w:tr2bl w:val="nil"/>
                  </w:tcBorders>
                  <w:shd w:val="clear" w:color="auto" w:fill="auto"/>
                  <w:noWrap/>
                  <w:vAlign w:val="center"/>
                </w:tcPr>
                <w:p w14:paraId="6B60919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r>
            <w:tr w14:paraId="13AB1C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continue"/>
                  <w:tcBorders>
                    <w:tl2br w:val="nil"/>
                    <w:tr2bl w:val="nil"/>
                  </w:tcBorders>
                  <w:shd w:val="clear" w:color="auto" w:fill="auto"/>
                  <w:vAlign w:val="center"/>
                </w:tcPr>
                <w:p w14:paraId="0353716F">
                  <w:pPr>
                    <w:adjustRightInd w:val="0"/>
                    <w:snapToGrid w:val="0"/>
                    <w:jc w:val="center"/>
                    <w:rPr>
                      <w:rFonts w:ascii="Times New Roman" w:hAnsi="Times New Roman"/>
                      <w:color w:val="auto"/>
                      <w:szCs w:val="21"/>
                    </w:rPr>
                  </w:pPr>
                </w:p>
              </w:tc>
              <w:tc>
                <w:tcPr>
                  <w:tcW w:w="940" w:type="pct"/>
                  <w:tcBorders>
                    <w:tl2br w:val="nil"/>
                    <w:tr2bl w:val="nil"/>
                  </w:tcBorders>
                  <w:shd w:val="clear" w:color="auto" w:fill="auto"/>
                  <w:vAlign w:val="center"/>
                </w:tcPr>
                <w:p w14:paraId="33335C5B">
                  <w:pPr>
                    <w:adjustRightInd w:val="0"/>
                    <w:snapToGrid w:val="0"/>
                    <w:jc w:val="center"/>
                    <w:rPr>
                      <w:rFonts w:ascii="Times New Roman" w:hAnsi="Times New Roman"/>
                      <w:color w:val="auto"/>
                      <w:szCs w:val="21"/>
                    </w:rPr>
                  </w:pPr>
                  <w:r>
                    <w:rPr>
                      <w:rFonts w:ascii="Times New Roman" w:hAnsi="Times New Roman"/>
                      <w:color w:val="auto"/>
                      <w:szCs w:val="21"/>
                    </w:rPr>
                    <w:t>0102</w:t>
                  </w:r>
                  <w:r>
                    <w:rPr>
                      <w:rFonts w:hint="eastAsia" w:ascii="Times New Roman" w:hAnsi="Times New Roman"/>
                      <w:color w:val="auto"/>
                      <w:szCs w:val="21"/>
                    </w:rPr>
                    <w:t>水浇地</w:t>
                  </w:r>
                </w:p>
              </w:tc>
              <w:tc>
                <w:tcPr>
                  <w:tcW w:w="622" w:type="pct"/>
                  <w:tcBorders>
                    <w:tl2br w:val="nil"/>
                    <w:tr2bl w:val="nil"/>
                  </w:tcBorders>
                  <w:shd w:val="clear" w:color="auto" w:fill="auto"/>
                  <w:noWrap/>
                  <w:vAlign w:val="center"/>
                </w:tcPr>
                <w:p w14:paraId="546AEF45">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0.252 </w:t>
                  </w:r>
                </w:p>
              </w:tc>
              <w:tc>
                <w:tcPr>
                  <w:tcW w:w="354" w:type="pct"/>
                  <w:vMerge w:val="continue"/>
                  <w:tcBorders>
                    <w:tl2br w:val="nil"/>
                    <w:tr2bl w:val="nil"/>
                  </w:tcBorders>
                  <w:shd w:val="clear" w:color="auto" w:fill="auto"/>
                  <w:noWrap/>
                  <w:vAlign w:val="center"/>
                </w:tcPr>
                <w:p w14:paraId="2569FD3D">
                  <w:pPr>
                    <w:jc w:val="center"/>
                    <w:rPr>
                      <w:rFonts w:ascii="Times New Roman" w:hAnsi="Times New Roman"/>
                      <w:color w:val="auto"/>
                      <w:szCs w:val="21"/>
                    </w:rPr>
                  </w:pPr>
                </w:p>
              </w:tc>
              <w:tc>
                <w:tcPr>
                  <w:tcW w:w="504" w:type="pct"/>
                  <w:tcBorders>
                    <w:tl2br w:val="nil"/>
                    <w:tr2bl w:val="nil"/>
                  </w:tcBorders>
                  <w:shd w:val="clear" w:color="auto" w:fill="auto"/>
                  <w:noWrap/>
                  <w:vAlign w:val="center"/>
                </w:tcPr>
                <w:p w14:paraId="6E24D87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98" w:type="pct"/>
                  <w:tcBorders>
                    <w:tl2br w:val="nil"/>
                    <w:tr2bl w:val="nil"/>
                  </w:tcBorders>
                  <w:shd w:val="clear" w:color="auto" w:fill="auto"/>
                  <w:noWrap/>
                  <w:vAlign w:val="center"/>
                </w:tcPr>
                <w:p w14:paraId="169115C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08" w:type="pct"/>
                  <w:tcBorders>
                    <w:tl2br w:val="nil"/>
                    <w:tr2bl w:val="nil"/>
                  </w:tcBorders>
                  <w:shd w:val="clear" w:color="auto" w:fill="auto"/>
                  <w:noWrap/>
                  <w:vAlign w:val="center"/>
                </w:tcPr>
                <w:p w14:paraId="56FCAD1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59" w:type="pct"/>
                  <w:tcBorders>
                    <w:tl2br w:val="nil"/>
                    <w:tr2bl w:val="nil"/>
                  </w:tcBorders>
                  <w:shd w:val="clear" w:color="auto" w:fill="auto"/>
                  <w:noWrap/>
                  <w:vAlign w:val="center"/>
                </w:tcPr>
                <w:p w14:paraId="3688F74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501" w:type="pct"/>
                  <w:tcBorders>
                    <w:tl2br w:val="nil"/>
                    <w:tr2bl w:val="nil"/>
                  </w:tcBorders>
                  <w:shd w:val="clear" w:color="auto" w:fill="auto"/>
                  <w:noWrap/>
                  <w:vAlign w:val="center"/>
                </w:tcPr>
                <w:p w14:paraId="3F82B01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r>
            <w:tr w14:paraId="32CFB4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continue"/>
                  <w:tcBorders>
                    <w:tl2br w:val="nil"/>
                    <w:tr2bl w:val="nil"/>
                  </w:tcBorders>
                  <w:shd w:val="clear" w:color="auto" w:fill="auto"/>
                  <w:vAlign w:val="center"/>
                </w:tcPr>
                <w:p w14:paraId="2663F948">
                  <w:pPr>
                    <w:adjustRightInd w:val="0"/>
                    <w:snapToGrid w:val="0"/>
                    <w:jc w:val="center"/>
                    <w:rPr>
                      <w:rFonts w:ascii="Times New Roman" w:hAnsi="Times New Roman"/>
                      <w:color w:val="auto"/>
                      <w:szCs w:val="21"/>
                    </w:rPr>
                  </w:pPr>
                </w:p>
              </w:tc>
              <w:tc>
                <w:tcPr>
                  <w:tcW w:w="940" w:type="pct"/>
                  <w:tcBorders>
                    <w:tl2br w:val="nil"/>
                    <w:tr2bl w:val="nil"/>
                  </w:tcBorders>
                  <w:shd w:val="clear" w:color="auto" w:fill="auto"/>
                  <w:noWrap/>
                  <w:vAlign w:val="center"/>
                </w:tcPr>
                <w:p w14:paraId="645F1552">
                  <w:pPr>
                    <w:adjustRightInd w:val="0"/>
                    <w:snapToGrid w:val="0"/>
                    <w:jc w:val="center"/>
                    <w:rPr>
                      <w:rFonts w:ascii="Times New Roman" w:hAnsi="Times New Roman"/>
                      <w:color w:val="auto"/>
                      <w:szCs w:val="21"/>
                    </w:rPr>
                  </w:pPr>
                  <w:r>
                    <w:rPr>
                      <w:rFonts w:ascii="Times New Roman" w:hAnsi="Times New Roman"/>
                      <w:color w:val="auto"/>
                      <w:szCs w:val="21"/>
                    </w:rPr>
                    <w:t>0103</w:t>
                  </w:r>
                  <w:r>
                    <w:rPr>
                      <w:rFonts w:hint="eastAsia" w:ascii="Times New Roman" w:hAnsi="Times New Roman"/>
                      <w:color w:val="auto"/>
                      <w:szCs w:val="21"/>
                    </w:rPr>
                    <w:t>旱地</w:t>
                  </w:r>
                </w:p>
              </w:tc>
              <w:tc>
                <w:tcPr>
                  <w:tcW w:w="622" w:type="pct"/>
                  <w:tcBorders>
                    <w:tl2br w:val="nil"/>
                    <w:tr2bl w:val="nil"/>
                  </w:tcBorders>
                  <w:shd w:val="clear" w:color="auto" w:fill="auto"/>
                  <w:noWrap/>
                  <w:vAlign w:val="center"/>
                </w:tcPr>
                <w:p w14:paraId="2EC1E6A6">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458.641 </w:t>
                  </w:r>
                </w:p>
              </w:tc>
              <w:tc>
                <w:tcPr>
                  <w:tcW w:w="354" w:type="pct"/>
                  <w:vMerge w:val="continue"/>
                  <w:tcBorders>
                    <w:tl2br w:val="nil"/>
                    <w:tr2bl w:val="nil"/>
                  </w:tcBorders>
                  <w:shd w:val="clear" w:color="auto" w:fill="auto"/>
                  <w:noWrap/>
                  <w:vAlign w:val="center"/>
                </w:tcPr>
                <w:p w14:paraId="5FBA2B72">
                  <w:pPr>
                    <w:jc w:val="center"/>
                    <w:rPr>
                      <w:rFonts w:ascii="Times New Roman" w:hAnsi="Times New Roman"/>
                      <w:color w:val="auto"/>
                      <w:szCs w:val="21"/>
                    </w:rPr>
                  </w:pPr>
                </w:p>
              </w:tc>
              <w:tc>
                <w:tcPr>
                  <w:tcW w:w="504" w:type="pct"/>
                  <w:tcBorders>
                    <w:tl2br w:val="nil"/>
                    <w:tr2bl w:val="nil"/>
                  </w:tcBorders>
                  <w:shd w:val="clear" w:color="auto" w:fill="auto"/>
                  <w:noWrap/>
                  <w:vAlign w:val="center"/>
                </w:tcPr>
                <w:p w14:paraId="042196A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0.08</w:t>
                  </w:r>
                </w:p>
              </w:tc>
              <w:tc>
                <w:tcPr>
                  <w:tcW w:w="498" w:type="pct"/>
                  <w:tcBorders>
                    <w:tl2br w:val="nil"/>
                    <w:tr2bl w:val="nil"/>
                  </w:tcBorders>
                  <w:shd w:val="clear" w:color="auto" w:fill="auto"/>
                  <w:noWrap/>
                  <w:vAlign w:val="center"/>
                </w:tcPr>
                <w:p w14:paraId="179D16CE">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0.04</w:t>
                  </w:r>
                </w:p>
              </w:tc>
              <w:tc>
                <w:tcPr>
                  <w:tcW w:w="408" w:type="pct"/>
                  <w:tcBorders>
                    <w:tl2br w:val="nil"/>
                    <w:tr2bl w:val="nil"/>
                  </w:tcBorders>
                  <w:shd w:val="clear" w:color="auto" w:fill="auto"/>
                  <w:noWrap/>
                  <w:vAlign w:val="center"/>
                </w:tcPr>
                <w:p w14:paraId="00808EA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0.03 </w:t>
                  </w:r>
                </w:p>
              </w:tc>
              <w:tc>
                <w:tcPr>
                  <w:tcW w:w="759" w:type="pct"/>
                  <w:tcBorders>
                    <w:tl2br w:val="nil"/>
                    <w:tr2bl w:val="nil"/>
                  </w:tcBorders>
                  <w:shd w:val="clear" w:color="auto" w:fill="auto"/>
                  <w:noWrap/>
                  <w:vAlign w:val="center"/>
                </w:tcPr>
                <w:p w14:paraId="5EEDE19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0.02 </w:t>
                  </w:r>
                </w:p>
              </w:tc>
              <w:tc>
                <w:tcPr>
                  <w:tcW w:w="501" w:type="pct"/>
                  <w:tcBorders>
                    <w:tl2br w:val="nil"/>
                    <w:tr2bl w:val="nil"/>
                  </w:tcBorders>
                  <w:shd w:val="clear" w:color="auto" w:fill="auto"/>
                  <w:noWrap/>
                  <w:vAlign w:val="center"/>
                </w:tcPr>
                <w:p w14:paraId="66F3D21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0.01 </w:t>
                  </w:r>
                </w:p>
              </w:tc>
            </w:tr>
            <w:tr w14:paraId="6B474D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restart"/>
                  <w:tcBorders>
                    <w:tl2br w:val="nil"/>
                    <w:tr2bl w:val="nil"/>
                  </w:tcBorders>
                  <w:shd w:val="clear" w:color="auto" w:fill="auto"/>
                  <w:vAlign w:val="center"/>
                </w:tcPr>
                <w:p w14:paraId="653F9A1B">
                  <w:pPr>
                    <w:adjustRightInd w:val="0"/>
                    <w:snapToGrid w:val="0"/>
                    <w:jc w:val="center"/>
                    <w:rPr>
                      <w:rFonts w:ascii="Times New Roman" w:hAnsi="Times New Roman"/>
                      <w:color w:val="auto"/>
                      <w:szCs w:val="21"/>
                    </w:rPr>
                  </w:pPr>
                  <w:r>
                    <w:rPr>
                      <w:rFonts w:hint="eastAsia" w:ascii="Times New Roman" w:hAnsi="Times New Roman"/>
                      <w:color w:val="auto"/>
                      <w:szCs w:val="21"/>
                    </w:rPr>
                    <w:t>林地</w:t>
                  </w:r>
                </w:p>
              </w:tc>
              <w:tc>
                <w:tcPr>
                  <w:tcW w:w="940" w:type="pct"/>
                  <w:tcBorders>
                    <w:tl2br w:val="nil"/>
                    <w:tr2bl w:val="nil"/>
                  </w:tcBorders>
                  <w:shd w:val="clear" w:color="auto" w:fill="auto"/>
                  <w:vAlign w:val="center"/>
                </w:tcPr>
                <w:p w14:paraId="5407D865">
                  <w:pPr>
                    <w:adjustRightInd w:val="0"/>
                    <w:snapToGrid w:val="0"/>
                    <w:jc w:val="center"/>
                    <w:rPr>
                      <w:rFonts w:ascii="Times New Roman" w:hAnsi="Times New Roman"/>
                      <w:color w:val="auto"/>
                      <w:szCs w:val="21"/>
                    </w:rPr>
                  </w:pPr>
                  <w:r>
                    <w:rPr>
                      <w:rFonts w:ascii="Times New Roman" w:hAnsi="Times New Roman"/>
                      <w:color w:val="auto"/>
                      <w:szCs w:val="21"/>
                    </w:rPr>
                    <w:t>0301</w:t>
                  </w:r>
                  <w:r>
                    <w:rPr>
                      <w:rFonts w:hint="eastAsia" w:ascii="Times New Roman" w:hAnsi="Times New Roman"/>
                      <w:color w:val="auto"/>
                      <w:szCs w:val="21"/>
                    </w:rPr>
                    <w:t>乔木林地</w:t>
                  </w:r>
                </w:p>
              </w:tc>
              <w:tc>
                <w:tcPr>
                  <w:tcW w:w="622" w:type="pct"/>
                  <w:tcBorders>
                    <w:tl2br w:val="nil"/>
                    <w:tr2bl w:val="nil"/>
                  </w:tcBorders>
                  <w:shd w:val="clear" w:color="auto" w:fill="auto"/>
                  <w:noWrap/>
                  <w:vAlign w:val="center"/>
                </w:tcPr>
                <w:p w14:paraId="4C058BAF">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483.249 </w:t>
                  </w:r>
                </w:p>
              </w:tc>
              <w:tc>
                <w:tcPr>
                  <w:tcW w:w="354" w:type="pct"/>
                  <w:vMerge w:val="restart"/>
                  <w:tcBorders>
                    <w:tl2br w:val="nil"/>
                    <w:tr2bl w:val="nil"/>
                  </w:tcBorders>
                  <w:shd w:val="clear" w:color="auto" w:fill="auto"/>
                  <w:noWrap/>
                  <w:vAlign w:val="center"/>
                </w:tcPr>
                <w:p w14:paraId="0BCC8F1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0.65</w:t>
                  </w:r>
                </w:p>
              </w:tc>
              <w:tc>
                <w:tcPr>
                  <w:tcW w:w="504" w:type="pct"/>
                  <w:tcBorders>
                    <w:tl2br w:val="nil"/>
                    <w:tr2bl w:val="nil"/>
                  </w:tcBorders>
                  <w:shd w:val="clear" w:color="auto" w:fill="auto"/>
                  <w:noWrap/>
                  <w:vAlign w:val="center"/>
                </w:tcPr>
                <w:p w14:paraId="419B43D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0.28</w:t>
                  </w:r>
                </w:p>
              </w:tc>
              <w:tc>
                <w:tcPr>
                  <w:tcW w:w="498" w:type="pct"/>
                  <w:tcBorders>
                    <w:tl2br w:val="nil"/>
                    <w:tr2bl w:val="nil"/>
                  </w:tcBorders>
                  <w:shd w:val="clear" w:color="auto" w:fill="auto"/>
                  <w:noWrap/>
                  <w:vAlign w:val="center"/>
                </w:tcPr>
                <w:p w14:paraId="7C8790E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0.37</w:t>
                  </w:r>
                </w:p>
              </w:tc>
              <w:tc>
                <w:tcPr>
                  <w:tcW w:w="408" w:type="pct"/>
                  <w:tcBorders>
                    <w:tl2br w:val="nil"/>
                    <w:tr2bl w:val="nil"/>
                  </w:tcBorders>
                  <w:shd w:val="clear" w:color="auto" w:fill="auto"/>
                  <w:noWrap/>
                  <w:vAlign w:val="center"/>
                </w:tcPr>
                <w:p w14:paraId="77CF1EB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0.13 </w:t>
                  </w:r>
                </w:p>
              </w:tc>
              <w:tc>
                <w:tcPr>
                  <w:tcW w:w="759" w:type="pct"/>
                  <w:tcBorders>
                    <w:tl2br w:val="nil"/>
                    <w:tr2bl w:val="nil"/>
                  </w:tcBorders>
                  <w:shd w:val="clear" w:color="auto" w:fill="auto"/>
                  <w:noWrap/>
                  <w:vAlign w:val="center"/>
                </w:tcPr>
                <w:p w14:paraId="5FDB790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0.06 </w:t>
                  </w:r>
                </w:p>
              </w:tc>
              <w:tc>
                <w:tcPr>
                  <w:tcW w:w="501" w:type="pct"/>
                  <w:tcBorders>
                    <w:tl2br w:val="nil"/>
                    <w:tr2bl w:val="nil"/>
                  </w:tcBorders>
                  <w:shd w:val="clear" w:color="auto" w:fill="auto"/>
                  <w:noWrap/>
                  <w:vAlign w:val="center"/>
                </w:tcPr>
                <w:p w14:paraId="01BDD95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0.08 </w:t>
                  </w:r>
                </w:p>
              </w:tc>
            </w:tr>
            <w:tr w14:paraId="2C13F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continue"/>
                  <w:tcBorders>
                    <w:tl2br w:val="nil"/>
                    <w:tr2bl w:val="nil"/>
                  </w:tcBorders>
                  <w:shd w:val="clear" w:color="auto" w:fill="auto"/>
                  <w:vAlign w:val="center"/>
                </w:tcPr>
                <w:p w14:paraId="297B9761">
                  <w:pPr>
                    <w:adjustRightInd w:val="0"/>
                    <w:snapToGrid w:val="0"/>
                    <w:jc w:val="center"/>
                    <w:rPr>
                      <w:rFonts w:ascii="Times New Roman" w:hAnsi="Times New Roman"/>
                      <w:color w:val="auto"/>
                      <w:szCs w:val="21"/>
                    </w:rPr>
                  </w:pPr>
                </w:p>
              </w:tc>
              <w:tc>
                <w:tcPr>
                  <w:tcW w:w="940" w:type="pct"/>
                  <w:tcBorders>
                    <w:tl2br w:val="nil"/>
                    <w:tr2bl w:val="nil"/>
                  </w:tcBorders>
                  <w:shd w:val="clear" w:color="auto" w:fill="auto"/>
                  <w:vAlign w:val="center"/>
                </w:tcPr>
                <w:p w14:paraId="056B3132">
                  <w:pPr>
                    <w:adjustRightInd w:val="0"/>
                    <w:snapToGrid w:val="0"/>
                    <w:jc w:val="center"/>
                    <w:rPr>
                      <w:rFonts w:ascii="Times New Roman" w:hAnsi="Times New Roman"/>
                      <w:color w:val="auto"/>
                      <w:szCs w:val="21"/>
                    </w:rPr>
                  </w:pPr>
                  <w:r>
                    <w:rPr>
                      <w:rFonts w:ascii="Times New Roman" w:hAnsi="Times New Roman"/>
                      <w:color w:val="auto"/>
                      <w:szCs w:val="21"/>
                    </w:rPr>
                    <w:t>0305</w:t>
                  </w:r>
                  <w:r>
                    <w:rPr>
                      <w:rFonts w:hint="eastAsia" w:ascii="Times New Roman" w:hAnsi="Times New Roman"/>
                      <w:color w:val="auto"/>
                      <w:szCs w:val="21"/>
                    </w:rPr>
                    <w:t>灌木林地</w:t>
                  </w:r>
                </w:p>
              </w:tc>
              <w:tc>
                <w:tcPr>
                  <w:tcW w:w="622" w:type="pct"/>
                  <w:tcBorders>
                    <w:tl2br w:val="nil"/>
                    <w:tr2bl w:val="nil"/>
                  </w:tcBorders>
                  <w:shd w:val="clear" w:color="auto" w:fill="auto"/>
                  <w:noWrap/>
                  <w:vAlign w:val="center"/>
                </w:tcPr>
                <w:p w14:paraId="7C4AED2E">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210.959 </w:t>
                  </w:r>
                </w:p>
              </w:tc>
              <w:tc>
                <w:tcPr>
                  <w:tcW w:w="354" w:type="pct"/>
                  <w:vMerge w:val="continue"/>
                  <w:tcBorders>
                    <w:tl2br w:val="nil"/>
                    <w:tr2bl w:val="nil"/>
                  </w:tcBorders>
                  <w:shd w:val="clear" w:color="auto" w:fill="auto"/>
                  <w:noWrap/>
                  <w:vAlign w:val="center"/>
                </w:tcPr>
                <w:p w14:paraId="6179E962">
                  <w:pPr>
                    <w:jc w:val="center"/>
                    <w:rPr>
                      <w:rFonts w:ascii="Times New Roman" w:hAnsi="Times New Roman"/>
                      <w:color w:val="auto"/>
                      <w:szCs w:val="21"/>
                    </w:rPr>
                  </w:pPr>
                </w:p>
              </w:tc>
              <w:tc>
                <w:tcPr>
                  <w:tcW w:w="504" w:type="pct"/>
                  <w:tcBorders>
                    <w:tl2br w:val="nil"/>
                    <w:tr2bl w:val="nil"/>
                  </w:tcBorders>
                  <w:shd w:val="clear" w:color="auto" w:fill="auto"/>
                  <w:noWrap/>
                  <w:vAlign w:val="center"/>
                </w:tcPr>
                <w:p w14:paraId="1CFB2F3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98" w:type="pct"/>
                  <w:tcBorders>
                    <w:tl2br w:val="nil"/>
                    <w:tr2bl w:val="nil"/>
                  </w:tcBorders>
                  <w:shd w:val="clear" w:color="auto" w:fill="auto"/>
                  <w:noWrap/>
                  <w:vAlign w:val="center"/>
                </w:tcPr>
                <w:p w14:paraId="6B4E356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08" w:type="pct"/>
                  <w:tcBorders>
                    <w:tl2br w:val="nil"/>
                    <w:tr2bl w:val="nil"/>
                  </w:tcBorders>
                  <w:shd w:val="clear" w:color="auto" w:fill="auto"/>
                  <w:noWrap/>
                  <w:vAlign w:val="center"/>
                </w:tcPr>
                <w:p w14:paraId="3264938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59" w:type="pct"/>
                  <w:tcBorders>
                    <w:tl2br w:val="nil"/>
                    <w:tr2bl w:val="nil"/>
                  </w:tcBorders>
                  <w:shd w:val="clear" w:color="auto" w:fill="auto"/>
                  <w:noWrap/>
                  <w:vAlign w:val="center"/>
                </w:tcPr>
                <w:p w14:paraId="577B8DE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501" w:type="pct"/>
                  <w:tcBorders>
                    <w:tl2br w:val="nil"/>
                    <w:tr2bl w:val="nil"/>
                  </w:tcBorders>
                  <w:shd w:val="clear" w:color="auto" w:fill="auto"/>
                  <w:noWrap/>
                  <w:vAlign w:val="center"/>
                </w:tcPr>
                <w:p w14:paraId="39FFF98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r>
            <w:tr w14:paraId="4FCEB4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vMerge w:val="continue"/>
                  <w:tcBorders>
                    <w:tl2br w:val="nil"/>
                    <w:tr2bl w:val="nil"/>
                  </w:tcBorders>
                  <w:shd w:val="clear" w:color="auto" w:fill="auto"/>
                  <w:vAlign w:val="center"/>
                </w:tcPr>
                <w:p w14:paraId="14E73308">
                  <w:pPr>
                    <w:adjustRightInd w:val="0"/>
                    <w:snapToGrid w:val="0"/>
                    <w:jc w:val="center"/>
                    <w:rPr>
                      <w:rFonts w:ascii="Times New Roman" w:hAnsi="Times New Roman"/>
                      <w:color w:val="auto"/>
                      <w:szCs w:val="21"/>
                    </w:rPr>
                  </w:pPr>
                </w:p>
              </w:tc>
              <w:tc>
                <w:tcPr>
                  <w:tcW w:w="940" w:type="pct"/>
                  <w:tcBorders>
                    <w:tl2br w:val="nil"/>
                    <w:tr2bl w:val="nil"/>
                  </w:tcBorders>
                  <w:shd w:val="clear" w:color="auto" w:fill="auto"/>
                  <w:vAlign w:val="center"/>
                </w:tcPr>
                <w:p w14:paraId="049D7448">
                  <w:pPr>
                    <w:adjustRightInd w:val="0"/>
                    <w:snapToGrid w:val="0"/>
                    <w:jc w:val="center"/>
                    <w:rPr>
                      <w:rFonts w:ascii="Times New Roman" w:hAnsi="Times New Roman"/>
                      <w:color w:val="auto"/>
                      <w:szCs w:val="21"/>
                    </w:rPr>
                  </w:pPr>
                  <w:r>
                    <w:rPr>
                      <w:rFonts w:ascii="Times New Roman" w:hAnsi="Times New Roman"/>
                      <w:color w:val="auto"/>
                      <w:szCs w:val="21"/>
                    </w:rPr>
                    <w:t>0307</w:t>
                  </w:r>
                  <w:r>
                    <w:rPr>
                      <w:rFonts w:hint="eastAsia" w:ascii="Times New Roman" w:hAnsi="Times New Roman"/>
                      <w:color w:val="auto"/>
                      <w:szCs w:val="21"/>
                    </w:rPr>
                    <w:t>其他林地</w:t>
                  </w:r>
                </w:p>
              </w:tc>
              <w:tc>
                <w:tcPr>
                  <w:tcW w:w="622" w:type="pct"/>
                  <w:tcBorders>
                    <w:tl2br w:val="nil"/>
                    <w:tr2bl w:val="nil"/>
                  </w:tcBorders>
                  <w:shd w:val="clear" w:color="auto" w:fill="auto"/>
                  <w:noWrap/>
                  <w:vAlign w:val="center"/>
                </w:tcPr>
                <w:p w14:paraId="27828E61">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2.138 </w:t>
                  </w:r>
                </w:p>
              </w:tc>
              <w:tc>
                <w:tcPr>
                  <w:tcW w:w="354" w:type="pct"/>
                  <w:vMerge w:val="continue"/>
                  <w:tcBorders>
                    <w:tl2br w:val="nil"/>
                    <w:tr2bl w:val="nil"/>
                  </w:tcBorders>
                  <w:shd w:val="clear" w:color="auto" w:fill="auto"/>
                  <w:noWrap/>
                  <w:vAlign w:val="center"/>
                </w:tcPr>
                <w:p w14:paraId="569CD6C2">
                  <w:pPr>
                    <w:jc w:val="center"/>
                    <w:rPr>
                      <w:rFonts w:ascii="Times New Roman" w:hAnsi="Times New Roman"/>
                      <w:color w:val="auto"/>
                      <w:szCs w:val="21"/>
                    </w:rPr>
                  </w:pPr>
                </w:p>
              </w:tc>
              <w:tc>
                <w:tcPr>
                  <w:tcW w:w="504" w:type="pct"/>
                  <w:tcBorders>
                    <w:tl2br w:val="nil"/>
                    <w:tr2bl w:val="nil"/>
                  </w:tcBorders>
                  <w:shd w:val="clear" w:color="auto" w:fill="auto"/>
                  <w:noWrap/>
                  <w:vAlign w:val="center"/>
                </w:tcPr>
                <w:p w14:paraId="59E7C12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98" w:type="pct"/>
                  <w:tcBorders>
                    <w:tl2br w:val="nil"/>
                    <w:tr2bl w:val="nil"/>
                  </w:tcBorders>
                  <w:shd w:val="clear" w:color="auto" w:fill="auto"/>
                  <w:noWrap/>
                  <w:vAlign w:val="center"/>
                </w:tcPr>
                <w:p w14:paraId="2AEA6FA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408" w:type="pct"/>
                  <w:tcBorders>
                    <w:tl2br w:val="nil"/>
                    <w:tr2bl w:val="nil"/>
                  </w:tcBorders>
                  <w:shd w:val="clear" w:color="auto" w:fill="auto"/>
                  <w:noWrap/>
                  <w:vAlign w:val="center"/>
                </w:tcPr>
                <w:p w14:paraId="7ECA3C1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59" w:type="pct"/>
                  <w:tcBorders>
                    <w:tl2br w:val="nil"/>
                    <w:tr2bl w:val="nil"/>
                  </w:tcBorders>
                  <w:shd w:val="clear" w:color="auto" w:fill="auto"/>
                  <w:noWrap/>
                  <w:vAlign w:val="center"/>
                </w:tcPr>
                <w:p w14:paraId="2F71650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501" w:type="pct"/>
                  <w:tcBorders>
                    <w:tl2br w:val="nil"/>
                    <w:tr2bl w:val="nil"/>
                  </w:tcBorders>
                  <w:shd w:val="clear" w:color="auto" w:fill="auto"/>
                  <w:noWrap/>
                  <w:vAlign w:val="center"/>
                </w:tcPr>
                <w:p w14:paraId="2C3D897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r>
            <w:tr w14:paraId="65328B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tcBorders>
                    <w:tl2br w:val="nil"/>
                    <w:tr2bl w:val="nil"/>
                  </w:tcBorders>
                  <w:shd w:val="clear" w:color="auto" w:fill="auto"/>
                  <w:vAlign w:val="center"/>
                </w:tcPr>
                <w:p w14:paraId="47E8D328">
                  <w:pPr>
                    <w:adjustRightInd w:val="0"/>
                    <w:snapToGrid w:val="0"/>
                    <w:jc w:val="center"/>
                    <w:rPr>
                      <w:rFonts w:ascii="Times New Roman" w:hAnsi="Times New Roman"/>
                      <w:color w:val="auto"/>
                      <w:szCs w:val="21"/>
                    </w:rPr>
                  </w:pPr>
                  <w:r>
                    <w:rPr>
                      <w:rFonts w:hint="eastAsia" w:ascii="Times New Roman" w:hAnsi="Times New Roman"/>
                      <w:color w:val="auto"/>
                      <w:szCs w:val="21"/>
                    </w:rPr>
                    <w:t>草地</w:t>
                  </w:r>
                </w:p>
              </w:tc>
              <w:tc>
                <w:tcPr>
                  <w:tcW w:w="940" w:type="pct"/>
                  <w:tcBorders>
                    <w:tl2br w:val="nil"/>
                    <w:tr2bl w:val="nil"/>
                  </w:tcBorders>
                  <w:shd w:val="clear" w:color="auto" w:fill="auto"/>
                  <w:vAlign w:val="center"/>
                </w:tcPr>
                <w:p w14:paraId="49F97ACD">
                  <w:pPr>
                    <w:adjustRightInd w:val="0"/>
                    <w:snapToGrid w:val="0"/>
                    <w:jc w:val="center"/>
                    <w:rPr>
                      <w:rFonts w:ascii="Times New Roman" w:hAnsi="Times New Roman"/>
                      <w:color w:val="auto"/>
                      <w:szCs w:val="21"/>
                    </w:rPr>
                  </w:pPr>
                  <w:r>
                    <w:rPr>
                      <w:rFonts w:ascii="Times New Roman" w:hAnsi="Times New Roman"/>
                      <w:color w:val="auto"/>
                      <w:szCs w:val="21"/>
                    </w:rPr>
                    <w:t>0404</w:t>
                  </w:r>
                  <w:r>
                    <w:rPr>
                      <w:rFonts w:hint="eastAsia" w:ascii="Times New Roman" w:hAnsi="Times New Roman"/>
                      <w:color w:val="auto"/>
                      <w:szCs w:val="21"/>
                    </w:rPr>
                    <w:t>其他草地</w:t>
                  </w:r>
                </w:p>
              </w:tc>
              <w:tc>
                <w:tcPr>
                  <w:tcW w:w="622" w:type="pct"/>
                  <w:tcBorders>
                    <w:tl2br w:val="nil"/>
                    <w:tr2bl w:val="nil"/>
                  </w:tcBorders>
                  <w:shd w:val="clear" w:color="auto" w:fill="auto"/>
                  <w:noWrap/>
                  <w:vAlign w:val="center"/>
                </w:tcPr>
                <w:p w14:paraId="02E8D914">
                  <w:pPr>
                    <w:adjustRightInd w:val="0"/>
                    <w:snapToGrid w:val="0"/>
                    <w:jc w:val="center"/>
                    <w:rPr>
                      <w:rFonts w:ascii="Times New Roman" w:hAnsi="Times New Roman"/>
                      <w:color w:val="auto"/>
                      <w:szCs w:val="21"/>
                    </w:rPr>
                  </w:pPr>
                  <w:r>
                    <w:rPr>
                      <w:rFonts w:hint="eastAsia" w:ascii="Times New Roman" w:hAnsi="Times New Roman"/>
                      <w:color w:val="auto"/>
                      <w:szCs w:val="21"/>
                    </w:rPr>
                    <w:t xml:space="preserve">116.277 </w:t>
                  </w:r>
                </w:p>
              </w:tc>
              <w:tc>
                <w:tcPr>
                  <w:tcW w:w="354" w:type="pct"/>
                  <w:tcBorders>
                    <w:tl2br w:val="nil"/>
                    <w:tr2bl w:val="nil"/>
                  </w:tcBorders>
                  <w:shd w:val="clear" w:color="auto" w:fill="auto"/>
                  <w:noWrap/>
                  <w:vAlign w:val="center"/>
                </w:tcPr>
                <w:p w14:paraId="39DC762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0.15</w:t>
                  </w:r>
                </w:p>
              </w:tc>
              <w:tc>
                <w:tcPr>
                  <w:tcW w:w="504" w:type="pct"/>
                  <w:tcBorders>
                    <w:tl2br w:val="nil"/>
                    <w:tr2bl w:val="nil"/>
                  </w:tcBorders>
                  <w:shd w:val="clear" w:color="auto" w:fill="auto"/>
                  <w:noWrap/>
                  <w:vAlign w:val="center"/>
                </w:tcPr>
                <w:p w14:paraId="59ACD41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0.02</w:t>
                  </w:r>
                </w:p>
              </w:tc>
              <w:tc>
                <w:tcPr>
                  <w:tcW w:w="498" w:type="pct"/>
                  <w:tcBorders>
                    <w:tl2br w:val="nil"/>
                    <w:tr2bl w:val="nil"/>
                  </w:tcBorders>
                  <w:shd w:val="clear" w:color="auto" w:fill="auto"/>
                  <w:noWrap/>
                  <w:vAlign w:val="center"/>
                </w:tcPr>
                <w:p w14:paraId="565149C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0.13</w:t>
                  </w:r>
                </w:p>
              </w:tc>
              <w:tc>
                <w:tcPr>
                  <w:tcW w:w="408" w:type="pct"/>
                  <w:tcBorders>
                    <w:tl2br w:val="nil"/>
                    <w:tr2bl w:val="nil"/>
                  </w:tcBorders>
                  <w:shd w:val="clear" w:color="auto" w:fill="auto"/>
                  <w:noWrap/>
                  <w:vAlign w:val="center"/>
                </w:tcPr>
                <w:p w14:paraId="07872AF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0.13 </w:t>
                  </w:r>
                </w:p>
              </w:tc>
              <w:tc>
                <w:tcPr>
                  <w:tcW w:w="759" w:type="pct"/>
                  <w:tcBorders>
                    <w:tl2br w:val="nil"/>
                    <w:tr2bl w:val="nil"/>
                  </w:tcBorders>
                  <w:shd w:val="clear" w:color="auto" w:fill="auto"/>
                  <w:noWrap/>
                  <w:vAlign w:val="center"/>
                </w:tcPr>
                <w:p w14:paraId="6787DB8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0.02 </w:t>
                  </w:r>
                </w:p>
              </w:tc>
              <w:tc>
                <w:tcPr>
                  <w:tcW w:w="501" w:type="pct"/>
                  <w:tcBorders>
                    <w:tl2br w:val="nil"/>
                    <w:tr2bl w:val="nil"/>
                  </w:tcBorders>
                  <w:shd w:val="clear" w:color="auto" w:fill="auto"/>
                  <w:noWrap/>
                  <w:vAlign w:val="center"/>
                </w:tcPr>
                <w:p w14:paraId="61FDEB2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0.11 </w:t>
                  </w:r>
                </w:p>
              </w:tc>
            </w:tr>
            <w:tr w14:paraId="1C49FD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411" w:type="pct"/>
                  <w:tcBorders>
                    <w:tl2br w:val="nil"/>
                    <w:tr2bl w:val="nil"/>
                  </w:tcBorders>
                  <w:shd w:val="clear" w:color="auto" w:fill="auto"/>
                  <w:vAlign w:val="center"/>
                </w:tcPr>
                <w:p w14:paraId="5F297157">
                  <w:pPr>
                    <w:adjustRightInd w:val="0"/>
                    <w:snapToGrid w:val="0"/>
                    <w:jc w:val="center"/>
                    <w:rPr>
                      <w:rFonts w:ascii="Times New Roman" w:hAnsi="Times New Roman"/>
                      <w:color w:val="auto"/>
                      <w:szCs w:val="21"/>
                    </w:rPr>
                  </w:pPr>
                  <w:r>
                    <w:rPr>
                      <w:rFonts w:hint="eastAsia" w:ascii="Times New Roman" w:hAnsi="Times New Roman"/>
                      <w:color w:val="auto"/>
                      <w:szCs w:val="21"/>
                    </w:rPr>
                    <w:t>合计</w:t>
                  </w:r>
                </w:p>
              </w:tc>
              <w:tc>
                <w:tcPr>
                  <w:tcW w:w="940" w:type="pct"/>
                  <w:tcBorders>
                    <w:tl2br w:val="nil"/>
                    <w:tr2bl w:val="nil"/>
                  </w:tcBorders>
                  <w:shd w:val="clear" w:color="auto" w:fill="auto"/>
                  <w:vAlign w:val="center"/>
                </w:tcPr>
                <w:p w14:paraId="53EDEFD8">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622" w:type="pct"/>
                  <w:tcBorders>
                    <w:tl2br w:val="nil"/>
                    <w:tr2bl w:val="nil"/>
                  </w:tcBorders>
                  <w:shd w:val="clear" w:color="auto" w:fill="auto"/>
                  <w:noWrap/>
                  <w:vAlign w:val="center"/>
                </w:tcPr>
                <w:p w14:paraId="6A17181E">
                  <w:pPr>
                    <w:adjustRightInd w:val="0"/>
                    <w:snapToGrid w:val="0"/>
                    <w:jc w:val="center"/>
                    <w:rPr>
                      <w:rFonts w:ascii="Times New Roman" w:hAnsi="Times New Roman"/>
                      <w:color w:val="auto"/>
                      <w:szCs w:val="21"/>
                    </w:rPr>
                  </w:pPr>
                  <w:r>
                    <w:rPr>
                      <w:rFonts w:hint="eastAsia" w:ascii="Times New Roman" w:hAnsi="Times New Roman"/>
                      <w:color w:val="auto"/>
                      <w:szCs w:val="21"/>
                    </w:rPr>
                    <w:t>1323.172</w:t>
                  </w:r>
                </w:p>
              </w:tc>
              <w:tc>
                <w:tcPr>
                  <w:tcW w:w="354" w:type="pct"/>
                  <w:tcBorders>
                    <w:tl2br w:val="nil"/>
                    <w:tr2bl w:val="nil"/>
                  </w:tcBorders>
                  <w:shd w:val="clear" w:color="auto" w:fill="auto"/>
                  <w:noWrap/>
                  <w:vAlign w:val="center"/>
                </w:tcPr>
                <w:p w14:paraId="1305314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0.92</w:t>
                  </w:r>
                </w:p>
              </w:tc>
              <w:tc>
                <w:tcPr>
                  <w:tcW w:w="504" w:type="pct"/>
                  <w:tcBorders>
                    <w:tl2br w:val="nil"/>
                    <w:tr2bl w:val="nil"/>
                  </w:tcBorders>
                  <w:shd w:val="clear" w:color="auto" w:fill="auto"/>
                  <w:noWrap/>
                  <w:vAlign w:val="center"/>
                </w:tcPr>
                <w:p w14:paraId="493F7C3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0.38</w:t>
                  </w:r>
                </w:p>
              </w:tc>
              <w:tc>
                <w:tcPr>
                  <w:tcW w:w="498" w:type="pct"/>
                  <w:tcBorders>
                    <w:tl2br w:val="nil"/>
                    <w:tr2bl w:val="nil"/>
                  </w:tcBorders>
                  <w:shd w:val="clear" w:color="auto" w:fill="auto"/>
                  <w:noWrap/>
                  <w:vAlign w:val="center"/>
                </w:tcPr>
                <w:p w14:paraId="238CBED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0.54</w:t>
                  </w:r>
                </w:p>
              </w:tc>
              <w:tc>
                <w:tcPr>
                  <w:tcW w:w="408" w:type="pct"/>
                  <w:tcBorders>
                    <w:tl2br w:val="nil"/>
                    <w:tr2bl w:val="nil"/>
                  </w:tcBorders>
                  <w:shd w:val="clear" w:color="auto" w:fill="auto"/>
                  <w:noWrap/>
                  <w:vAlign w:val="center"/>
                </w:tcPr>
                <w:p w14:paraId="69812F4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c>
                <w:tcPr>
                  <w:tcW w:w="759" w:type="pct"/>
                  <w:tcBorders>
                    <w:tl2br w:val="nil"/>
                    <w:tr2bl w:val="nil"/>
                  </w:tcBorders>
                  <w:shd w:val="clear" w:color="auto" w:fill="auto"/>
                  <w:noWrap/>
                  <w:vAlign w:val="center"/>
                </w:tcPr>
                <w:p w14:paraId="1C00222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c>
                <w:tcPr>
                  <w:tcW w:w="501" w:type="pct"/>
                  <w:tcBorders>
                    <w:tl2br w:val="nil"/>
                    <w:tr2bl w:val="nil"/>
                  </w:tcBorders>
                  <w:shd w:val="clear" w:color="auto" w:fill="auto"/>
                  <w:noWrap/>
                  <w:vAlign w:val="center"/>
                </w:tcPr>
                <w:p w14:paraId="4C2AAD5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r>
          </w:tbl>
          <w:p w14:paraId="5D980889">
            <w:pPr>
              <w:pStyle w:val="5"/>
              <w:numPr>
                <w:ilvl w:val="2"/>
                <w:numId w:val="0"/>
              </w:numPr>
              <w:adjustRightInd w:val="0"/>
              <w:snapToGrid w:val="0"/>
              <w:spacing w:line="440" w:lineRule="exact"/>
              <w:ind w:firstLine="480" w:firstLineChars="200"/>
              <w:rPr>
                <w:rFonts w:ascii="Times New Roman" w:hAnsi="Times New Roman"/>
                <w:b w:val="0"/>
                <w:bCs w:val="0"/>
                <w:color w:val="auto"/>
                <w:szCs w:val="24"/>
              </w:rPr>
            </w:pPr>
            <w:r>
              <w:rPr>
                <w:rFonts w:ascii="Times New Roman" w:hAnsi="Times New Roman"/>
                <w:b w:val="0"/>
                <w:bCs w:val="0"/>
                <w:color w:val="auto"/>
                <w:szCs w:val="24"/>
              </w:rPr>
              <w:t>1）工程永久占地影响分析</w:t>
            </w:r>
          </w:p>
          <w:p w14:paraId="2C8C578C">
            <w:pPr>
              <w:widowControl/>
              <w:adjustRightInd w:val="0"/>
              <w:snapToGrid w:val="0"/>
              <w:spacing w:line="440" w:lineRule="exact"/>
              <w:ind w:firstLine="480" w:firstLineChars="200"/>
              <w:rPr>
                <w:rFonts w:ascii="Times New Roman" w:hAnsi="Times New Roman"/>
                <w:color w:val="auto"/>
                <w:sz w:val="24"/>
                <w:szCs w:val="24"/>
              </w:rPr>
            </w:pPr>
            <w:bookmarkStart w:id="92" w:name="_Toc11296"/>
            <w:r>
              <w:rPr>
                <w:rFonts w:ascii="Times New Roman" w:hAnsi="Times New Roman"/>
                <w:color w:val="auto"/>
                <w:kern w:val="0"/>
                <w:sz w:val="24"/>
                <w:szCs w:val="24"/>
                <w:lang w:bidi="ar"/>
              </w:rPr>
              <w:t>本工程永久占地面积为0.</w:t>
            </w:r>
            <w:r>
              <w:rPr>
                <w:rFonts w:hint="eastAsia" w:ascii="Times New Roman" w:hAnsi="Times New Roman"/>
                <w:color w:val="auto"/>
                <w:kern w:val="0"/>
                <w:sz w:val="24"/>
                <w:szCs w:val="24"/>
                <w:lang w:bidi="ar"/>
              </w:rPr>
              <w:t>38</w:t>
            </w:r>
            <w:r>
              <w:rPr>
                <w:rFonts w:ascii="Times New Roman" w:hAnsi="Times New Roman"/>
                <w:color w:val="auto"/>
                <w:kern w:val="0"/>
                <w:sz w:val="24"/>
                <w:szCs w:val="24"/>
                <w:lang w:bidi="ar"/>
              </w:rPr>
              <w:t>hm²，核心占地类型为乔木林地、其他草地及旱地，无水田、水浇地、其他林地、灌木林地占用情况。结合工程土地利用影响一览表数据可知，工程永久占用乔木林地面积0.</w:t>
            </w:r>
            <w:r>
              <w:rPr>
                <w:rFonts w:hint="eastAsia" w:ascii="Times New Roman" w:hAnsi="Times New Roman"/>
                <w:color w:val="auto"/>
                <w:kern w:val="0"/>
                <w:sz w:val="24"/>
                <w:szCs w:val="24"/>
                <w:lang w:bidi="ar"/>
              </w:rPr>
              <w:t>28</w:t>
            </w:r>
            <w:r>
              <w:rPr>
                <w:rFonts w:ascii="Times New Roman" w:hAnsi="Times New Roman"/>
                <w:color w:val="auto"/>
                <w:kern w:val="0"/>
                <w:sz w:val="24"/>
                <w:szCs w:val="24"/>
                <w:lang w:bidi="ar"/>
              </w:rPr>
              <w:t>hm²，占评价区同类其他林地总面积的0.0</w:t>
            </w:r>
            <w:r>
              <w:rPr>
                <w:rFonts w:hint="eastAsia" w:ascii="Times New Roman" w:hAnsi="Times New Roman"/>
                <w:color w:val="auto"/>
                <w:kern w:val="0"/>
                <w:sz w:val="24"/>
                <w:szCs w:val="24"/>
                <w:lang w:bidi="ar"/>
              </w:rPr>
              <w:t>6</w:t>
            </w:r>
            <w:r>
              <w:rPr>
                <w:rFonts w:ascii="Times New Roman" w:hAnsi="Times New Roman"/>
                <w:color w:val="auto"/>
                <w:kern w:val="0"/>
                <w:sz w:val="24"/>
                <w:szCs w:val="24"/>
                <w:lang w:bidi="ar"/>
              </w:rPr>
              <w:t>%，是永久占地最主要的土地类型；永久占用其他草地面积0.</w:t>
            </w:r>
            <w:r>
              <w:rPr>
                <w:rFonts w:hint="eastAsia" w:ascii="Times New Roman" w:hAnsi="Times New Roman"/>
                <w:color w:val="auto"/>
                <w:kern w:val="0"/>
                <w:sz w:val="24"/>
                <w:szCs w:val="24"/>
                <w:lang w:bidi="ar"/>
              </w:rPr>
              <w:t>02</w:t>
            </w:r>
            <w:r>
              <w:rPr>
                <w:rFonts w:ascii="Times New Roman" w:hAnsi="Times New Roman"/>
                <w:color w:val="auto"/>
                <w:kern w:val="0"/>
                <w:sz w:val="24"/>
                <w:szCs w:val="24"/>
                <w:lang w:bidi="ar"/>
              </w:rPr>
              <w:t>hm²，占评价区同类其他草地总面积的0.</w:t>
            </w:r>
            <w:r>
              <w:rPr>
                <w:rFonts w:hint="eastAsia" w:ascii="Times New Roman" w:hAnsi="Times New Roman"/>
                <w:color w:val="auto"/>
                <w:kern w:val="0"/>
                <w:sz w:val="24"/>
                <w:szCs w:val="24"/>
                <w:lang w:bidi="ar"/>
              </w:rPr>
              <w:t>02</w:t>
            </w:r>
            <w:r>
              <w:rPr>
                <w:rFonts w:ascii="Times New Roman" w:hAnsi="Times New Roman"/>
                <w:color w:val="auto"/>
                <w:kern w:val="0"/>
                <w:sz w:val="24"/>
                <w:szCs w:val="24"/>
                <w:lang w:bidi="ar"/>
              </w:rPr>
              <w:t>%；永久占用旱地面积0.0</w:t>
            </w:r>
            <w:r>
              <w:rPr>
                <w:rFonts w:hint="eastAsia" w:ascii="Times New Roman" w:hAnsi="Times New Roman"/>
                <w:color w:val="auto"/>
                <w:kern w:val="0"/>
                <w:sz w:val="24"/>
                <w:szCs w:val="24"/>
                <w:lang w:bidi="ar"/>
              </w:rPr>
              <w:t>8</w:t>
            </w:r>
            <w:r>
              <w:rPr>
                <w:rFonts w:ascii="Times New Roman" w:hAnsi="Times New Roman"/>
                <w:color w:val="auto"/>
                <w:kern w:val="0"/>
                <w:sz w:val="24"/>
                <w:szCs w:val="24"/>
                <w:lang w:bidi="ar"/>
              </w:rPr>
              <w:t>hm²，占评价区同类旱地总面积的0.02%。</w:t>
            </w:r>
          </w:p>
          <w:p w14:paraId="1F075F4B">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从占比数据来看，工程永久占地对乔木林地、旱地、其他草地的占用比例极低，对评价区该两类土地利用格局基本无影响。工程永久占用为局部小范围占用，且本工程永久占地以塔基点状占地为主，呈零散分布特征，不存在大面积连片占地情况，不会改变区域整体土地利用结构与主导利用类型，因此工程永久占地对区域土地利用体系的整体影响较小。</w:t>
            </w:r>
          </w:p>
          <w:p w14:paraId="78DF7405">
            <w:pPr>
              <w:pStyle w:val="5"/>
              <w:numPr>
                <w:ilvl w:val="2"/>
                <w:numId w:val="0"/>
              </w:numPr>
              <w:adjustRightInd w:val="0"/>
              <w:snapToGrid w:val="0"/>
              <w:spacing w:line="440" w:lineRule="exact"/>
              <w:ind w:firstLine="480" w:firstLineChars="200"/>
              <w:rPr>
                <w:rFonts w:ascii="Times New Roman" w:hAnsi="Times New Roman"/>
                <w:b w:val="0"/>
                <w:bCs w:val="0"/>
                <w:color w:val="auto"/>
                <w:szCs w:val="24"/>
              </w:rPr>
            </w:pPr>
            <w:r>
              <w:rPr>
                <w:rFonts w:ascii="Times New Roman" w:hAnsi="Times New Roman"/>
                <w:b w:val="0"/>
                <w:bCs w:val="0"/>
                <w:color w:val="auto"/>
                <w:szCs w:val="24"/>
              </w:rPr>
              <w:t>2）工程临时占地影响分析</w:t>
            </w:r>
            <w:bookmarkEnd w:id="92"/>
          </w:p>
          <w:p w14:paraId="2F72D15D">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本工程临时占地面积为0.</w:t>
            </w:r>
            <w:r>
              <w:rPr>
                <w:rFonts w:hint="eastAsia" w:ascii="Times New Roman" w:hAnsi="Times New Roman"/>
                <w:color w:val="auto"/>
                <w:kern w:val="0"/>
                <w:sz w:val="24"/>
                <w:szCs w:val="24"/>
                <w:lang w:bidi="ar"/>
              </w:rPr>
              <w:t>54</w:t>
            </w:r>
            <w:r>
              <w:rPr>
                <w:rFonts w:ascii="Times New Roman" w:hAnsi="Times New Roman"/>
                <w:color w:val="auto"/>
                <w:kern w:val="0"/>
                <w:sz w:val="24"/>
                <w:szCs w:val="24"/>
                <w:lang w:bidi="ar"/>
              </w:rPr>
              <w:t>hm²，临时占地主要涵盖塔基施工场地、跨越施工场地、牵张场地等施工临时作业区域，占地类型主要为乔木林地、旱地、其他草地。其中临时占用乔木林地面积</w:t>
            </w:r>
            <w:r>
              <w:rPr>
                <w:rFonts w:hint="eastAsia" w:ascii="Times New Roman" w:hAnsi="Times New Roman"/>
                <w:color w:val="auto"/>
                <w:kern w:val="0"/>
                <w:sz w:val="24"/>
                <w:szCs w:val="24"/>
                <w:lang w:bidi="ar"/>
              </w:rPr>
              <w:t>0.37</w:t>
            </w:r>
            <w:r>
              <w:rPr>
                <w:rFonts w:ascii="Times New Roman" w:hAnsi="Times New Roman"/>
                <w:color w:val="auto"/>
                <w:kern w:val="0"/>
                <w:sz w:val="24"/>
                <w:szCs w:val="24"/>
                <w:lang w:bidi="ar"/>
              </w:rPr>
              <w:t>hm²，占评价区同类其他林地总面积的0.</w:t>
            </w:r>
            <w:r>
              <w:rPr>
                <w:rFonts w:hint="eastAsia" w:ascii="Times New Roman" w:hAnsi="Times New Roman"/>
                <w:color w:val="auto"/>
                <w:kern w:val="0"/>
                <w:sz w:val="24"/>
                <w:szCs w:val="24"/>
                <w:lang w:bidi="ar"/>
              </w:rPr>
              <w:t>13</w:t>
            </w:r>
            <w:r>
              <w:rPr>
                <w:rFonts w:ascii="Times New Roman" w:hAnsi="Times New Roman"/>
                <w:color w:val="auto"/>
                <w:kern w:val="0"/>
                <w:sz w:val="24"/>
                <w:szCs w:val="24"/>
                <w:lang w:bidi="ar"/>
              </w:rPr>
              <w:t>%；临时占用其他草地面积0.</w:t>
            </w:r>
            <w:r>
              <w:rPr>
                <w:rFonts w:hint="eastAsia" w:ascii="Times New Roman" w:hAnsi="Times New Roman"/>
                <w:color w:val="auto"/>
                <w:kern w:val="0"/>
                <w:sz w:val="24"/>
                <w:szCs w:val="24"/>
                <w:lang w:bidi="ar"/>
              </w:rPr>
              <w:t>13</w:t>
            </w:r>
            <w:r>
              <w:rPr>
                <w:rFonts w:ascii="Times New Roman" w:hAnsi="Times New Roman"/>
                <w:color w:val="auto"/>
                <w:kern w:val="0"/>
                <w:sz w:val="24"/>
                <w:szCs w:val="24"/>
                <w:lang w:bidi="ar"/>
              </w:rPr>
              <w:t>hm²，占评价区同类其他草地总面积的0.</w:t>
            </w:r>
            <w:r>
              <w:rPr>
                <w:rFonts w:hint="eastAsia" w:ascii="Times New Roman" w:hAnsi="Times New Roman"/>
                <w:color w:val="auto"/>
                <w:kern w:val="0"/>
                <w:sz w:val="24"/>
                <w:szCs w:val="24"/>
                <w:lang w:bidi="ar"/>
              </w:rPr>
              <w:t>11</w:t>
            </w:r>
            <w:r>
              <w:rPr>
                <w:rFonts w:ascii="Times New Roman" w:hAnsi="Times New Roman"/>
                <w:color w:val="auto"/>
                <w:kern w:val="0"/>
                <w:sz w:val="24"/>
                <w:szCs w:val="24"/>
                <w:lang w:bidi="ar"/>
              </w:rPr>
              <w:t>%；临时占用旱地面积0.0</w:t>
            </w:r>
            <w:r>
              <w:rPr>
                <w:rFonts w:hint="eastAsia" w:ascii="Times New Roman" w:hAnsi="Times New Roman"/>
                <w:color w:val="auto"/>
                <w:kern w:val="0"/>
                <w:sz w:val="24"/>
                <w:szCs w:val="24"/>
                <w:lang w:bidi="ar"/>
              </w:rPr>
              <w:t>4</w:t>
            </w:r>
            <w:r>
              <w:rPr>
                <w:rFonts w:ascii="Times New Roman" w:hAnsi="Times New Roman"/>
                <w:color w:val="auto"/>
                <w:kern w:val="0"/>
                <w:sz w:val="24"/>
                <w:szCs w:val="24"/>
                <w:lang w:bidi="ar"/>
              </w:rPr>
              <w:t>hm²，占评价区同类旱地总面积的0.01%，不占用水田、水浇地、乔木林地及灌木林地。</w:t>
            </w:r>
          </w:p>
          <w:p w14:paraId="62D6A5D7">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工程临时占地均为施工期短期占用，仅在工程建设阶段临时改变土地利用方式，项目施工结束后，将通过人工整治、植被复绿的方式对临时用地进行生态恢复，选用旱冬瓜、云南松、狗牙根等本土适生植物开展植被重建，可逐步恢复原有土地利用功能及生态植被。整体来看，临时占地占用面积小、影响时段短，且可实现生态复原，不会对区域土地利用格局造成永久性不利影响，对区域土地利用的整体影响极小。</w:t>
            </w:r>
          </w:p>
          <w:p w14:paraId="5FA506C4">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（2）对植被影响预测分析</w:t>
            </w:r>
          </w:p>
          <w:p w14:paraId="590168FD">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工程建设区域造成影响的主要自然植被类型为暖温性针叶林。</w:t>
            </w:r>
          </w:p>
          <w:p w14:paraId="26259F4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由于受到人为活动的长期影响，主要是农业生产及生活的影响，评价区目前很多原生植被大量消失或改变为耕地，次生植被及人工植被面积增加；工程总共征地</w:t>
            </w:r>
            <w:r>
              <w:rPr>
                <w:rFonts w:hint="eastAsia" w:ascii="Times New Roman" w:hAnsi="Times New Roman"/>
                <w:color w:val="auto"/>
                <w:sz w:val="24"/>
                <w:szCs w:val="24"/>
              </w:rPr>
              <w:t>0.92</w:t>
            </w:r>
            <w:r>
              <w:rPr>
                <w:rFonts w:ascii="Times New Roman" w:hAnsi="Times New Roman"/>
                <w:color w:val="auto"/>
                <w:sz w:val="24"/>
                <w:szCs w:val="24"/>
              </w:rPr>
              <w:t>hm²。工程建设将对植被产生一定的负面影响，包括永久影响和临时影响。</w:t>
            </w:r>
          </w:p>
          <w:p w14:paraId="0C5D54AC">
            <w:pPr>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4-2</w:t>
            </w:r>
            <w:r>
              <w:rPr>
                <w:rFonts w:ascii="Times New Roman" w:hAnsi="Times New Roman"/>
                <w:b/>
                <w:color w:val="auto"/>
                <w:sz w:val="24"/>
                <w:szCs w:val="32"/>
              </w:rPr>
              <w:t xml:space="preserve">  工程对植被影响一览表  单位：hm²</w:t>
            </w:r>
          </w:p>
          <w:tbl>
            <w:tblPr>
              <w:tblStyle w:val="27"/>
              <w:tblW w:w="8329" w:type="dxa"/>
              <w:tblInd w:w="9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000"/>
              <w:gridCol w:w="854"/>
              <w:gridCol w:w="1975"/>
              <w:gridCol w:w="793"/>
              <w:gridCol w:w="1996"/>
            </w:tblGrid>
            <w:tr w14:paraId="6C3AE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vMerge w:val="restart"/>
                  <w:tcBorders>
                    <w:tl2br w:val="nil"/>
                    <w:tr2bl w:val="nil"/>
                  </w:tcBorders>
                  <w:shd w:val="clear" w:color="auto" w:fill="auto"/>
                  <w:noWrap/>
                  <w:vAlign w:val="center"/>
                </w:tcPr>
                <w:p w14:paraId="7385FC16">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植被类型</w:t>
                  </w:r>
                </w:p>
              </w:tc>
              <w:tc>
                <w:tcPr>
                  <w:tcW w:w="1000" w:type="dxa"/>
                  <w:tcBorders>
                    <w:tl2br w:val="nil"/>
                    <w:tr2bl w:val="nil"/>
                  </w:tcBorders>
                  <w:shd w:val="clear" w:color="auto" w:fill="auto"/>
                  <w:noWrap/>
                  <w:vAlign w:val="center"/>
                </w:tcPr>
                <w:p w14:paraId="7624BB45">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评价区</w:t>
                  </w:r>
                </w:p>
              </w:tc>
              <w:tc>
                <w:tcPr>
                  <w:tcW w:w="2829" w:type="dxa"/>
                  <w:gridSpan w:val="2"/>
                  <w:tcBorders>
                    <w:tl2br w:val="nil"/>
                    <w:tr2bl w:val="nil"/>
                  </w:tcBorders>
                  <w:shd w:val="clear" w:color="auto" w:fill="auto"/>
                  <w:noWrap/>
                  <w:vAlign w:val="center"/>
                </w:tcPr>
                <w:p w14:paraId="7A3139D4">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永久占地</w:t>
                  </w:r>
                </w:p>
              </w:tc>
              <w:tc>
                <w:tcPr>
                  <w:tcW w:w="2789" w:type="dxa"/>
                  <w:gridSpan w:val="2"/>
                  <w:tcBorders>
                    <w:tl2br w:val="nil"/>
                    <w:tr2bl w:val="nil"/>
                  </w:tcBorders>
                  <w:shd w:val="clear" w:color="auto" w:fill="auto"/>
                  <w:noWrap/>
                  <w:vAlign w:val="center"/>
                </w:tcPr>
                <w:p w14:paraId="4D846C48">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临时占地</w:t>
                  </w:r>
                </w:p>
              </w:tc>
            </w:tr>
            <w:tr w14:paraId="52839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vMerge w:val="continue"/>
                  <w:tcBorders>
                    <w:tl2br w:val="nil"/>
                    <w:tr2bl w:val="nil"/>
                  </w:tcBorders>
                  <w:shd w:val="clear" w:color="auto" w:fill="auto"/>
                  <w:noWrap/>
                  <w:vAlign w:val="center"/>
                </w:tcPr>
                <w:p w14:paraId="29B5CB0D">
                  <w:pPr>
                    <w:adjustRightInd w:val="0"/>
                    <w:snapToGrid w:val="0"/>
                    <w:jc w:val="center"/>
                    <w:rPr>
                      <w:rFonts w:ascii="Times New Roman" w:hAnsi="Times New Roman"/>
                      <w:b/>
                      <w:bCs/>
                      <w:color w:val="auto"/>
                      <w:szCs w:val="21"/>
                    </w:rPr>
                  </w:pPr>
                </w:p>
              </w:tc>
              <w:tc>
                <w:tcPr>
                  <w:tcW w:w="1000" w:type="dxa"/>
                  <w:tcBorders>
                    <w:tl2br w:val="nil"/>
                    <w:tr2bl w:val="nil"/>
                  </w:tcBorders>
                  <w:shd w:val="clear" w:color="auto" w:fill="auto"/>
                  <w:noWrap/>
                  <w:vAlign w:val="center"/>
                </w:tcPr>
                <w:p w14:paraId="3E3B82DF">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面积</w:t>
                  </w:r>
                  <w:r>
                    <w:rPr>
                      <w:rFonts w:ascii="Times New Roman" w:hAnsi="Times New Roman"/>
                      <w:b/>
                      <w:bCs/>
                      <w:color w:val="auto"/>
                      <w:szCs w:val="21"/>
                    </w:rPr>
                    <w:t>hm</w:t>
                  </w:r>
                  <w:r>
                    <w:rPr>
                      <w:rFonts w:ascii="Times New Roman" w:hAnsi="Times New Roman"/>
                      <w:b/>
                      <w:bCs/>
                      <w:color w:val="auto"/>
                      <w:szCs w:val="21"/>
                      <w:vertAlign w:val="superscript"/>
                    </w:rPr>
                    <w:t>2</w:t>
                  </w:r>
                </w:p>
              </w:tc>
              <w:tc>
                <w:tcPr>
                  <w:tcW w:w="854" w:type="dxa"/>
                  <w:tcBorders>
                    <w:tl2br w:val="nil"/>
                    <w:tr2bl w:val="nil"/>
                  </w:tcBorders>
                  <w:shd w:val="clear" w:color="auto" w:fill="auto"/>
                  <w:noWrap/>
                  <w:vAlign w:val="center"/>
                </w:tcPr>
                <w:p w14:paraId="0C1873FD">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面积</w:t>
                  </w:r>
                  <w:r>
                    <w:rPr>
                      <w:rFonts w:ascii="Times New Roman" w:hAnsi="Times New Roman"/>
                      <w:b/>
                      <w:bCs/>
                      <w:color w:val="auto"/>
                      <w:szCs w:val="21"/>
                    </w:rPr>
                    <w:t>hm</w:t>
                  </w:r>
                  <w:r>
                    <w:rPr>
                      <w:rFonts w:ascii="Times New Roman" w:hAnsi="Times New Roman"/>
                      <w:b/>
                      <w:bCs/>
                      <w:color w:val="auto"/>
                      <w:szCs w:val="21"/>
                      <w:vertAlign w:val="superscript"/>
                    </w:rPr>
                    <w:t>2</w:t>
                  </w:r>
                </w:p>
              </w:tc>
              <w:tc>
                <w:tcPr>
                  <w:tcW w:w="1975" w:type="dxa"/>
                  <w:tcBorders>
                    <w:tl2br w:val="nil"/>
                    <w:tr2bl w:val="nil"/>
                  </w:tcBorders>
                  <w:shd w:val="clear" w:color="auto" w:fill="auto"/>
                  <w:noWrap/>
                  <w:vAlign w:val="center"/>
                </w:tcPr>
                <w:p w14:paraId="2126759F">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占评价区该类型植被的百分比（</w:t>
                  </w:r>
                  <w:r>
                    <w:rPr>
                      <w:rFonts w:ascii="Times New Roman" w:hAnsi="Times New Roman"/>
                      <w:b/>
                      <w:bCs/>
                      <w:color w:val="auto"/>
                      <w:szCs w:val="21"/>
                    </w:rPr>
                    <w:t>%</w:t>
                  </w:r>
                  <w:r>
                    <w:rPr>
                      <w:rFonts w:hint="eastAsia" w:ascii="Times New Roman" w:hAnsi="Times New Roman"/>
                      <w:b/>
                      <w:bCs/>
                      <w:color w:val="auto"/>
                      <w:szCs w:val="21"/>
                    </w:rPr>
                    <w:t>）</w:t>
                  </w:r>
                </w:p>
              </w:tc>
              <w:tc>
                <w:tcPr>
                  <w:tcW w:w="793" w:type="dxa"/>
                  <w:tcBorders>
                    <w:tl2br w:val="nil"/>
                    <w:tr2bl w:val="nil"/>
                  </w:tcBorders>
                  <w:shd w:val="clear" w:color="auto" w:fill="auto"/>
                  <w:noWrap/>
                  <w:vAlign w:val="center"/>
                </w:tcPr>
                <w:p w14:paraId="5B7B1DE4">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面积</w:t>
                  </w:r>
                  <w:r>
                    <w:rPr>
                      <w:rFonts w:ascii="Times New Roman" w:hAnsi="Times New Roman"/>
                      <w:b/>
                      <w:bCs/>
                      <w:color w:val="auto"/>
                      <w:szCs w:val="21"/>
                    </w:rPr>
                    <w:t>hm</w:t>
                  </w:r>
                  <w:r>
                    <w:rPr>
                      <w:rFonts w:ascii="Times New Roman" w:hAnsi="Times New Roman"/>
                      <w:b/>
                      <w:bCs/>
                      <w:color w:val="auto"/>
                      <w:szCs w:val="21"/>
                      <w:vertAlign w:val="superscript"/>
                    </w:rPr>
                    <w:t>2</w:t>
                  </w:r>
                </w:p>
              </w:tc>
              <w:tc>
                <w:tcPr>
                  <w:tcW w:w="1996" w:type="dxa"/>
                  <w:tcBorders>
                    <w:tl2br w:val="nil"/>
                    <w:tr2bl w:val="nil"/>
                  </w:tcBorders>
                  <w:shd w:val="clear" w:color="auto" w:fill="auto"/>
                  <w:noWrap/>
                  <w:vAlign w:val="center"/>
                </w:tcPr>
                <w:p w14:paraId="1D369876">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占评价区该类型植被的百分比（</w:t>
                  </w:r>
                  <w:r>
                    <w:rPr>
                      <w:rFonts w:ascii="Times New Roman" w:hAnsi="Times New Roman"/>
                      <w:b/>
                      <w:bCs/>
                      <w:color w:val="auto"/>
                      <w:szCs w:val="21"/>
                    </w:rPr>
                    <w:t>%</w:t>
                  </w:r>
                  <w:r>
                    <w:rPr>
                      <w:rFonts w:hint="eastAsia" w:ascii="Times New Roman" w:hAnsi="Times New Roman"/>
                      <w:b/>
                      <w:bCs/>
                      <w:color w:val="auto"/>
                      <w:szCs w:val="21"/>
                    </w:rPr>
                    <w:t>）</w:t>
                  </w:r>
                </w:p>
              </w:tc>
            </w:tr>
            <w:tr w14:paraId="7E9667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noWrap/>
                  <w:vAlign w:val="center"/>
                </w:tcPr>
                <w:p w14:paraId="1D719765">
                  <w:pPr>
                    <w:adjustRightInd w:val="0"/>
                    <w:snapToGrid w:val="0"/>
                    <w:jc w:val="center"/>
                    <w:rPr>
                      <w:rFonts w:ascii="Times New Roman" w:hAnsi="Times New Roman"/>
                      <w:color w:val="auto"/>
                      <w:szCs w:val="21"/>
                    </w:rPr>
                  </w:pPr>
                  <w:r>
                    <w:rPr>
                      <w:rFonts w:hint="eastAsia" w:ascii="Times New Roman" w:hAnsi="Times New Roman"/>
                      <w:color w:val="auto"/>
                      <w:szCs w:val="21"/>
                    </w:rPr>
                    <w:t>暖温性针叶林</w:t>
                  </w:r>
                </w:p>
              </w:tc>
              <w:tc>
                <w:tcPr>
                  <w:tcW w:w="1000" w:type="dxa"/>
                  <w:tcBorders>
                    <w:tl2br w:val="nil"/>
                    <w:tr2bl w:val="nil"/>
                  </w:tcBorders>
                  <w:shd w:val="clear" w:color="auto" w:fill="auto"/>
                  <w:noWrap/>
                  <w:vAlign w:val="center"/>
                </w:tcPr>
                <w:p w14:paraId="29C9B52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483.249 </w:t>
                  </w:r>
                </w:p>
              </w:tc>
              <w:tc>
                <w:tcPr>
                  <w:tcW w:w="854" w:type="dxa"/>
                  <w:tcBorders>
                    <w:tl2br w:val="nil"/>
                    <w:tr2bl w:val="nil"/>
                  </w:tcBorders>
                  <w:shd w:val="clear" w:color="auto" w:fill="auto"/>
                  <w:noWrap/>
                  <w:vAlign w:val="center"/>
                </w:tcPr>
                <w:p w14:paraId="3A36E97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0.28</w:t>
                  </w:r>
                </w:p>
              </w:tc>
              <w:tc>
                <w:tcPr>
                  <w:tcW w:w="1975" w:type="dxa"/>
                  <w:tcBorders>
                    <w:tl2br w:val="nil"/>
                    <w:tr2bl w:val="nil"/>
                  </w:tcBorders>
                  <w:shd w:val="clear" w:color="auto" w:fill="auto"/>
                  <w:noWrap/>
                  <w:vAlign w:val="center"/>
                </w:tcPr>
                <w:p w14:paraId="67A652D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0.06 </w:t>
                  </w:r>
                </w:p>
              </w:tc>
              <w:tc>
                <w:tcPr>
                  <w:tcW w:w="793" w:type="dxa"/>
                  <w:tcBorders>
                    <w:tl2br w:val="nil"/>
                    <w:tr2bl w:val="nil"/>
                  </w:tcBorders>
                  <w:shd w:val="clear" w:color="auto" w:fill="auto"/>
                  <w:noWrap/>
                  <w:vAlign w:val="center"/>
                </w:tcPr>
                <w:p w14:paraId="72C4E42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0.370 </w:t>
                  </w:r>
                </w:p>
              </w:tc>
              <w:tc>
                <w:tcPr>
                  <w:tcW w:w="1996" w:type="dxa"/>
                  <w:tcBorders>
                    <w:tl2br w:val="nil"/>
                    <w:tr2bl w:val="nil"/>
                  </w:tcBorders>
                  <w:shd w:val="clear" w:color="auto" w:fill="auto"/>
                  <w:noWrap/>
                  <w:vAlign w:val="center"/>
                </w:tcPr>
                <w:p w14:paraId="0672D65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0.08 </w:t>
                  </w:r>
                </w:p>
              </w:tc>
            </w:tr>
            <w:tr w14:paraId="659AA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vAlign w:val="center"/>
                </w:tcPr>
                <w:p w14:paraId="6B1B0DA1">
                  <w:pPr>
                    <w:adjustRightInd w:val="0"/>
                    <w:snapToGrid w:val="0"/>
                    <w:jc w:val="center"/>
                    <w:rPr>
                      <w:rFonts w:ascii="Times New Roman" w:hAnsi="Times New Roman"/>
                      <w:color w:val="auto"/>
                      <w:szCs w:val="21"/>
                    </w:rPr>
                  </w:pPr>
                  <w:r>
                    <w:rPr>
                      <w:rFonts w:hint="eastAsia" w:ascii="Times New Roman" w:hAnsi="Times New Roman"/>
                      <w:color w:val="auto"/>
                      <w:szCs w:val="21"/>
                    </w:rPr>
                    <w:t>暖性石灰岩灌丛</w:t>
                  </w:r>
                </w:p>
              </w:tc>
              <w:tc>
                <w:tcPr>
                  <w:tcW w:w="1000" w:type="dxa"/>
                  <w:tcBorders>
                    <w:tl2br w:val="nil"/>
                    <w:tr2bl w:val="nil"/>
                  </w:tcBorders>
                  <w:shd w:val="clear" w:color="auto" w:fill="auto"/>
                  <w:noWrap/>
                  <w:vAlign w:val="center"/>
                </w:tcPr>
                <w:p w14:paraId="07E6C80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210.959 </w:t>
                  </w:r>
                </w:p>
              </w:tc>
              <w:tc>
                <w:tcPr>
                  <w:tcW w:w="854" w:type="dxa"/>
                  <w:tcBorders>
                    <w:tl2br w:val="nil"/>
                    <w:tr2bl w:val="nil"/>
                  </w:tcBorders>
                  <w:shd w:val="clear" w:color="auto" w:fill="auto"/>
                  <w:noWrap/>
                  <w:vAlign w:val="center"/>
                </w:tcPr>
                <w:p w14:paraId="3B93CB9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1975" w:type="dxa"/>
                  <w:tcBorders>
                    <w:tl2br w:val="nil"/>
                    <w:tr2bl w:val="nil"/>
                  </w:tcBorders>
                  <w:shd w:val="clear" w:color="auto" w:fill="auto"/>
                  <w:noWrap/>
                  <w:vAlign w:val="center"/>
                </w:tcPr>
                <w:p w14:paraId="2FF5678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 </w:t>
                  </w:r>
                </w:p>
              </w:tc>
              <w:tc>
                <w:tcPr>
                  <w:tcW w:w="793" w:type="dxa"/>
                  <w:tcBorders>
                    <w:tl2br w:val="nil"/>
                    <w:tr2bl w:val="nil"/>
                  </w:tcBorders>
                  <w:shd w:val="clear" w:color="auto" w:fill="auto"/>
                  <w:noWrap/>
                  <w:vAlign w:val="center"/>
                </w:tcPr>
                <w:p w14:paraId="74913E1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0.000 </w:t>
                  </w:r>
                </w:p>
              </w:tc>
              <w:tc>
                <w:tcPr>
                  <w:tcW w:w="1996" w:type="dxa"/>
                  <w:tcBorders>
                    <w:tl2br w:val="nil"/>
                    <w:tr2bl w:val="nil"/>
                  </w:tcBorders>
                  <w:shd w:val="clear" w:color="auto" w:fill="auto"/>
                  <w:noWrap/>
                  <w:vAlign w:val="center"/>
                </w:tcPr>
                <w:p w14:paraId="0308045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 </w:t>
                  </w:r>
                </w:p>
              </w:tc>
            </w:tr>
            <w:tr w14:paraId="0E1BC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vAlign w:val="center"/>
                </w:tcPr>
                <w:p w14:paraId="787838FC">
                  <w:pPr>
                    <w:adjustRightInd w:val="0"/>
                    <w:snapToGrid w:val="0"/>
                    <w:jc w:val="center"/>
                    <w:rPr>
                      <w:rFonts w:ascii="Times New Roman" w:hAnsi="Times New Roman"/>
                      <w:color w:val="auto"/>
                      <w:szCs w:val="21"/>
                    </w:rPr>
                  </w:pPr>
                  <w:r>
                    <w:rPr>
                      <w:rFonts w:hint="eastAsia" w:ascii="Times New Roman" w:hAnsi="Times New Roman"/>
                      <w:color w:val="auto"/>
                      <w:szCs w:val="21"/>
                    </w:rPr>
                    <w:t>暖温性稀树灌木草丛</w:t>
                  </w:r>
                </w:p>
              </w:tc>
              <w:tc>
                <w:tcPr>
                  <w:tcW w:w="1000" w:type="dxa"/>
                  <w:tcBorders>
                    <w:tl2br w:val="nil"/>
                    <w:tr2bl w:val="nil"/>
                  </w:tcBorders>
                  <w:shd w:val="clear" w:color="auto" w:fill="auto"/>
                  <w:noWrap/>
                  <w:vAlign w:val="center"/>
                </w:tcPr>
                <w:p w14:paraId="372F153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116.277 </w:t>
                  </w:r>
                </w:p>
              </w:tc>
              <w:tc>
                <w:tcPr>
                  <w:tcW w:w="854" w:type="dxa"/>
                  <w:tcBorders>
                    <w:tl2br w:val="nil"/>
                    <w:tr2bl w:val="nil"/>
                  </w:tcBorders>
                  <w:shd w:val="clear" w:color="auto" w:fill="auto"/>
                  <w:noWrap/>
                  <w:vAlign w:val="center"/>
                </w:tcPr>
                <w:p w14:paraId="244E51A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0.02</w:t>
                  </w:r>
                </w:p>
              </w:tc>
              <w:tc>
                <w:tcPr>
                  <w:tcW w:w="1975" w:type="dxa"/>
                  <w:tcBorders>
                    <w:tl2br w:val="nil"/>
                    <w:tr2bl w:val="nil"/>
                  </w:tcBorders>
                  <w:shd w:val="clear" w:color="auto" w:fill="auto"/>
                  <w:noWrap/>
                  <w:vAlign w:val="center"/>
                </w:tcPr>
                <w:p w14:paraId="6BA01A2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0.02 </w:t>
                  </w:r>
                </w:p>
              </w:tc>
              <w:tc>
                <w:tcPr>
                  <w:tcW w:w="793" w:type="dxa"/>
                  <w:tcBorders>
                    <w:tl2br w:val="nil"/>
                    <w:tr2bl w:val="nil"/>
                  </w:tcBorders>
                  <w:shd w:val="clear" w:color="auto" w:fill="auto"/>
                  <w:noWrap/>
                  <w:vAlign w:val="center"/>
                </w:tcPr>
                <w:p w14:paraId="781784B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0.130 </w:t>
                  </w:r>
                </w:p>
              </w:tc>
              <w:tc>
                <w:tcPr>
                  <w:tcW w:w="1996" w:type="dxa"/>
                  <w:tcBorders>
                    <w:tl2br w:val="nil"/>
                    <w:tr2bl w:val="nil"/>
                  </w:tcBorders>
                  <w:shd w:val="clear" w:color="auto" w:fill="auto"/>
                  <w:noWrap/>
                  <w:vAlign w:val="center"/>
                </w:tcPr>
                <w:p w14:paraId="394B056C">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0.11 </w:t>
                  </w:r>
                </w:p>
              </w:tc>
            </w:tr>
            <w:tr w14:paraId="458DF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vAlign w:val="center"/>
                </w:tcPr>
                <w:p w14:paraId="5AF4BA51">
                  <w:pPr>
                    <w:adjustRightInd w:val="0"/>
                    <w:snapToGrid w:val="0"/>
                    <w:jc w:val="center"/>
                    <w:rPr>
                      <w:rFonts w:ascii="Times New Roman" w:hAnsi="Times New Roman"/>
                      <w:color w:val="auto"/>
                      <w:szCs w:val="21"/>
                    </w:rPr>
                  </w:pPr>
                  <w:r>
                    <w:rPr>
                      <w:rFonts w:hint="eastAsia" w:ascii="Times New Roman" w:hAnsi="Times New Roman"/>
                      <w:color w:val="auto"/>
                      <w:szCs w:val="21"/>
                    </w:rPr>
                    <w:t>人工林</w:t>
                  </w:r>
                </w:p>
              </w:tc>
              <w:tc>
                <w:tcPr>
                  <w:tcW w:w="1000" w:type="dxa"/>
                  <w:tcBorders>
                    <w:tl2br w:val="nil"/>
                    <w:tr2bl w:val="nil"/>
                  </w:tcBorders>
                  <w:shd w:val="clear" w:color="auto" w:fill="auto"/>
                  <w:noWrap/>
                  <w:vAlign w:val="center"/>
                </w:tcPr>
                <w:p w14:paraId="799CA9F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4.730 </w:t>
                  </w:r>
                </w:p>
              </w:tc>
              <w:tc>
                <w:tcPr>
                  <w:tcW w:w="854" w:type="dxa"/>
                  <w:tcBorders>
                    <w:tl2br w:val="nil"/>
                    <w:tr2bl w:val="nil"/>
                  </w:tcBorders>
                  <w:shd w:val="clear" w:color="auto" w:fill="auto"/>
                  <w:noWrap/>
                  <w:vAlign w:val="center"/>
                </w:tcPr>
                <w:p w14:paraId="0A30475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1975" w:type="dxa"/>
                  <w:tcBorders>
                    <w:tl2br w:val="nil"/>
                    <w:tr2bl w:val="nil"/>
                  </w:tcBorders>
                  <w:shd w:val="clear" w:color="auto" w:fill="auto"/>
                  <w:noWrap/>
                  <w:vAlign w:val="center"/>
                </w:tcPr>
                <w:p w14:paraId="792D7E7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 </w:t>
                  </w:r>
                </w:p>
              </w:tc>
              <w:tc>
                <w:tcPr>
                  <w:tcW w:w="793" w:type="dxa"/>
                  <w:tcBorders>
                    <w:tl2br w:val="nil"/>
                    <w:tr2bl w:val="nil"/>
                  </w:tcBorders>
                  <w:shd w:val="clear" w:color="auto" w:fill="auto"/>
                  <w:noWrap/>
                  <w:vAlign w:val="center"/>
                </w:tcPr>
                <w:p w14:paraId="615A6FD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0.000 </w:t>
                  </w:r>
                </w:p>
              </w:tc>
              <w:tc>
                <w:tcPr>
                  <w:tcW w:w="1996" w:type="dxa"/>
                  <w:tcBorders>
                    <w:tl2br w:val="nil"/>
                    <w:tr2bl w:val="nil"/>
                  </w:tcBorders>
                  <w:shd w:val="clear" w:color="auto" w:fill="auto"/>
                  <w:noWrap/>
                  <w:vAlign w:val="center"/>
                </w:tcPr>
                <w:p w14:paraId="6581F48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 </w:t>
                  </w:r>
                </w:p>
              </w:tc>
            </w:tr>
            <w:tr w14:paraId="0B8E2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vAlign w:val="center"/>
                </w:tcPr>
                <w:p w14:paraId="7181FF64">
                  <w:pPr>
                    <w:adjustRightInd w:val="0"/>
                    <w:snapToGrid w:val="0"/>
                    <w:jc w:val="center"/>
                    <w:rPr>
                      <w:rFonts w:ascii="Times New Roman" w:hAnsi="Times New Roman"/>
                      <w:color w:val="auto"/>
                      <w:szCs w:val="21"/>
                    </w:rPr>
                  </w:pPr>
                  <w:r>
                    <w:rPr>
                      <w:rFonts w:hint="eastAsia" w:ascii="Times New Roman" w:hAnsi="Times New Roman"/>
                      <w:color w:val="auto"/>
                      <w:szCs w:val="21"/>
                    </w:rPr>
                    <w:t>耕地</w:t>
                  </w:r>
                </w:p>
              </w:tc>
              <w:tc>
                <w:tcPr>
                  <w:tcW w:w="1000" w:type="dxa"/>
                  <w:tcBorders>
                    <w:tl2br w:val="nil"/>
                    <w:tr2bl w:val="nil"/>
                  </w:tcBorders>
                  <w:shd w:val="clear" w:color="auto" w:fill="auto"/>
                  <w:noWrap/>
                  <w:vAlign w:val="center"/>
                </w:tcPr>
                <w:p w14:paraId="232F88D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226.808 </w:t>
                  </w:r>
                </w:p>
              </w:tc>
              <w:tc>
                <w:tcPr>
                  <w:tcW w:w="854" w:type="dxa"/>
                  <w:tcBorders>
                    <w:tl2br w:val="nil"/>
                    <w:tr2bl w:val="nil"/>
                  </w:tcBorders>
                  <w:shd w:val="clear" w:color="auto" w:fill="auto"/>
                  <w:noWrap/>
                  <w:vAlign w:val="center"/>
                </w:tcPr>
                <w:p w14:paraId="71A0FD4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0.08</w:t>
                  </w:r>
                </w:p>
              </w:tc>
              <w:tc>
                <w:tcPr>
                  <w:tcW w:w="1975" w:type="dxa"/>
                  <w:tcBorders>
                    <w:tl2br w:val="nil"/>
                    <w:tr2bl w:val="nil"/>
                  </w:tcBorders>
                  <w:shd w:val="clear" w:color="auto" w:fill="auto"/>
                  <w:noWrap/>
                  <w:vAlign w:val="center"/>
                </w:tcPr>
                <w:p w14:paraId="4820E1C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0.04 </w:t>
                  </w:r>
                </w:p>
              </w:tc>
              <w:tc>
                <w:tcPr>
                  <w:tcW w:w="793" w:type="dxa"/>
                  <w:tcBorders>
                    <w:tl2br w:val="nil"/>
                    <w:tr2bl w:val="nil"/>
                  </w:tcBorders>
                  <w:shd w:val="clear" w:color="auto" w:fill="auto"/>
                  <w:noWrap/>
                  <w:vAlign w:val="center"/>
                </w:tcPr>
                <w:p w14:paraId="3082ABF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0.040 </w:t>
                  </w:r>
                </w:p>
              </w:tc>
              <w:tc>
                <w:tcPr>
                  <w:tcW w:w="1996" w:type="dxa"/>
                  <w:tcBorders>
                    <w:tl2br w:val="nil"/>
                    <w:tr2bl w:val="nil"/>
                  </w:tcBorders>
                  <w:shd w:val="clear" w:color="auto" w:fill="auto"/>
                  <w:noWrap/>
                  <w:vAlign w:val="center"/>
                </w:tcPr>
                <w:p w14:paraId="200C1BA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0.02 </w:t>
                  </w:r>
                </w:p>
              </w:tc>
            </w:tr>
            <w:tr w14:paraId="2E0A5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11" w:type="dxa"/>
                  <w:tcBorders>
                    <w:tl2br w:val="nil"/>
                    <w:tr2bl w:val="nil"/>
                  </w:tcBorders>
                  <w:shd w:val="clear" w:color="auto" w:fill="auto"/>
                  <w:vAlign w:val="center"/>
                </w:tcPr>
                <w:p w14:paraId="67C94E21">
                  <w:pPr>
                    <w:adjustRightInd w:val="0"/>
                    <w:snapToGrid w:val="0"/>
                    <w:jc w:val="center"/>
                    <w:rPr>
                      <w:rFonts w:ascii="Times New Roman" w:hAnsi="Times New Roman"/>
                      <w:color w:val="auto"/>
                      <w:szCs w:val="21"/>
                    </w:rPr>
                  </w:pPr>
                  <w:r>
                    <w:rPr>
                      <w:rFonts w:hint="eastAsia" w:ascii="Times New Roman" w:hAnsi="Times New Roman"/>
                      <w:color w:val="auto"/>
                      <w:szCs w:val="21"/>
                    </w:rPr>
                    <w:t>合计</w:t>
                  </w:r>
                </w:p>
              </w:tc>
              <w:tc>
                <w:tcPr>
                  <w:tcW w:w="1000" w:type="dxa"/>
                  <w:tcBorders>
                    <w:tl2br w:val="nil"/>
                    <w:tr2bl w:val="nil"/>
                  </w:tcBorders>
                  <w:shd w:val="clear" w:color="auto" w:fill="auto"/>
                  <w:vAlign w:val="center"/>
                </w:tcPr>
                <w:p w14:paraId="30C73E9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c>
                <w:tcPr>
                  <w:tcW w:w="854" w:type="dxa"/>
                  <w:tcBorders>
                    <w:tl2br w:val="nil"/>
                    <w:tr2bl w:val="nil"/>
                  </w:tcBorders>
                  <w:shd w:val="clear" w:color="auto" w:fill="auto"/>
                  <w:noWrap/>
                  <w:vAlign w:val="center"/>
                </w:tcPr>
                <w:p w14:paraId="66B9620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0.38</w:t>
                  </w:r>
                </w:p>
              </w:tc>
              <w:tc>
                <w:tcPr>
                  <w:tcW w:w="1975" w:type="dxa"/>
                  <w:tcBorders>
                    <w:tl2br w:val="nil"/>
                    <w:tr2bl w:val="nil"/>
                  </w:tcBorders>
                  <w:shd w:val="clear" w:color="auto" w:fill="auto"/>
                  <w:noWrap/>
                  <w:vAlign w:val="center"/>
                </w:tcPr>
                <w:p w14:paraId="70F2765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c>
                <w:tcPr>
                  <w:tcW w:w="793" w:type="dxa"/>
                  <w:tcBorders>
                    <w:tl2br w:val="nil"/>
                    <w:tr2bl w:val="nil"/>
                  </w:tcBorders>
                  <w:shd w:val="clear" w:color="auto" w:fill="auto"/>
                  <w:noWrap/>
                  <w:vAlign w:val="center"/>
                </w:tcPr>
                <w:p w14:paraId="20B2D29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0.540 </w:t>
                  </w:r>
                </w:p>
              </w:tc>
              <w:tc>
                <w:tcPr>
                  <w:tcW w:w="1996" w:type="dxa"/>
                  <w:tcBorders>
                    <w:tl2br w:val="nil"/>
                    <w:tr2bl w:val="nil"/>
                  </w:tcBorders>
                  <w:shd w:val="clear" w:color="auto" w:fill="auto"/>
                  <w:noWrap/>
                  <w:vAlign w:val="center"/>
                </w:tcPr>
                <w:p w14:paraId="0746467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w:t>
                  </w:r>
                </w:p>
              </w:tc>
            </w:tr>
          </w:tbl>
          <w:p w14:paraId="5D05D14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1）永久占地</w:t>
            </w:r>
          </w:p>
          <w:p w14:paraId="4339C245">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评价区内乔木林地主要为暖温性针叶林，该植被类型在会泽县分布广泛、资源储量丰富。根据工程植被影响一览表数据，本工程永久占用暖温性针叶林面积0.</w:t>
            </w:r>
            <w:r>
              <w:rPr>
                <w:rFonts w:hint="eastAsia" w:ascii="Times New Roman" w:hAnsi="Times New Roman"/>
                <w:color w:val="auto"/>
                <w:kern w:val="0"/>
                <w:sz w:val="24"/>
                <w:szCs w:val="24"/>
                <w:lang w:bidi="ar"/>
              </w:rPr>
              <w:t>28</w:t>
            </w:r>
            <w:r>
              <w:rPr>
                <w:rFonts w:ascii="Times New Roman" w:hAnsi="Times New Roman"/>
                <w:color w:val="auto"/>
                <w:kern w:val="0"/>
                <w:sz w:val="24"/>
                <w:szCs w:val="24"/>
                <w:lang w:bidi="ar"/>
              </w:rPr>
              <w:t>hm²，仅占评价区该植被类型总面积的0.0</w:t>
            </w:r>
            <w:r>
              <w:rPr>
                <w:rFonts w:hint="eastAsia" w:ascii="Times New Roman" w:hAnsi="Times New Roman"/>
                <w:color w:val="auto"/>
                <w:kern w:val="0"/>
                <w:sz w:val="24"/>
                <w:szCs w:val="24"/>
                <w:lang w:bidi="ar"/>
              </w:rPr>
              <w:t>6</w:t>
            </w:r>
            <w:r>
              <w:rPr>
                <w:rFonts w:ascii="Times New Roman" w:hAnsi="Times New Roman"/>
                <w:color w:val="auto"/>
                <w:kern w:val="0"/>
                <w:sz w:val="24"/>
                <w:szCs w:val="24"/>
                <w:lang w:bidi="ar"/>
              </w:rPr>
              <w:t>%；永久占用暖温性稀树灌木草丛面积0.</w:t>
            </w:r>
            <w:r>
              <w:rPr>
                <w:rFonts w:hint="eastAsia" w:ascii="Times New Roman" w:hAnsi="Times New Roman"/>
                <w:color w:val="auto"/>
                <w:kern w:val="0"/>
                <w:sz w:val="24"/>
                <w:szCs w:val="24"/>
                <w:lang w:bidi="ar"/>
              </w:rPr>
              <w:t>02</w:t>
            </w:r>
            <w:r>
              <w:rPr>
                <w:rFonts w:ascii="Times New Roman" w:hAnsi="Times New Roman"/>
                <w:color w:val="auto"/>
                <w:kern w:val="0"/>
                <w:sz w:val="24"/>
                <w:szCs w:val="24"/>
                <w:lang w:bidi="ar"/>
              </w:rPr>
              <w:t>hm²，占评价区该植被类型总面积的0.</w:t>
            </w:r>
            <w:r>
              <w:rPr>
                <w:rFonts w:hint="eastAsia" w:ascii="Times New Roman" w:hAnsi="Times New Roman"/>
                <w:color w:val="auto"/>
                <w:kern w:val="0"/>
                <w:sz w:val="24"/>
                <w:szCs w:val="24"/>
                <w:lang w:bidi="ar"/>
              </w:rPr>
              <w:t>02</w:t>
            </w:r>
            <w:r>
              <w:rPr>
                <w:rFonts w:ascii="Times New Roman" w:hAnsi="Times New Roman"/>
                <w:color w:val="auto"/>
                <w:kern w:val="0"/>
                <w:sz w:val="24"/>
                <w:szCs w:val="24"/>
                <w:lang w:bidi="ar"/>
              </w:rPr>
              <w:t>%；永久占用耕地植被面积0.0</w:t>
            </w:r>
            <w:r>
              <w:rPr>
                <w:rFonts w:hint="eastAsia" w:ascii="Times New Roman" w:hAnsi="Times New Roman"/>
                <w:color w:val="auto"/>
                <w:kern w:val="0"/>
                <w:sz w:val="24"/>
                <w:szCs w:val="24"/>
                <w:lang w:bidi="ar"/>
              </w:rPr>
              <w:t>8</w:t>
            </w:r>
            <w:r>
              <w:rPr>
                <w:rFonts w:ascii="Times New Roman" w:hAnsi="Times New Roman"/>
                <w:color w:val="auto"/>
                <w:kern w:val="0"/>
                <w:sz w:val="24"/>
                <w:szCs w:val="24"/>
                <w:lang w:bidi="ar"/>
              </w:rPr>
              <w:t>hm²，占评价区耕地总面积的0.0</w:t>
            </w:r>
            <w:r>
              <w:rPr>
                <w:rFonts w:hint="eastAsia" w:ascii="Times New Roman" w:hAnsi="Times New Roman"/>
                <w:color w:val="auto"/>
                <w:kern w:val="0"/>
                <w:sz w:val="24"/>
                <w:szCs w:val="24"/>
                <w:lang w:bidi="ar"/>
              </w:rPr>
              <w:t>4</w:t>
            </w:r>
            <w:r>
              <w:rPr>
                <w:rFonts w:ascii="Times New Roman" w:hAnsi="Times New Roman"/>
                <w:color w:val="auto"/>
                <w:kern w:val="0"/>
                <w:sz w:val="24"/>
                <w:szCs w:val="24"/>
                <w:lang w:bidi="ar"/>
              </w:rPr>
              <w:t>%，未占用暖性石灰岩灌丛、人工林植被，各类型植被永久占用占比均处于极低水平。项目点状占地的建设特征，不会造成评价区内任一植被类型大面积衰减，对区域植被资源总量影响微弱。</w:t>
            </w:r>
          </w:p>
          <w:p w14:paraId="19DE9D1F">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从生物群落结构层面分析，项目建设会局部改变区域生物群落水平结构，同时对局部地段群落垂直结构、植被恢复后的种类组成及群落构型产生轻微扰动。但本工程永久占地范围小、分散性强，占用的生物群落面积及影响范围极小，仅对极小范围局部群落结构产生微调，不会造成区域生物群落结构简化、物种流失等问题。整体而言，项目实施对评价区整体生物群落结构的负面影响较小。</w:t>
            </w:r>
          </w:p>
          <w:p w14:paraId="0C3E6FC1">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综合来看，本项目施工建设对周边植被整体影响有限，未占用区域优势植被、珍稀植被类型，不会造成评价区植被类型消亡，也不会打破区域原有植被分布格局，区域植被系统可保持稳定状态。</w:t>
            </w:r>
          </w:p>
          <w:p w14:paraId="5251E92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2）临时占地</w:t>
            </w:r>
          </w:p>
          <w:p w14:paraId="2B6A2CD3">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kern w:val="0"/>
                <w:sz w:val="24"/>
                <w:szCs w:val="24"/>
                <w:lang w:bidi="ar"/>
              </w:rPr>
              <w:t>本工程临时占地主要包括塔基施工场地、跨越施工场地、牵张场地等施工临时作业区域，涉及的植被类型主要为暖温性针叶林、暖温性稀树灌木草丛及耕地植被。根据统计数据，工程临时占用暖温性针叶林面积0.</w:t>
            </w:r>
            <w:r>
              <w:rPr>
                <w:rFonts w:hint="eastAsia" w:ascii="Times New Roman" w:hAnsi="Times New Roman"/>
                <w:color w:val="auto"/>
                <w:kern w:val="0"/>
                <w:sz w:val="24"/>
                <w:szCs w:val="24"/>
                <w:lang w:bidi="ar"/>
              </w:rPr>
              <w:t>37</w:t>
            </w:r>
            <w:r>
              <w:rPr>
                <w:rFonts w:ascii="Times New Roman" w:hAnsi="Times New Roman"/>
                <w:color w:val="auto"/>
                <w:kern w:val="0"/>
                <w:sz w:val="24"/>
                <w:szCs w:val="24"/>
                <w:lang w:bidi="ar"/>
              </w:rPr>
              <w:t>hm²，占评价区该植被类型总面积的0.0</w:t>
            </w:r>
            <w:r>
              <w:rPr>
                <w:rFonts w:hint="eastAsia" w:ascii="Times New Roman" w:hAnsi="Times New Roman"/>
                <w:color w:val="auto"/>
                <w:kern w:val="0"/>
                <w:sz w:val="24"/>
                <w:szCs w:val="24"/>
                <w:lang w:bidi="ar"/>
              </w:rPr>
              <w:t>8</w:t>
            </w:r>
            <w:r>
              <w:rPr>
                <w:rFonts w:ascii="Times New Roman" w:hAnsi="Times New Roman"/>
                <w:color w:val="auto"/>
                <w:kern w:val="0"/>
                <w:sz w:val="24"/>
                <w:szCs w:val="24"/>
                <w:lang w:bidi="ar"/>
              </w:rPr>
              <w:t>%；临时占用暖温性稀树灌木草丛面积0.1</w:t>
            </w:r>
            <w:r>
              <w:rPr>
                <w:rFonts w:hint="eastAsia" w:ascii="Times New Roman" w:hAnsi="Times New Roman"/>
                <w:color w:val="auto"/>
                <w:kern w:val="0"/>
                <w:sz w:val="24"/>
                <w:szCs w:val="24"/>
                <w:lang w:bidi="ar"/>
              </w:rPr>
              <w:t>3</w:t>
            </w:r>
            <w:r>
              <w:rPr>
                <w:rFonts w:ascii="Times New Roman" w:hAnsi="Times New Roman"/>
                <w:color w:val="auto"/>
                <w:kern w:val="0"/>
                <w:sz w:val="24"/>
                <w:szCs w:val="24"/>
                <w:lang w:bidi="ar"/>
              </w:rPr>
              <w:t>hm²，占评价区该植被类型总面积的0.</w:t>
            </w:r>
            <w:r>
              <w:rPr>
                <w:rFonts w:hint="eastAsia" w:ascii="Times New Roman" w:hAnsi="Times New Roman"/>
                <w:color w:val="auto"/>
                <w:kern w:val="0"/>
                <w:sz w:val="24"/>
                <w:szCs w:val="24"/>
                <w:lang w:bidi="ar"/>
              </w:rPr>
              <w:t>11</w:t>
            </w:r>
            <w:r>
              <w:rPr>
                <w:rFonts w:ascii="Times New Roman" w:hAnsi="Times New Roman"/>
                <w:color w:val="auto"/>
                <w:kern w:val="0"/>
                <w:sz w:val="24"/>
                <w:szCs w:val="24"/>
                <w:lang w:bidi="ar"/>
              </w:rPr>
              <w:t>%；临时占用耕地植被面积0.0</w:t>
            </w:r>
            <w:r>
              <w:rPr>
                <w:rFonts w:hint="eastAsia" w:ascii="Times New Roman" w:hAnsi="Times New Roman"/>
                <w:color w:val="auto"/>
                <w:kern w:val="0"/>
                <w:sz w:val="24"/>
                <w:szCs w:val="24"/>
                <w:lang w:bidi="ar"/>
              </w:rPr>
              <w:t>4</w:t>
            </w:r>
            <w:r>
              <w:rPr>
                <w:rFonts w:ascii="Times New Roman" w:hAnsi="Times New Roman"/>
                <w:color w:val="auto"/>
                <w:kern w:val="0"/>
                <w:sz w:val="24"/>
                <w:szCs w:val="24"/>
                <w:lang w:bidi="ar"/>
              </w:rPr>
              <w:t>hm²，占评价区耕地总面积的0.0</w:t>
            </w:r>
            <w:r>
              <w:rPr>
                <w:rFonts w:hint="eastAsia" w:ascii="Times New Roman" w:hAnsi="Times New Roman"/>
                <w:color w:val="auto"/>
                <w:kern w:val="0"/>
                <w:sz w:val="24"/>
                <w:szCs w:val="24"/>
                <w:lang w:bidi="ar"/>
              </w:rPr>
              <w:t>2</w:t>
            </w:r>
            <w:r>
              <w:rPr>
                <w:rFonts w:ascii="Times New Roman" w:hAnsi="Times New Roman"/>
                <w:color w:val="auto"/>
                <w:kern w:val="0"/>
                <w:sz w:val="24"/>
                <w:szCs w:val="24"/>
                <w:lang w:bidi="ar"/>
              </w:rPr>
              <w:t>%，未占用暖性石灰岩灌丛、人工林植被，各类植被临时占用面积及占比均极低。</w:t>
            </w:r>
          </w:p>
          <w:p w14:paraId="23466236">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color w:val="auto"/>
                <w:sz w:val="24"/>
                <w:szCs w:val="24"/>
              </w:rPr>
              <w:t>总体来说，工程建设将造成评价区内植被面积的减少，但并不会造成评价区任何一种植被类型的消失。</w:t>
            </w:r>
          </w:p>
          <w:p w14:paraId="5E327700">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（3）对陆生植物的影响</w:t>
            </w:r>
          </w:p>
          <w:p w14:paraId="510C1C7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①对植物种类的影响</w:t>
            </w:r>
          </w:p>
          <w:p w14:paraId="58AD809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评价区的地带性植被为</w:t>
            </w:r>
            <w:r>
              <w:rPr>
                <w:rFonts w:ascii="Times New Roman" w:hAnsi="Times New Roman"/>
                <w:color w:val="auto"/>
                <w:sz w:val="24"/>
                <w:szCs w:val="24"/>
                <w:lang w:val="zh-CN"/>
              </w:rPr>
              <w:t>暖性针叶林</w:t>
            </w:r>
            <w:r>
              <w:rPr>
                <w:rFonts w:ascii="Times New Roman" w:hAnsi="Times New Roman"/>
                <w:color w:val="auto"/>
                <w:sz w:val="24"/>
                <w:szCs w:val="24"/>
              </w:rPr>
              <w:t>，由于人为干扰较严重，区域内原生植被不可见，大部分地段形成了以人为活动为主导的次生性森林植被景观。根据野外考察、室内标本整理鉴定以及相关文献资料查阅，</w:t>
            </w:r>
            <w:r>
              <w:rPr>
                <w:rFonts w:ascii="Times New Roman" w:hAnsi="Times New Roman"/>
                <w:color w:val="auto"/>
                <w:sz w:val="24"/>
                <w:szCs w:val="24"/>
                <w:lang w:val="zh-CN"/>
              </w:rPr>
              <w:t>评价区共记录有维管植物469种（包含种下等级），隶属于</w:t>
            </w:r>
            <w:r>
              <w:rPr>
                <w:rFonts w:ascii="Times New Roman" w:hAnsi="Times New Roman"/>
                <w:color w:val="auto"/>
                <w:sz w:val="24"/>
                <w:szCs w:val="24"/>
              </w:rPr>
              <w:t>102</w:t>
            </w:r>
            <w:r>
              <w:rPr>
                <w:rFonts w:ascii="Times New Roman" w:hAnsi="Times New Roman"/>
                <w:color w:val="auto"/>
                <w:sz w:val="24"/>
                <w:szCs w:val="24"/>
                <w:lang w:val="zh-CN"/>
              </w:rPr>
              <w:t>科、</w:t>
            </w:r>
            <w:r>
              <w:rPr>
                <w:rFonts w:ascii="Times New Roman" w:hAnsi="Times New Roman"/>
                <w:color w:val="auto"/>
                <w:sz w:val="24"/>
                <w:szCs w:val="24"/>
              </w:rPr>
              <w:t>335</w:t>
            </w:r>
            <w:r>
              <w:rPr>
                <w:rFonts w:ascii="Times New Roman" w:hAnsi="Times New Roman"/>
                <w:color w:val="auto"/>
                <w:sz w:val="24"/>
                <w:szCs w:val="24"/>
                <w:lang w:val="zh-CN"/>
              </w:rPr>
              <w:t>属。其中蕨类植物有</w:t>
            </w:r>
            <w:r>
              <w:rPr>
                <w:rFonts w:ascii="Times New Roman" w:hAnsi="Times New Roman"/>
                <w:color w:val="auto"/>
                <w:sz w:val="24"/>
                <w:szCs w:val="24"/>
              </w:rPr>
              <w:t>11</w:t>
            </w:r>
            <w:r>
              <w:rPr>
                <w:rFonts w:ascii="Times New Roman" w:hAnsi="Times New Roman"/>
                <w:color w:val="auto"/>
                <w:sz w:val="24"/>
                <w:szCs w:val="24"/>
                <w:lang w:val="zh-CN"/>
              </w:rPr>
              <w:t>科、</w:t>
            </w:r>
            <w:r>
              <w:rPr>
                <w:rFonts w:ascii="Times New Roman" w:hAnsi="Times New Roman"/>
                <w:color w:val="auto"/>
                <w:sz w:val="24"/>
                <w:szCs w:val="24"/>
              </w:rPr>
              <w:t>15</w:t>
            </w:r>
            <w:r>
              <w:rPr>
                <w:rFonts w:ascii="Times New Roman" w:hAnsi="Times New Roman"/>
                <w:color w:val="auto"/>
                <w:sz w:val="24"/>
                <w:szCs w:val="24"/>
                <w:lang w:val="zh-CN"/>
              </w:rPr>
              <w:t>属、</w:t>
            </w:r>
            <w:r>
              <w:rPr>
                <w:rFonts w:ascii="Times New Roman" w:hAnsi="Times New Roman"/>
                <w:color w:val="auto"/>
                <w:sz w:val="24"/>
                <w:szCs w:val="24"/>
              </w:rPr>
              <w:t>19</w:t>
            </w:r>
            <w:r>
              <w:rPr>
                <w:rFonts w:ascii="Times New Roman" w:hAnsi="Times New Roman"/>
                <w:color w:val="auto"/>
                <w:sz w:val="24"/>
                <w:szCs w:val="24"/>
                <w:lang w:val="zh-CN"/>
              </w:rPr>
              <w:t>种；裸子植物有3科、4属、5种；被子植物有</w:t>
            </w:r>
            <w:r>
              <w:rPr>
                <w:rFonts w:ascii="Times New Roman" w:hAnsi="Times New Roman"/>
                <w:color w:val="auto"/>
                <w:sz w:val="24"/>
                <w:szCs w:val="24"/>
              </w:rPr>
              <w:t>88</w:t>
            </w:r>
            <w:r>
              <w:rPr>
                <w:rFonts w:ascii="Times New Roman" w:hAnsi="Times New Roman"/>
                <w:color w:val="auto"/>
                <w:sz w:val="24"/>
                <w:szCs w:val="24"/>
                <w:lang w:val="zh-CN"/>
              </w:rPr>
              <w:t>科、316属、445种。</w:t>
            </w:r>
          </w:p>
          <w:p w14:paraId="132AD58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工程建设主要是工程永久占地将造成植物植株的减少，受影响的植物种类常见的有云南松</w:t>
            </w:r>
            <w:r>
              <w:rPr>
                <w:rFonts w:ascii="Times New Roman" w:hAnsi="Times New Roman"/>
                <w:i/>
                <w:color w:val="auto"/>
                <w:sz w:val="24"/>
                <w:szCs w:val="24"/>
              </w:rPr>
              <w:t>Pinus yunnanensis</w:t>
            </w:r>
            <w:r>
              <w:rPr>
                <w:rFonts w:ascii="Times New Roman" w:hAnsi="Times New Roman"/>
                <w:color w:val="auto"/>
                <w:sz w:val="24"/>
                <w:szCs w:val="24"/>
              </w:rPr>
              <w:t>，乔木层还分布有大叶栎</w:t>
            </w:r>
            <w:r>
              <w:rPr>
                <w:rFonts w:ascii="Times New Roman" w:hAnsi="Times New Roman"/>
                <w:i/>
                <w:iCs/>
                <w:color w:val="auto"/>
                <w:sz w:val="24"/>
                <w:szCs w:val="24"/>
              </w:rPr>
              <w:t>Quercus griffithii</w:t>
            </w:r>
            <w:r>
              <w:rPr>
                <w:rFonts w:ascii="Times New Roman" w:hAnsi="Times New Roman"/>
                <w:color w:val="auto"/>
                <w:sz w:val="24"/>
                <w:szCs w:val="24"/>
              </w:rPr>
              <w:t>、滇石栎</w:t>
            </w:r>
            <w:r>
              <w:rPr>
                <w:rFonts w:ascii="Times New Roman" w:hAnsi="Times New Roman"/>
                <w:i/>
                <w:iCs/>
                <w:color w:val="auto"/>
                <w:sz w:val="24"/>
                <w:szCs w:val="24"/>
              </w:rPr>
              <w:t>Lithocarpus dealbatus</w:t>
            </w:r>
            <w:r>
              <w:rPr>
                <w:rFonts w:ascii="Times New Roman" w:hAnsi="Times New Roman"/>
                <w:color w:val="auto"/>
                <w:sz w:val="24"/>
                <w:szCs w:val="24"/>
              </w:rPr>
              <w:t>、滇青冈</w:t>
            </w:r>
            <w:r>
              <w:rPr>
                <w:rFonts w:ascii="Times New Roman" w:hAnsi="Times New Roman"/>
                <w:i/>
                <w:iCs/>
                <w:color w:val="auto"/>
                <w:sz w:val="24"/>
                <w:szCs w:val="24"/>
              </w:rPr>
              <w:t>Quercus glaucoides</w:t>
            </w:r>
            <w:r>
              <w:rPr>
                <w:rFonts w:ascii="Times New Roman" w:hAnsi="Times New Roman"/>
                <w:color w:val="auto"/>
                <w:sz w:val="24"/>
                <w:szCs w:val="24"/>
              </w:rPr>
              <w:t>、厚皮香</w:t>
            </w:r>
            <w:r>
              <w:rPr>
                <w:rFonts w:ascii="Times New Roman" w:hAnsi="Times New Roman"/>
                <w:i/>
                <w:iCs/>
                <w:color w:val="auto"/>
                <w:sz w:val="24"/>
                <w:szCs w:val="24"/>
              </w:rPr>
              <w:t>Ternstroemia gymnanthera</w:t>
            </w:r>
            <w:r>
              <w:rPr>
                <w:rFonts w:ascii="Times New Roman" w:hAnsi="Times New Roman"/>
                <w:color w:val="auto"/>
                <w:sz w:val="24"/>
                <w:szCs w:val="24"/>
              </w:rPr>
              <w:t>、高山栲</w:t>
            </w:r>
            <w:r>
              <w:rPr>
                <w:rFonts w:ascii="Times New Roman" w:hAnsi="Times New Roman"/>
                <w:i/>
                <w:color w:val="auto"/>
                <w:sz w:val="24"/>
                <w:szCs w:val="24"/>
              </w:rPr>
              <w:t>Castanopsis delavayi</w:t>
            </w:r>
            <w:r>
              <w:rPr>
                <w:rFonts w:ascii="Times New Roman" w:hAnsi="Times New Roman"/>
                <w:color w:val="auto"/>
                <w:sz w:val="24"/>
                <w:szCs w:val="24"/>
              </w:rPr>
              <w:t>等当地常见物种。工程永久占地范围内地表植物将永久性消失，工程的建设会造成一部分植物数量的减少，但由于工程占地范围内无珍稀濒危及保护植物分布，且占用的植物在工程区周边大量分布，因此工程建设虽会造成一部分植物数量的减少，但并不会造成任何一种植物的大面积减少和消失。项目建设将造成影响区以上植物物种数量上的减少，但不会对影响区的植物资源和物种多样性产生明显的不良影响。</w:t>
            </w:r>
          </w:p>
          <w:p w14:paraId="6D4E907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②对珍稀濒危植物的影响</w:t>
            </w:r>
          </w:p>
          <w:p w14:paraId="7A09A2DC">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lang w:val="zh-CN"/>
              </w:rPr>
              <w:t>根据</w:t>
            </w:r>
            <w:r>
              <w:rPr>
                <w:rFonts w:ascii="Times New Roman" w:hAnsi="Times New Roman"/>
                <w:color w:val="auto"/>
                <w:sz w:val="24"/>
                <w:szCs w:val="24"/>
              </w:rPr>
              <w:t>调查</w:t>
            </w:r>
            <w:r>
              <w:rPr>
                <w:rFonts w:ascii="Times New Roman" w:hAnsi="Times New Roman"/>
                <w:color w:val="auto"/>
                <w:sz w:val="24"/>
                <w:szCs w:val="24"/>
                <w:lang w:val="zh-CN"/>
              </w:rPr>
              <w:t>结果，本项目评价区范围内未发现有国家级、云南省级保护野生植物</w:t>
            </w:r>
            <w:r>
              <w:rPr>
                <w:rFonts w:ascii="Times New Roman" w:hAnsi="Times New Roman"/>
                <w:color w:val="auto"/>
                <w:sz w:val="24"/>
                <w:szCs w:val="24"/>
              </w:rPr>
              <w:t>和古树名木分布</w:t>
            </w:r>
            <w:r>
              <w:rPr>
                <w:rFonts w:ascii="Times New Roman" w:hAnsi="Times New Roman"/>
                <w:color w:val="auto"/>
                <w:sz w:val="24"/>
                <w:szCs w:val="24"/>
                <w:lang w:val="zh-CN"/>
              </w:rPr>
              <w:t>，工程建设对野生保护植物</w:t>
            </w:r>
            <w:r>
              <w:rPr>
                <w:rFonts w:ascii="Times New Roman" w:hAnsi="Times New Roman"/>
                <w:color w:val="auto"/>
                <w:sz w:val="24"/>
                <w:szCs w:val="24"/>
              </w:rPr>
              <w:t>和古树名木</w:t>
            </w:r>
            <w:r>
              <w:rPr>
                <w:rFonts w:ascii="Times New Roman" w:hAnsi="Times New Roman"/>
                <w:color w:val="auto"/>
                <w:sz w:val="24"/>
                <w:szCs w:val="24"/>
                <w:lang w:val="zh-CN"/>
              </w:rPr>
              <w:t>无影响。同时，野外调查在评价区范围内未发现云南省极小种群物种，未发现评价区内有区域狭域物种分布、未发现名木古树分布，因此本工程建设对重要物种无直接影响。</w:t>
            </w:r>
          </w:p>
          <w:p w14:paraId="5EB9CC9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③对外来入侵植物的影响</w:t>
            </w:r>
          </w:p>
          <w:p w14:paraId="18EA30F2">
            <w:pPr>
              <w:adjustRightInd w:val="0"/>
              <w:snapToGrid w:val="0"/>
              <w:spacing w:line="440" w:lineRule="exact"/>
              <w:ind w:firstLine="480" w:firstLineChars="200"/>
              <w:rPr>
                <w:rFonts w:ascii="Times New Roman" w:hAnsi="Times New Roman"/>
                <w:color w:val="auto"/>
                <w:sz w:val="24"/>
                <w:szCs w:val="24"/>
                <w:lang w:val="zh-CN"/>
              </w:rPr>
            </w:pPr>
            <w:r>
              <w:rPr>
                <w:rFonts w:ascii="Times New Roman" w:hAnsi="Times New Roman"/>
                <w:color w:val="auto"/>
                <w:sz w:val="24"/>
                <w:szCs w:val="24"/>
              </w:rPr>
              <w:t>本项目输电线路跨度较大，施工期全线开工，人流、车流量较大，人员出入及材料的运输等传播途径可能带来一些外来物种，工程的施工会形成少量地表裸露的环境，其生境或植物群落的类型和结构会发生轻微变化，在这些生境中会随机带入外来植物，如紫茎泽兰</w:t>
            </w:r>
            <w:r>
              <w:rPr>
                <w:rFonts w:ascii="Times New Roman" w:hAnsi="Times New Roman"/>
                <w:i/>
                <w:iCs/>
                <w:color w:val="auto"/>
                <w:sz w:val="24"/>
                <w:szCs w:val="24"/>
              </w:rPr>
              <w:t>Ageratina adenophora</w:t>
            </w:r>
            <w:r>
              <w:rPr>
                <w:rFonts w:ascii="Times New Roman" w:hAnsi="Times New Roman"/>
                <w:color w:val="auto"/>
                <w:sz w:val="24"/>
                <w:szCs w:val="24"/>
              </w:rPr>
              <w:t>、</w:t>
            </w:r>
            <w:r>
              <w:rPr>
                <w:rFonts w:hint="eastAsia" w:ascii="Times New Roman" w:hAnsi="Times New Roman"/>
                <w:color w:val="auto"/>
                <w:sz w:val="24"/>
                <w:szCs w:val="24"/>
              </w:rPr>
              <w:t>白酒草</w:t>
            </w:r>
            <w:r>
              <w:rPr>
                <w:rFonts w:ascii="Times New Roman" w:hAnsi="Times New Roman"/>
                <w:i/>
                <w:iCs/>
                <w:color w:val="auto"/>
                <w:sz w:val="24"/>
                <w:szCs w:val="24"/>
              </w:rPr>
              <w:t>Eschenbachia japonica</w:t>
            </w:r>
            <w:r>
              <w:rPr>
                <w:rFonts w:ascii="Times New Roman" w:hAnsi="Times New Roman"/>
                <w:color w:val="auto"/>
                <w:sz w:val="24"/>
                <w:szCs w:val="24"/>
              </w:rPr>
              <w:t> </w:t>
            </w:r>
            <w:r>
              <w:rPr>
                <w:rFonts w:hint="eastAsia" w:ascii="Times New Roman" w:hAnsi="Times New Roman"/>
                <w:color w:val="auto"/>
                <w:sz w:val="24"/>
                <w:szCs w:val="24"/>
              </w:rPr>
              <w:t>、革命菜</w:t>
            </w:r>
            <w:r>
              <w:rPr>
                <w:rFonts w:ascii="Times New Roman" w:hAnsi="Times New Roman"/>
                <w:i/>
                <w:iCs/>
                <w:color w:val="auto"/>
                <w:sz w:val="24"/>
                <w:szCs w:val="24"/>
              </w:rPr>
              <w:t>Crassocephalum crepidioides</w:t>
            </w:r>
            <w:r>
              <w:rPr>
                <w:rFonts w:hint="eastAsia" w:ascii="Times New Roman" w:hAnsi="Times New Roman"/>
                <w:color w:val="auto"/>
                <w:sz w:val="24"/>
                <w:szCs w:val="24"/>
              </w:rPr>
              <w:t>、牛膝菊</w:t>
            </w:r>
            <w:r>
              <w:rPr>
                <w:rFonts w:ascii="Times New Roman" w:hAnsi="Times New Roman"/>
                <w:i/>
                <w:iCs/>
                <w:color w:val="auto"/>
                <w:sz w:val="24"/>
                <w:szCs w:val="24"/>
              </w:rPr>
              <w:t>Galinsoga parviflora</w:t>
            </w:r>
            <w:r>
              <w:rPr>
                <w:rFonts w:hint="eastAsia" w:ascii="Times New Roman" w:hAnsi="Times New Roman"/>
                <w:color w:val="auto"/>
                <w:sz w:val="24"/>
                <w:szCs w:val="24"/>
              </w:rPr>
              <w:t>、牛膝菊、</w:t>
            </w:r>
            <w:r>
              <w:rPr>
                <w:rFonts w:ascii="Times New Roman" w:hAnsi="Times New Roman"/>
                <w:color w:val="auto"/>
                <w:sz w:val="24"/>
                <w:szCs w:val="24"/>
              </w:rPr>
              <w:t>鬼针草</w:t>
            </w:r>
            <w:r>
              <w:rPr>
                <w:rFonts w:ascii="Times New Roman" w:hAnsi="Times New Roman"/>
                <w:i/>
                <w:iCs/>
                <w:color w:val="auto"/>
                <w:sz w:val="24"/>
                <w:szCs w:val="24"/>
              </w:rPr>
              <w:t>Biden spilosa</w:t>
            </w:r>
            <w:r>
              <w:rPr>
                <w:rFonts w:ascii="Times New Roman" w:hAnsi="Times New Roman"/>
                <w:color w:val="auto"/>
                <w:sz w:val="24"/>
                <w:szCs w:val="24"/>
              </w:rPr>
              <w:t>等，使其分布范围有所扩大，外来物种在一定范围内若形成优势群落，将对当地物种产生一定的排斥，使区域内植被类型受到一定的影响。本项目施工周期较短，塔基点状施工造成的开挖裸露面不大，施工期尽量选择当地的旱季，且塔基开挖到浇筑到安装铁塔的持续时间很短，根据项目施工设计，不会超过</w:t>
            </w:r>
            <w:r>
              <w:rPr>
                <w:rFonts w:hint="eastAsia" w:ascii="Times New Roman" w:hAnsi="Times New Roman"/>
                <w:color w:val="auto"/>
                <w:sz w:val="24"/>
                <w:szCs w:val="24"/>
                <w:lang w:val="en-US" w:eastAsia="zh-CN"/>
              </w:rPr>
              <w:t>8</w:t>
            </w:r>
            <w:r>
              <w:rPr>
                <w:rFonts w:ascii="Times New Roman" w:hAnsi="Times New Roman"/>
                <w:color w:val="auto"/>
                <w:sz w:val="24"/>
                <w:szCs w:val="24"/>
              </w:rPr>
              <w:t>个月，不会造成外来入侵植物短期大量增长的情况。在施工中通过采取严格检查进入施工区车辆和材料、及时销毁外来种等措施，可有效控制外来入侵植物影响急剧恶化的状况发生。</w:t>
            </w:r>
          </w:p>
          <w:p w14:paraId="6B646BF5">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（4）</w:t>
            </w:r>
            <w:r>
              <w:rPr>
                <w:rFonts w:ascii="Times New Roman" w:hAnsi="Times New Roman"/>
                <w:b/>
                <w:color w:val="auto"/>
                <w:sz w:val="24"/>
                <w:szCs w:val="24"/>
              </w:rPr>
              <w:t>对动物影响分析</w:t>
            </w:r>
          </w:p>
          <w:p w14:paraId="068E911D">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snapToGrid w:val="0"/>
                <w:color w:val="auto"/>
                <w:sz w:val="24"/>
                <w:szCs w:val="24"/>
                <w:lang w:val="zh-CN"/>
              </w:rPr>
              <w:t>项目建设对陆生脊椎动物的影响主要表现在对动物栖息环境的影响和对动物本身的影响两个方面。</w:t>
            </w:r>
            <w:r>
              <w:rPr>
                <w:rFonts w:ascii="Times New Roman" w:hAnsi="Times New Roman"/>
                <w:bCs/>
                <w:color w:val="auto"/>
                <w:sz w:val="24"/>
                <w:szCs w:val="24"/>
              </w:rPr>
              <w:t>工程施工期对动物的影响主要表现在工程建设、运输及污染物排放等人类活动频率加剧带来的不利影响，重点影响区域主要为工程扰动区（永久和临时占地区）及周围300m范围区域。项目评价范围内受影响的动物主要是小型兽类和鸟类。</w:t>
            </w:r>
          </w:p>
          <w:p w14:paraId="2661C9C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1）对两栖爬行类动物的影响</w:t>
            </w:r>
          </w:p>
          <w:p w14:paraId="10875CC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本工程线路沿线的两栖爬行动物主要栖息于农田、溪流及附近的林木、灌丛、杂草中，受工程影响的主要是栖息于上述环境中的常见物种。</w:t>
            </w:r>
          </w:p>
          <w:p w14:paraId="33FFAEBD">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工程施工对两栖爬行类动物的影响包括对其栖息地生境的干扰和破坏，施工机械噪声对动物的驱赶；这些影响将使大部分动物迁移他处，远离施工区范围；小部分动物由于栖息地的散失而可能从项目区消失。总体来说，施工期间虽会使项目占地区及施工影响区两栖爬行动物的种类和数量有所减少，但对整个项目区两栖爬行动物的种群数量的影响十分有限。一方面这些动物将迁徙</w:t>
            </w:r>
            <w:r>
              <w:rPr>
                <w:rFonts w:hint="eastAsia" w:ascii="Times New Roman" w:hAnsi="Times New Roman"/>
                <w:bCs/>
                <w:color w:val="auto"/>
                <w:sz w:val="24"/>
                <w:szCs w:val="24"/>
              </w:rPr>
              <w:t>他</w:t>
            </w:r>
            <w:r>
              <w:rPr>
                <w:rFonts w:ascii="Times New Roman" w:hAnsi="Times New Roman"/>
                <w:bCs/>
                <w:color w:val="auto"/>
                <w:sz w:val="24"/>
                <w:szCs w:val="24"/>
              </w:rPr>
              <w:t>处；另一方面随着项目建设的完成，生境的恢复，两栖爬行动物的种群数量将很快得以恢复。</w:t>
            </w:r>
          </w:p>
          <w:p w14:paraId="72DF5E13">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2）对鸟类动物的影响</w:t>
            </w:r>
          </w:p>
          <w:p w14:paraId="7E2901CC">
            <w:pPr>
              <w:adjustRightInd w:val="0"/>
              <w:snapToGrid w:val="0"/>
              <w:spacing w:line="440" w:lineRule="exact"/>
              <w:ind w:firstLine="480" w:firstLineChars="200"/>
              <w:rPr>
                <w:rFonts w:ascii="Times New Roman" w:hAnsi="Times New Roman"/>
                <w:bCs/>
                <w:color w:val="auto"/>
                <w:sz w:val="24"/>
                <w:szCs w:val="24"/>
                <w:lang w:val="zh-CN"/>
              </w:rPr>
            </w:pPr>
            <w:r>
              <w:rPr>
                <w:rFonts w:ascii="Times New Roman" w:hAnsi="Times New Roman"/>
                <w:bCs/>
                <w:color w:val="auto"/>
                <w:sz w:val="24"/>
                <w:szCs w:val="24"/>
                <w:lang w:val="zh-CN"/>
              </w:rPr>
              <w:t>施工期间对鸟类的影响主要表现为：人为活动的增加以及施工便道的开挖和噪声、施工机械</w:t>
            </w:r>
            <w:r>
              <w:rPr>
                <w:rFonts w:ascii="Times New Roman" w:hAnsi="Times New Roman"/>
                <w:bCs/>
                <w:color w:val="auto"/>
                <w:sz w:val="24"/>
                <w:szCs w:val="24"/>
              </w:rPr>
              <w:t>噪声</w:t>
            </w:r>
            <w:r>
              <w:rPr>
                <w:rFonts w:ascii="Times New Roman" w:hAnsi="Times New Roman"/>
                <w:bCs/>
                <w:color w:val="auto"/>
                <w:sz w:val="24"/>
                <w:szCs w:val="24"/>
                <w:lang w:val="zh-CN"/>
              </w:rPr>
              <w:t>等均会惊吓、干扰某些鸟类，尤其对一些林栖鸟类会产生干扰。但鸟类能凭借自身的飞翔能力离开施工影响区域，寻找适宜的栖息地。只要施工过程没有影响到鸟类集中的栖息或繁殖地，就不会影响工程沿线鸟类种群及其长期生存繁衍的环境。施工活动对于伴人活动的一些鸟类，诸如黄臀鹎、麻雀数量可能会有所增加；而对于其他鸟类可能会产生干扰，导致种类和数量明显减少，但不</w:t>
            </w:r>
            <w:r>
              <w:rPr>
                <w:rFonts w:hint="eastAsia" w:ascii="Times New Roman" w:hAnsi="Times New Roman"/>
                <w:bCs/>
                <w:color w:val="auto"/>
                <w:sz w:val="24"/>
                <w:szCs w:val="24"/>
                <w:lang w:val="zh-CN"/>
              </w:rPr>
              <w:t>会导</w:t>
            </w:r>
            <w:r>
              <w:rPr>
                <w:rFonts w:ascii="Times New Roman" w:hAnsi="Times New Roman"/>
                <w:bCs/>
                <w:color w:val="auto"/>
                <w:sz w:val="24"/>
                <w:szCs w:val="24"/>
                <w:lang w:val="zh-CN"/>
              </w:rPr>
              <w:t>致其消失。</w:t>
            </w:r>
          </w:p>
          <w:p w14:paraId="0636FBE7">
            <w:pPr>
              <w:adjustRightInd w:val="0"/>
              <w:snapToGrid w:val="0"/>
              <w:spacing w:line="440" w:lineRule="exact"/>
              <w:ind w:firstLine="480" w:firstLineChars="200"/>
              <w:rPr>
                <w:rFonts w:ascii="Times New Roman" w:hAnsi="Times New Roman"/>
                <w:bCs/>
                <w:color w:val="auto"/>
                <w:sz w:val="24"/>
                <w:szCs w:val="24"/>
                <w:lang w:val="zh-CN"/>
              </w:rPr>
            </w:pPr>
            <w:r>
              <w:rPr>
                <w:rFonts w:ascii="Times New Roman" w:hAnsi="Times New Roman"/>
                <w:bCs/>
                <w:color w:val="auto"/>
                <w:sz w:val="24"/>
                <w:szCs w:val="24"/>
                <w:lang w:val="zh-CN"/>
              </w:rPr>
              <w:t>总体来看，评价区施工区没有鸟类集中的栖息或繁殖地，更没有重点保护野生鸟类的固定繁殖地；而施工期由于人为活动、施工噪声等会惊吓干扰的鸟类会暂时避绕到影响区外觅食，但由于大部分鸟类活动能力与范围较广，受影响施工影响十分有限。</w:t>
            </w:r>
          </w:p>
          <w:p w14:paraId="066A8C16">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3）对哺乳类动物的影响</w:t>
            </w:r>
          </w:p>
          <w:p w14:paraId="408CE030">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塔基的设置，基本不占据动物的栖息地，占用植被有限且非区域原生植被，大大降低了对该区哺乳动物的影响；评价区内的灌草丛可能是一些小型兽类活动较多的地方，工程临时占地与永久占地，会压缩该区动物的活动空间，降低种群数量与出现频率。</w:t>
            </w:r>
          </w:p>
          <w:p w14:paraId="7781741D">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施工期间对兽类的影响主要表现为：对动物觅食地所在生态环境的破坏，包括对施工区林地植被的破坏和林木的砍伐、爆破所产生的噪声，弃渣场作业、各种施工人员以及施工机械的干扰等，使评价区及其周边环境发生改变，受影响的主要是适生于灌丛、草丛等的小型兽类，将迁移至附近受干扰小的区域，在施工区附近区域上述兽类栖息适宜度降低，种类和数量将相应减少，而伴随人类生活的一些啮齿目、食虫目动物（如小家鼠等），其种群数量会有所增加，与之相适应，主要以鼠类为食的黄鼬等种群数量将会有所增加。工程建成后，随着植被的逐渐恢复，生态环境的好转，人为干扰减少，许多外迁的兽类会陆续回到原来的栖息地。</w:t>
            </w:r>
          </w:p>
          <w:p w14:paraId="3C508534">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4）对重要野生保护动物的影响</w:t>
            </w:r>
          </w:p>
          <w:p w14:paraId="781301B7">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本项目评价区记录的陆栖脊椎动物中，有国家二级保护动物5种。评价范围内会有上述重要物种活动，是因为其活动范围较大，它们在云南大部分地区均有分布，现场调查过程中没有发现其栖息地，根据访问调查及相关资料，评价区有该物种活动，但评价区不属于其主要栖息地。</w:t>
            </w:r>
          </w:p>
          <w:p w14:paraId="0C35C3EB">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在上述保护物种中，普通鵟、红隼、松雀鹰均为高空猛禽，这些猛禽只是偶尔会到评价区的空中飞翔、觅食，均未发现它们在评价区范围内筑巢繁殖，也未发现适宜它们繁殖的生境。工程建设会一定程度上压缩这些物种的生境，但这种影响十分有限，且其活动能力较强，受影响时会自行避让和选择新的生境，工程建设对其不良影响很小。</w:t>
            </w:r>
            <w:bookmarkStart w:id="93" w:name="_Toc28674"/>
            <w:r>
              <w:rPr>
                <w:rFonts w:ascii="Times New Roman" w:hAnsi="Times New Roman"/>
                <w:bCs/>
                <w:color w:val="auto"/>
                <w:sz w:val="24"/>
                <w:szCs w:val="24"/>
              </w:rPr>
              <w:t>且根据分析，工程建设范围均不涉及保护动物重要生境。</w:t>
            </w:r>
          </w:p>
          <w:p w14:paraId="05A9BA5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红隼主要分布于评价区东部林地，评价区为红隼的觅食区域，工程施工对其影响主要是施工占用其觅食生境，但由于施工占地面积很小，涉及其生境的线路均不布设基塔，仅线路穿越，对红隼的影响较小。</w:t>
            </w:r>
          </w:p>
          <w:p w14:paraId="5B5F006F">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普通鵟主要分布于</w:t>
            </w:r>
            <w:r>
              <w:rPr>
                <w:rFonts w:hint="eastAsia" w:ascii="Times New Roman" w:hAnsi="Times New Roman"/>
                <w:bCs/>
                <w:color w:val="auto"/>
                <w:sz w:val="24"/>
                <w:szCs w:val="24"/>
              </w:rPr>
              <w:t>评价区西</w:t>
            </w:r>
            <w:r>
              <w:rPr>
                <w:rFonts w:ascii="Times New Roman" w:hAnsi="Times New Roman"/>
                <w:bCs/>
                <w:color w:val="auto"/>
                <w:sz w:val="24"/>
                <w:szCs w:val="24"/>
              </w:rPr>
              <w:t>侧区域山坡边缘，评价区为普通鵟的觅食区域，工程施工对其影响主要是施工占用其觅食生境，但由于施工占地面积很小，涉及其生境的线路均不布设基塔，仅线路穿越，对普通鵟的影响较小。</w:t>
            </w:r>
          </w:p>
          <w:p w14:paraId="2DDC151D">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画眉为小型鸣禽，主要分布在评价区靠近村庄的灌草丛，工程占用的林地不涉及其适宜生境，但施工噪声会对其造成趋避影响，施工期间其在评价区内数量将下降。</w:t>
            </w:r>
          </w:p>
          <w:p w14:paraId="795BD452">
            <w:pPr>
              <w:adjustRightInd w:val="0"/>
              <w:snapToGrid w:val="0"/>
              <w:spacing w:line="440" w:lineRule="exact"/>
              <w:ind w:firstLine="480" w:firstLineChars="200"/>
              <w:rPr>
                <w:rFonts w:hint="eastAsia" w:ascii="Times New Roman" w:hAnsi="Times New Roman"/>
                <w:bCs/>
                <w:color w:val="auto"/>
                <w:sz w:val="24"/>
                <w:szCs w:val="24"/>
              </w:rPr>
            </w:pPr>
            <w:r>
              <w:rPr>
                <w:rFonts w:hint="eastAsia" w:ascii="Times New Roman" w:hAnsi="Times New Roman"/>
                <w:bCs/>
                <w:color w:val="auto"/>
                <w:sz w:val="24"/>
                <w:szCs w:val="24"/>
              </w:rPr>
              <w:t>豹猫在评价区内较为罕见，工程对其影响主要为噪声影响，将造成其在施工期评价范围内数量的下降。</w:t>
            </w:r>
          </w:p>
          <w:p w14:paraId="66A0982F">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另外，工程施工建设期间，将有大量施工人员进驻，可能会因施工人员的非法捕猎，对项目区野生动物资源造成破坏，特别是国家重点保护野生动物。需采取严格的施工人员管理措施，严禁非法捕杀野生动物，加强施工过程中生态环境监督管理，发现受伤野生动物个体或幼崽需及时向地方野生动物保护主管部门报告。在采取措施后，工程施工人员活动对野生动物的不利影响，总体上是可控的。</w:t>
            </w:r>
          </w:p>
          <w:p w14:paraId="39FB3890">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综上所述，工程建设对这些重要物种会有一定的不良影响，但这种不良影响有限，既不会造成这些动物当地种群数量显著下降，更不会因工程建设而导致这些动物在当地濒危或灭绝，总体影响很小。</w:t>
            </w:r>
          </w:p>
          <w:bookmarkEnd w:id="93"/>
          <w:p w14:paraId="75B5BEF5">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lang w:val="zh-CN"/>
              </w:rPr>
              <w:t>（</w:t>
            </w:r>
            <w:r>
              <w:rPr>
                <w:rFonts w:hint="eastAsia" w:ascii="Times New Roman" w:hAnsi="Times New Roman"/>
                <w:b/>
                <w:color w:val="auto"/>
                <w:sz w:val="24"/>
                <w:szCs w:val="24"/>
              </w:rPr>
              <w:t>5</w:t>
            </w:r>
            <w:r>
              <w:rPr>
                <w:rFonts w:ascii="Times New Roman" w:hAnsi="Times New Roman"/>
                <w:b/>
                <w:color w:val="auto"/>
                <w:sz w:val="24"/>
                <w:szCs w:val="24"/>
                <w:lang w:val="zh-CN"/>
              </w:rPr>
              <w:t>）对生态系统影响</w:t>
            </w:r>
            <w:r>
              <w:rPr>
                <w:rFonts w:hint="eastAsia" w:ascii="Times New Roman" w:hAnsi="Times New Roman"/>
                <w:b/>
                <w:color w:val="auto"/>
                <w:sz w:val="24"/>
                <w:szCs w:val="24"/>
              </w:rPr>
              <w:t>分析</w:t>
            </w:r>
          </w:p>
          <w:p w14:paraId="586BA441">
            <w:pPr>
              <w:pStyle w:val="5"/>
              <w:numPr>
                <w:ilvl w:val="2"/>
                <w:numId w:val="0"/>
              </w:numPr>
              <w:adjustRightInd w:val="0"/>
              <w:snapToGrid w:val="0"/>
              <w:spacing w:line="440" w:lineRule="exact"/>
              <w:ind w:firstLine="480" w:firstLineChars="200"/>
              <w:rPr>
                <w:rFonts w:ascii="Times New Roman" w:hAnsi="Times New Roman"/>
                <w:b w:val="0"/>
                <w:bCs w:val="0"/>
                <w:color w:val="auto"/>
                <w:szCs w:val="24"/>
              </w:rPr>
            </w:pPr>
            <w:r>
              <w:rPr>
                <w:rFonts w:hint="eastAsia" w:ascii="Times New Roman" w:hAnsi="Times New Roman"/>
                <w:b w:val="0"/>
                <w:bCs w:val="0"/>
                <w:color w:val="auto"/>
                <w:szCs w:val="24"/>
              </w:rPr>
              <w:t>1）</w:t>
            </w:r>
            <w:r>
              <w:rPr>
                <w:rFonts w:ascii="Times New Roman" w:hAnsi="Times New Roman"/>
                <w:b w:val="0"/>
                <w:bCs w:val="0"/>
                <w:color w:val="auto"/>
                <w:szCs w:val="24"/>
              </w:rPr>
              <w:t>对植被生产力影响</w:t>
            </w:r>
          </w:p>
          <w:p w14:paraId="34893724">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根据占地数据及各植被类型的平均生产力，计算拟建项目永久占地引起的植被生产力损失。</w:t>
            </w:r>
          </w:p>
          <w:p w14:paraId="0F153EA4">
            <w:pPr>
              <w:adjustRightInd w:val="0"/>
              <w:snapToGrid w:val="0"/>
              <w:ind w:firstLine="482"/>
              <w:jc w:val="center"/>
              <w:rPr>
                <w:rFonts w:ascii="Times New Roman" w:hAnsi="Times New Roman"/>
                <w:b/>
                <w:color w:val="auto"/>
                <w:sz w:val="24"/>
                <w:szCs w:val="32"/>
              </w:rPr>
            </w:pPr>
            <w:r>
              <w:rPr>
                <w:rFonts w:ascii="Times New Roman" w:hAnsi="Times New Roman"/>
                <w:b/>
                <w:color w:val="auto"/>
                <w:sz w:val="24"/>
                <w:szCs w:val="32"/>
              </w:rPr>
              <w:t>表</w:t>
            </w:r>
            <w:r>
              <w:rPr>
                <w:rFonts w:hint="eastAsia" w:ascii="Times New Roman" w:hAnsi="Times New Roman"/>
                <w:b/>
                <w:color w:val="auto"/>
                <w:sz w:val="24"/>
                <w:szCs w:val="32"/>
              </w:rPr>
              <w:t>4-3</w:t>
            </w:r>
            <w:r>
              <w:rPr>
                <w:rFonts w:ascii="Times New Roman" w:hAnsi="Times New Roman"/>
                <w:b/>
                <w:color w:val="auto"/>
                <w:sz w:val="24"/>
                <w:szCs w:val="32"/>
              </w:rPr>
              <w:t xml:space="preserve">  评价区占用植被类型及生产力损失估算表</w:t>
            </w:r>
          </w:p>
          <w:tbl>
            <w:tblPr>
              <w:tblStyle w:val="2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91"/>
              <w:gridCol w:w="945"/>
              <w:gridCol w:w="1217"/>
              <w:gridCol w:w="1261"/>
              <w:gridCol w:w="1256"/>
              <w:gridCol w:w="1162"/>
            </w:tblGrid>
            <w:tr w14:paraId="446F9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36" w:type="pct"/>
                  <w:vMerge w:val="restart"/>
                  <w:tcBorders>
                    <w:tl2br w:val="nil"/>
                    <w:tr2bl w:val="nil"/>
                  </w:tcBorders>
                  <w:shd w:val="clear" w:color="auto" w:fill="auto"/>
                  <w:vAlign w:val="center"/>
                </w:tcPr>
                <w:p w14:paraId="3D10D5E5">
                  <w:pPr>
                    <w:adjustRightInd w:val="0"/>
                    <w:snapToGrid w:val="0"/>
                    <w:jc w:val="center"/>
                    <w:rPr>
                      <w:rFonts w:ascii="Times New Roman" w:hAnsi="Times New Roman"/>
                      <w:b/>
                      <w:bCs/>
                      <w:color w:val="auto"/>
                      <w:szCs w:val="21"/>
                    </w:rPr>
                  </w:pPr>
                  <w:r>
                    <w:rPr>
                      <w:rFonts w:ascii="Times New Roman" w:hAnsi="Times New Roman"/>
                      <w:b/>
                      <w:bCs/>
                      <w:color w:val="auto"/>
                      <w:szCs w:val="21"/>
                    </w:rPr>
                    <w:t>生态系统类型</w:t>
                  </w:r>
                </w:p>
              </w:tc>
              <w:tc>
                <w:tcPr>
                  <w:tcW w:w="1281" w:type="pct"/>
                  <w:gridSpan w:val="2"/>
                  <w:tcBorders>
                    <w:tl2br w:val="nil"/>
                    <w:tr2bl w:val="nil"/>
                  </w:tcBorders>
                  <w:shd w:val="clear" w:color="auto" w:fill="auto"/>
                  <w:vAlign w:val="center"/>
                </w:tcPr>
                <w:p w14:paraId="49EA947F">
                  <w:pPr>
                    <w:adjustRightInd w:val="0"/>
                    <w:snapToGrid w:val="0"/>
                    <w:jc w:val="center"/>
                    <w:rPr>
                      <w:rFonts w:ascii="Times New Roman" w:hAnsi="Times New Roman"/>
                      <w:b/>
                      <w:bCs/>
                      <w:color w:val="auto"/>
                      <w:szCs w:val="21"/>
                    </w:rPr>
                  </w:pPr>
                  <w:r>
                    <w:rPr>
                      <w:rFonts w:ascii="Times New Roman" w:hAnsi="Times New Roman"/>
                      <w:b/>
                      <w:bCs/>
                      <w:color w:val="auto"/>
                      <w:szCs w:val="21"/>
                    </w:rPr>
                    <w:t>占用面积(hm</w:t>
                  </w:r>
                  <w:r>
                    <w:rPr>
                      <w:rFonts w:ascii="Times New Roman" w:hAnsi="Times New Roman"/>
                      <w:b/>
                      <w:bCs/>
                      <w:color w:val="auto"/>
                      <w:szCs w:val="21"/>
                      <w:vertAlign w:val="superscript"/>
                    </w:rPr>
                    <w:t>2</w:t>
                  </w:r>
                  <w:r>
                    <w:rPr>
                      <w:rFonts w:ascii="Times New Roman" w:hAnsi="Times New Roman"/>
                      <w:b/>
                      <w:bCs/>
                      <w:color w:val="auto"/>
                      <w:szCs w:val="21"/>
                    </w:rPr>
                    <w:t>)</w:t>
                  </w:r>
                </w:p>
              </w:tc>
              <w:tc>
                <w:tcPr>
                  <w:tcW w:w="748" w:type="pct"/>
                  <w:vMerge w:val="restart"/>
                  <w:tcBorders>
                    <w:tl2br w:val="nil"/>
                    <w:tr2bl w:val="nil"/>
                  </w:tcBorders>
                  <w:shd w:val="clear" w:color="auto" w:fill="auto"/>
                  <w:vAlign w:val="center"/>
                </w:tcPr>
                <w:p w14:paraId="474FB1F7">
                  <w:pPr>
                    <w:adjustRightInd w:val="0"/>
                    <w:snapToGrid w:val="0"/>
                    <w:jc w:val="center"/>
                    <w:rPr>
                      <w:rFonts w:ascii="Times New Roman" w:hAnsi="Times New Roman"/>
                      <w:b/>
                      <w:bCs/>
                      <w:color w:val="auto"/>
                      <w:szCs w:val="21"/>
                    </w:rPr>
                  </w:pPr>
                  <w:r>
                    <w:rPr>
                      <w:rFonts w:ascii="Times New Roman" w:hAnsi="Times New Roman"/>
                      <w:b/>
                      <w:bCs/>
                      <w:color w:val="auto"/>
                      <w:szCs w:val="21"/>
                    </w:rPr>
                    <w:t>平均生产力（t/ a）</w:t>
                  </w:r>
                </w:p>
              </w:tc>
              <w:tc>
                <w:tcPr>
                  <w:tcW w:w="1434" w:type="pct"/>
                  <w:gridSpan w:val="2"/>
                  <w:tcBorders>
                    <w:tl2br w:val="nil"/>
                    <w:tr2bl w:val="nil"/>
                  </w:tcBorders>
                  <w:shd w:val="clear" w:color="auto" w:fill="auto"/>
                  <w:vAlign w:val="center"/>
                </w:tcPr>
                <w:p w14:paraId="576B24CD">
                  <w:pPr>
                    <w:adjustRightInd w:val="0"/>
                    <w:snapToGrid w:val="0"/>
                    <w:jc w:val="center"/>
                    <w:rPr>
                      <w:rFonts w:ascii="Times New Roman" w:hAnsi="Times New Roman"/>
                      <w:b/>
                      <w:bCs/>
                      <w:color w:val="auto"/>
                      <w:szCs w:val="21"/>
                    </w:rPr>
                  </w:pPr>
                  <w:r>
                    <w:rPr>
                      <w:rFonts w:ascii="Times New Roman" w:hAnsi="Times New Roman"/>
                      <w:b/>
                      <w:bCs/>
                      <w:color w:val="auto"/>
                      <w:szCs w:val="21"/>
                    </w:rPr>
                    <w:t>损失</w:t>
                  </w:r>
                  <w:r>
                    <w:rPr>
                      <w:rFonts w:hint="eastAsia" w:ascii="Times New Roman" w:hAnsi="Times New Roman"/>
                      <w:b/>
                      <w:bCs/>
                      <w:color w:val="auto"/>
                      <w:szCs w:val="21"/>
                    </w:rPr>
                    <w:t>生产力</w:t>
                  </w:r>
                  <w:r>
                    <w:rPr>
                      <w:rFonts w:ascii="Times New Roman" w:hAnsi="Times New Roman"/>
                      <w:b/>
                      <w:bCs/>
                      <w:color w:val="auto"/>
                      <w:szCs w:val="21"/>
                    </w:rPr>
                    <w:t>（t/a）</w:t>
                  </w:r>
                </w:p>
              </w:tc>
            </w:tr>
            <w:tr w14:paraId="7B2C9B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36" w:type="pct"/>
                  <w:vMerge w:val="continue"/>
                  <w:tcBorders>
                    <w:tl2br w:val="nil"/>
                    <w:tr2bl w:val="nil"/>
                  </w:tcBorders>
                  <w:shd w:val="clear" w:color="auto" w:fill="auto"/>
                  <w:vAlign w:val="center"/>
                </w:tcPr>
                <w:p w14:paraId="0926E9EE">
                  <w:pPr>
                    <w:adjustRightInd w:val="0"/>
                    <w:snapToGrid w:val="0"/>
                    <w:jc w:val="center"/>
                    <w:rPr>
                      <w:rFonts w:ascii="Times New Roman" w:hAnsi="Times New Roman"/>
                      <w:b/>
                      <w:bCs/>
                      <w:color w:val="auto"/>
                      <w:szCs w:val="21"/>
                    </w:rPr>
                  </w:pPr>
                </w:p>
              </w:tc>
              <w:tc>
                <w:tcPr>
                  <w:tcW w:w="560" w:type="pct"/>
                  <w:tcBorders>
                    <w:tl2br w:val="nil"/>
                    <w:tr2bl w:val="nil"/>
                  </w:tcBorders>
                  <w:shd w:val="clear" w:color="auto" w:fill="auto"/>
                  <w:vAlign w:val="center"/>
                </w:tcPr>
                <w:p w14:paraId="34E900D7">
                  <w:pPr>
                    <w:adjustRightInd w:val="0"/>
                    <w:snapToGrid w:val="0"/>
                    <w:jc w:val="center"/>
                    <w:rPr>
                      <w:rFonts w:ascii="Times New Roman" w:hAnsi="Times New Roman"/>
                      <w:b/>
                      <w:bCs/>
                      <w:color w:val="auto"/>
                      <w:szCs w:val="21"/>
                    </w:rPr>
                  </w:pPr>
                  <w:r>
                    <w:rPr>
                      <w:rFonts w:ascii="Times New Roman" w:hAnsi="Times New Roman"/>
                      <w:b/>
                      <w:bCs/>
                      <w:color w:val="auto"/>
                      <w:szCs w:val="21"/>
                    </w:rPr>
                    <w:t>永久</w:t>
                  </w:r>
                </w:p>
              </w:tc>
              <w:tc>
                <w:tcPr>
                  <w:tcW w:w="721" w:type="pct"/>
                  <w:tcBorders>
                    <w:tl2br w:val="nil"/>
                    <w:tr2bl w:val="nil"/>
                  </w:tcBorders>
                  <w:shd w:val="clear" w:color="auto" w:fill="auto"/>
                  <w:vAlign w:val="center"/>
                </w:tcPr>
                <w:p w14:paraId="69D2067A">
                  <w:pPr>
                    <w:adjustRightInd w:val="0"/>
                    <w:snapToGrid w:val="0"/>
                    <w:jc w:val="center"/>
                    <w:rPr>
                      <w:rFonts w:ascii="Times New Roman" w:hAnsi="Times New Roman"/>
                      <w:b/>
                      <w:bCs/>
                      <w:color w:val="auto"/>
                      <w:szCs w:val="21"/>
                    </w:rPr>
                  </w:pPr>
                  <w:r>
                    <w:rPr>
                      <w:rFonts w:ascii="Times New Roman" w:hAnsi="Times New Roman"/>
                      <w:b/>
                      <w:bCs/>
                      <w:color w:val="auto"/>
                      <w:szCs w:val="21"/>
                    </w:rPr>
                    <w:t>临时</w:t>
                  </w:r>
                </w:p>
              </w:tc>
              <w:tc>
                <w:tcPr>
                  <w:tcW w:w="748" w:type="pct"/>
                  <w:vMerge w:val="continue"/>
                  <w:tcBorders>
                    <w:tl2br w:val="nil"/>
                    <w:tr2bl w:val="nil"/>
                  </w:tcBorders>
                  <w:shd w:val="clear" w:color="auto" w:fill="auto"/>
                  <w:vAlign w:val="center"/>
                </w:tcPr>
                <w:p w14:paraId="394F7660">
                  <w:pPr>
                    <w:adjustRightInd w:val="0"/>
                    <w:snapToGrid w:val="0"/>
                    <w:jc w:val="center"/>
                    <w:rPr>
                      <w:rFonts w:ascii="Times New Roman" w:hAnsi="Times New Roman"/>
                      <w:b/>
                      <w:bCs/>
                      <w:color w:val="auto"/>
                      <w:szCs w:val="21"/>
                    </w:rPr>
                  </w:pPr>
                </w:p>
              </w:tc>
              <w:tc>
                <w:tcPr>
                  <w:tcW w:w="745" w:type="pct"/>
                  <w:tcBorders>
                    <w:tl2br w:val="nil"/>
                    <w:tr2bl w:val="nil"/>
                  </w:tcBorders>
                  <w:shd w:val="clear" w:color="auto" w:fill="auto"/>
                  <w:vAlign w:val="center"/>
                </w:tcPr>
                <w:p w14:paraId="387D049C">
                  <w:pPr>
                    <w:adjustRightInd w:val="0"/>
                    <w:snapToGrid w:val="0"/>
                    <w:jc w:val="center"/>
                    <w:rPr>
                      <w:rFonts w:ascii="Times New Roman" w:hAnsi="Times New Roman"/>
                      <w:b/>
                      <w:bCs/>
                      <w:color w:val="auto"/>
                      <w:szCs w:val="21"/>
                    </w:rPr>
                  </w:pPr>
                  <w:r>
                    <w:rPr>
                      <w:rFonts w:ascii="Times New Roman" w:hAnsi="Times New Roman"/>
                      <w:b/>
                      <w:bCs/>
                      <w:color w:val="auto"/>
                      <w:szCs w:val="21"/>
                    </w:rPr>
                    <w:t>永久</w:t>
                  </w:r>
                </w:p>
              </w:tc>
              <w:tc>
                <w:tcPr>
                  <w:tcW w:w="689" w:type="pct"/>
                  <w:tcBorders>
                    <w:tl2br w:val="nil"/>
                    <w:tr2bl w:val="nil"/>
                  </w:tcBorders>
                  <w:shd w:val="clear" w:color="auto" w:fill="auto"/>
                  <w:vAlign w:val="center"/>
                </w:tcPr>
                <w:p w14:paraId="2F26B64E">
                  <w:pPr>
                    <w:adjustRightInd w:val="0"/>
                    <w:snapToGrid w:val="0"/>
                    <w:jc w:val="center"/>
                    <w:rPr>
                      <w:rFonts w:ascii="Times New Roman" w:hAnsi="Times New Roman"/>
                      <w:b/>
                      <w:bCs/>
                      <w:color w:val="auto"/>
                      <w:szCs w:val="21"/>
                    </w:rPr>
                  </w:pPr>
                  <w:r>
                    <w:rPr>
                      <w:rFonts w:ascii="Times New Roman" w:hAnsi="Times New Roman"/>
                      <w:b/>
                      <w:bCs/>
                      <w:color w:val="auto"/>
                      <w:szCs w:val="21"/>
                    </w:rPr>
                    <w:t>临时</w:t>
                  </w:r>
                </w:p>
              </w:tc>
            </w:tr>
            <w:tr w14:paraId="75EC8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79624D5B">
                  <w:pPr>
                    <w:adjustRightInd w:val="0"/>
                    <w:snapToGrid w:val="0"/>
                    <w:jc w:val="center"/>
                    <w:rPr>
                      <w:rFonts w:ascii="Times New Roman" w:hAnsi="Times New Roman"/>
                      <w:color w:val="auto"/>
                      <w:szCs w:val="21"/>
                    </w:rPr>
                  </w:pPr>
                  <w:r>
                    <w:rPr>
                      <w:rFonts w:hint="eastAsia" w:ascii="Times New Roman" w:hAnsi="Times New Roman"/>
                      <w:color w:val="auto"/>
                      <w:szCs w:val="21"/>
                    </w:rPr>
                    <w:t>森林生态系统—针叶林</w:t>
                  </w:r>
                </w:p>
              </w:tc>
              <w:tc>
                <w:tcPr>
                  <w:tcW w:w="955" w:type="dxa"/>
                  <w:tcBorders>
                    <w:tl2br w:val="nil"/>
                    <w:tr2bl w:val="nil"/>
                  </w:tcBorders>
                  <w:shd w:val="clear" w:color="auto" w:fill="auto"/>
                  <w:vAlign w:val="center"/>
                </w:tcPr>
                <w:p w14:paraId="4B3E915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0.28</w:t>
                  </w:r>
                </w:p>
              </w:tc>
              <w:tc>
                <w:tcPr>
                  <w:tcW w:w="1229" w:type="dxa"/>
                  <w:tcBorders>
                    <w:tl2br w:val="nil"/>
                    <w:tr2bl w:val="nil"/>
                  </w:tcBorders>
                  <w:shd w:val="clear" w:color="auto" w:fill="auto"/>
                  <w:vAlign w:val="center"/>
                </w:tcPr>
                <w:p w14:paraId="3A59DAF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0.37</w:t>
                  </w:r>
                </w:p>
              </w:tc>
              <w:tc>
                <w:tcPr>
                  <w:tcW w:w="1275" w:type="dxa"/>
                  <w:tcBorders>
                    <w:tl2br w:val="nil"/>
                    <w:tr2bl w:val="nil"/>
                  </w:tcBorders>
                  <w:shd w:val="clear" w:color="auto" w:fill="auto"/>
                  <w:vAlign w:val="center"/>
                </w:tcPr>
                <w:p w14:paraId="2432305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10.47</w:t>
                  </w:r>
                </w:p>
              </w:tc>
              <w:tc>
                <w:tcPr>
                  <w:tcW w:w="1270" w:type="dxa"/>
                  <w:tcBorders>
                    <w:tl2br w:val="nil"/>
                    <w:tr2bl w:val="nil"/>
                  </w:tcBorders>
                  <w:shd w:val="clear" w:color="auto" w:fill="auto"/>
                  <w:vAlign w:val="center"/>
                </w:tcPr>
                <w:p w14:paraId="34744D3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2.9316</w:t>
                  </w:r>
                </w:p>
              </w:tc>
              <w:tc>
                <w:tcPr>
                  <w:tcW w:w="1175" w:type="dxa"/>
                  <w:tcBorders>
                    <w:tl2br w:val="nil"/>
                    <w:tr2bl w:val="nil"/>
                  </w:tcBorders>
                  <w:shd w:val="clear" w:color="auto" w:fill="auto"/>
                  <w:vAlign w:val="center"/>
                </w:tcPr>
                <w:p w14:paraId="6CC252B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3.8739</w:t>
                  </w:r>
                </w:p>
              </w:tc>
            </w:tr>
            <w:tr w14:paraId="04C54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0D466739">
                  <w:pPr>
                    <w:adjustRightInd w:val="0"/>
                    <w:snapToGrid w:val="0"/>
                    <w:jc w:val="center"/>
                    <w:rPr>
                      <w:rFonts w:ascii="Times New Roman" w:hAnsi="Times New Roman"/>
                      <w:color w:val="auto"/>
                      <w:szCs w:val="21"/>
                    </w:rPr>
                  </w:pPr>
                  <w:r>
                    <w:rPr>
                      <w:rFonts w:ascii="Times New Roman" w:hAnsi="Times New Roman"/>
                      <w:color w:val="auto"/>
                      <w:szCs w:val="21"/>
                    </w:rPr>
                    <w:t>灌丛生态系统—</w:t>
                  </w:r>
                  <w:r>
                    <w:rPr>
                      <w:rFonts w:hint="eastAsia" w:ascii="Times New Roman" w:hAnsi="Times New Roman"/>
                      <w:color w:val="auto"/>
                      <w:szCs w:val="21"/>
                    </w:rPr>
                    <w:t>阔叶灌丛</w:t>
                  </w:r>
                </w:p>
              </w:tc>
              <w:tc>
                <w:tcPr>
                  <w:tcW w:w="955" w:type="dxa"/>
                  <w:tcBorders>
                    <w:tl2br w:val="nil"/>
                    <w:tr2bl w:val="nil"/>
                  </w:tcBorders>
                  <w:shd w:val="clear" w:color="auto" w:fill="auto"/>
                  <w:vAlign w:val="center"/>
                </w:tcPr>
                <w:p w14:paraId="60F2AD3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1229" w:type="dxa"/>
                  <w:tcBorders>
                    <w:tl2br w:val="nil"/>
                    <w:tr2bl w:val="nil"/>
                  </w:tcBorders>
                  <w:shd w:val="clear" w:color="auto" w:fill="auto"/>
                  <w:vAlign w:val="center"/>
                </w:tcPr>
                <w:p w14:paraId="58EC7AC3">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1275" w:type="dxa"/>
                  <w:tcBorders>
                    <w:tl2br w:val="nil"/>
                    <w:tr2bl w:val="nil"/>
                  </w:tcBorders>
                  <w:shd w:val="clear" w:color="auto" w:fill="auto"/>
                  <w:vAlign w:val="center"/>
                </w:tcPr>
                <w:p w14:paraId="032E6BE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9.4</w:t>
                  </w:r>
                </w:p>
              </w:tc>
              <w:tc>
                <w:tcPr>
                  <w:tcW w:w="1270" w:type="dxa"/>
                  <w:tcBorders>
                    <w:tl2br w:val="nil"/>
                    <w:tr2bl w:val="nil"/>
                  </w:tcBorders>
                  <w:shd w:val="clear" w:color="auto" w:fill="auto"/>
                  <w:vAlign w:val="center"/>
                </w:tcPr>
                <w:p w14:paraId="26ED2C7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1175" w:type="dxa"/>
                  <w:tcBorders>
                    <w:tl2br w:val="nil"/>
                    <w:tr2bl w:val="nil"/>
                  </w:tcBorders>
                  <w:shd w:val="clear" w:color="auto" w:fill="auto"/>
                  <w:vAlign w:val="center"/>
                </w:tcPr>
                <w:p w14:paraId="73CFC4F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r>
            <w:tr w14:paraId="0FAE4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2039BE8D">
                  <w:pPr>
                    <w:adjustRightInd w:val="0"/>
                    <w:snapToGrid w:val="0"/>
                    <w:jc w:val="center"/>
                    <w:rPr>
                      <w:rFonts w:ascii="Times New Roman" w:hAnsi="Times New Roman"/>
                      <w:color w:val="auto"/>
                      <w:szCs w:val="21"/>
                    </w:rPr>
                  </w:pPr>
                  <w:r>
                    <w:rPr>
                      <w:rFonts w:hint="eastAsia" w:ascii="Times New Roman" w:hAnsi="Times New Roman"/>
                      <w:color w:val="auto"/>
                      <w:szCs w:val="21"/>
                    </w:rPr>
                    <w:t>草丛生态系统</w:t>
                  </w:r>
                  <w:r>
                    <w:rPr>
                      <w:rFonts w:ascii="Times New Roman" w:hAnsi="Times New Roman"/>
                      <w:color w:val="auto"/>
                      <w:szCs w:val="21"/>
                    </w:rPr>
                    <w:t>—</w:t>
                  </w:r>
                  <w:r>
                    <w:rPr>
                      <w:rFonts w:hint="eastAsia" w:ascii="Times New Roman" w:hAnsi="Times New Roman"/>
                      <w:color w:val="auto"/>
                      <w:szCs w:val="21"/>
                    </w:rPr>
                    <w:t>草丛</w:t>
                  </w:r>
                </w:p>
              </w:tc>
              <w:tc>
                <w:tcPr>
                  <w:tcW w:w="955" w:type="dxa"/>
                  <w:tcBorders>
                    <w:tl2br w:val="nil"/>
                    <w:tr2bl w:val="nil"/>
                  </w:tcBorders>
                  <w:shd w:val="clear" w:color="auto" w:fill="auto"/>
                  <w:vAlign w:val="center"/>
                </w:tcPr>
                <w:p w14:paraId="624FE56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0.02</w:t>
                  </w:r>
                </w:p>
              </w:tc>
              <w:tc>
                <w:tcPr>
                  <w:tcW w:w="1229" w:type="dxa"/>
                  <w:tcBorders>
                    <w:tl2br w:val="nil"/>
                    <w:tr2bl w:val="nil"/>
                  </w:tcBorders>
                  <w:shd w:val="clear" w:color="auto" w:fill="auto"/>
                  <w:vAlign w:val="center"/>
                </w:tcPr>
                <w:p w14:paraId="2E20E43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0.13</w:t>
                  </w:r>
                </w:p>
              </w:tc>
              <w:tc>
                <w:tcPr>
                  <w:tcW w:w="1275" w:type="dxa"/>
                  <w:tcBorders>
                    <w:tl2br w:val="nil"/>
                    <w:tr2bl w:val="nil"/>
                  </w:tcBorders>
                  <w:shd w:val="clear" w:color="auto" w:fill="auto"/>
                  <w:vAlign w:val="center"/>
                </w:tcPr>
                <w:p w14:paraId="3EDF90C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9</w:t>
                  </w:r>
                </w:p>
              </w:tc>
              <w:tc>
                <w:tcPr>
                  <w:tcW w:w="1270" w:type="dxa"/>
                  <w:tcBorders>
                    <w:tl2br w:val="nil"/>
                    <w:tr2bl w:val="nil"/>
                  </w:tcBorders>
                  <w:shd w:val="clear" w:color="auto" w:fill="auto"/>
                  <w:vAlign w:val="center"/>
                </w:tcPr>
                <w:p w14:paraId="21C2261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0.18</w:t>
                  </w:r>
                </w:p>
              </w:tc>
              <w:tc>
                <w:tcPr>
                  <w:tcW w:w="1175" w:type="dxa"/>
                  <w:tcBorders>
                    <w:tl2br w:val="nil"/>
                    <w:tr2bl w:val="nil"/>
                  </w:tcBorders>
                  <w:shd w:val="clear" w:color="auto" w:fill="auto"/>
                  <w:vAlign w:val="center"/>
                </w:tcPr>
                <w:p w14:paraId="303C2D9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1.17</w:t>
                  </w:r>
                </w:p>
              </w:tc>
            </w:tr>
            <w:tr w14:paraId="0DF20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536" w:type="pct"/>
                  <w:tcBorders>
                    <w:tl2br w:val="nil"/>
                    <w:tr2bl w:val="nil"/>
                  </w:tcBorders>
                  <w:shd w:val="clear" w:color="auto" w:fill="auto"/>
                  <w:vAlign w:val="center"/>
                </w:tcPr>
                <w:p w14:paraId="2AE729D1">
                  <w:pPr>
                    <w:adjustRightInd w:val="0"/>
                    <w:snapToGrid w:val="0"/>
                    <w:jc w:val="center"/>
                    <w:rPr>
                      <w:rFonts w:ascii="Times New Roman" w:hAnsi="Times New Roman"/>
                      <w:color w:val="auto"/>
                      <w:szCs w:val="21"/>
                    </w:rPr>
                  </w:pPr>
                  <w:r>
                    <w:rPr>
                      <w:rFonts w:hint="eastAsia" w:ascii="Times New Roman" w:hAnsi="Times New Roman"/>
                      <w:color w:val="auto"/>
                      <w:szCs w:val="21"/>
                    </w:rPr>
                    <w:t>农田生态系统</w:t>
                  </w:r>
                  <w:r>
                    <w:rPr>
                      <w:rFonts w:ascii="Times New Roman" w:hAnsi="Times New Roman"/>
                      <w:color w:val="auto"/>
                      <w:szCs w:val="21"/>
                    </w:rPr>
                    <w:t>—</w:t>
                  </w:r>
                  <w:r>
                    <w:rPr>
                      <w:rFonts w:hint="eastAsia" w:ascii="Times New Roman" w:hAnsi="Times New Roman"/>
                      <w:color w:val="auto"/>
                      <w:szCs w:val="21"/>
                    </w:rPr>
                    <w:t>耕地</w:t>
                  </w:r>
                </w:p>
              </w:tc>
              <w:tc>
                <w:tcPr>
                  <w:tcW w:w="955" w:type="dxa"/>
                  <w:tcBorders>
                    <w:tl2br w:val="nil"/>
                    <w:tr2bl w:val="nil"/>
                  </w:tcBorders>
                  <w:shd w:val="clear" w:color="auto" w:fill="auto"/>
                  <w:vAlign w:val="center"/>
                </w:tcPr>
                <w:p w14:paraId="013BF31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0.08</w:t>
                  </w:r>
                </w:p>
              </w:tc>
              <w:tc>
                <w:tcPr>
                  <w:tcW w:w="1229" w:type="dxa"/>
                  <w:tcBorders>
                    <w:tl2br w:val="nil"/>
                    <w:tr2bl w:val="nil"/>
                  </w:tcBorders>
                  <w:shd w:val="clear" w:color="auto" w:fill="auto"/>
                  <w:vAlign w:val="center"/>
                </w:tcPr>
                <w:p w14:paraId="73E9B41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0.04</w:t>
                  </w:r>
                </w:p>
              </w:tc>
              <w:tc>
                <w:tcPr>
                  <w:tcW w:w="1275" w:type="dxa"/>
                  <w:tcBorders>
                    <w:tl2br w:val="nil"/>
                    <w:tr2bl w:val="nil"/>
                  </w:tcBorders>
                  <w:shd w:val="clear" w:color="auto" w:fill="auto"/>
                  <w:vAlign w:val="center"/>
                </w:tcPr>
                <w:p w14:paraId="67AE9E1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6.5</w:t>
                  </w:r>
                </w:p>
              </w:tc>
              <w:tc>
                <w:tcPr>
                  <w:tcW w:w="1270" w:type="dxa"/>
                  <w:tcBorders>
                    <w:tl2br w:val="nil"/>
                    <w:tr2bl w:val="nil"/>
                  </w:tcBorders>
                  <w:shd w:val="clear" w:color="auto" w:fill="auto"/>
                  <w:vAlign w:val="center"/>
                </w:tcPr>
                <w:p w14:paraId="30F2AABF">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0.52</w:t>
                  </w:r>
                </w:p>
              </w:tc>
              <w:tc>
                <w:tcPr>
                  <w:tcW w:w="1175" w:type="dxa"/>
                  <w:tcBorders>
                    <w:tl2br w:val="nil"/>
                    <w:tr2bl w:val="nil"/>
                  </w:tcBorders>
                  <w:shd w:val="clear" w:color="auto" w:fill="auto"/>
                  <w:vAlign w:val="center"/>
                </w:tcPr>
                <w:p w14:paraId="688D408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0.26</w:t>
                  </w:r>
                </w:p>
              </w:tc>
            </w:tr>
          </w:tbl>
          <w:p w14:paraId="193F3DA7">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临时用地区在施工结束后可以恢复，因而其生物量损失是暂时的。</w:t>
            </w:r>
          </w:p>
          <w:p w14:paraId="2A2CF222">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由上表可知，</w:t>
            </w:r>
            <w:bookmarkStart w:id="94" w:name="_Hlk233031476"/>
            <w:r>
              <w:rPr>
                <w:rFonts w:ascii="Times New Roman" w:hAnsi="Times New Roman" w:cs="Times New Roman"/>
                <w:bCs/>
                <w:color w:val="auto"/>
                <w:sz w:val="24"/>
                <w:szCs w:val="24"/>
              </w:rPr>
              <w:t>工程占用森林生态系统—</w:t>
            </w:r>
            <w:r>
              <w:rPr>
                <w:rFonts w:hint="eastAsia" w:ascii="Times New Roman" w:hAnsi="Times New Roman" w:cs="Times New Roman"/>
                <w:bCs/>
                <w:color w:val="auto"/>
                <w:sz w:val="24"/>
                <w:szCs w:val="24"/>
              </w:rPr>
              <w:t>针叶林</w:t>
            </w:r>
            <w:r>
              <w:rPr>
                <w:rFonts w:ascii="Times New Roman" w:hAnsi="Times New Roman" w:cs="Times New Roman"/>
                <w:bCs/>
                <w:color w:val="auto"/>
                <w:sz w:val="24"/>
                <w:szCs w:val="24"/>
              </w:rPr>
              <w:t>损失生产力</w:t>
            </w:r>
            <w:r>
              <w:rPr>
                <w:rFonts w:hint="eastAsia" w:ascii="Times New Roman" w:hAnsi="Times New Roman" w:cs="Times New Roman"/>
                <w:bCs/>
                <w:color w:val="auto"/>
                <w:sz w:val="24"/>
                <w:szCs w:val="24"/>
              </w:rPr>
              <w:t>2.9316</w:t>
            </w:r>
            <w:r>
              <w:rPr>
                <w:rFonts w:ascii="Times New Roman" w:hAnsi="Times New Roman" w:cs="Times New Roman"/>
                <w:bCs/>
                <w:color w:val="auto"/>
                <w:sz w:val="24"/>
                <w:szCs w:val="24"/>
              </w:rPr>
              <w:t>t/a，</w:t>
            </w:r>
            <w:bookmarkEnd w:id="94"/>
            <w:r>
              <w:rPr>
                <w:rFonts w:ascii="Times New Roman" w:hAnsi="Times New Roman" w:cs="Times New Roman"/>
                <w:bCs/>
                <w:color w:val="auto"/>
                <w:sz w:val="24"/>
                <w:szCs w:val="24"/>
              </w:rPr>
              <w:t>工程占用草丛生态系统—草丛损失的生产力为</w:t>
            </w:r>
            <w:r>
              <w:rPr>
                <w:rFonts w:hint="eastAsia" w:ascii="Times New Roman" w:hAnsi="Times New Roman" w:cs="Times New Roman"/>
                <w:bCs/>
                <w:color w:val="auto"/>
                <w:sz w:val="24"/>
                <w:szCs w:val="24"/>
              </w:rPr>
              <w:t>0.18</w:t>
            </w:r>
            <w:r>
              <w:rPr>
                <w:rFonts w:ascii="Times New Roman" w:hAnsi="Times New Roman" w:cs="Times New Roman"/>
                <w:bCs/>
                <w:color w:val="auto"/>
                <w:sz w:val="24"/>
                <w:szCs w:val="24"/>
              </w:rPr>
              <w:t>t/a，工程占用农田生态系统—耕地损失的生产力为</w:t>
            </w:r>
            <w:r>
              <w:rPr>
                <w:rFonts w:hint="eastAsia" w:ascii="Times New Roman" w:hAnsi="Times New Roman" w:cs="Times New Roman"/>
                <w:bCs/>
                <w:color w:val="auto"/>
                <w:sz w:val="24"/>
                <w:szCs w:val="24"/>
              </w:rPr>
              <w:t>0.52</w:t>
            </w:r>
            <w:r>
              <w:rPr>
                <w:rFonts w:ascii="Times New Roman" w:hAnsi="Times New Roman" w:cs="Times New Roman"/>
                <w:bCs/>
                <w:color w:val="auto"/>
                <w:sz w:val="24"/>
                <w:szCs w:val="24"/>
              </w:rPr>
              <w:t>t/a，占评价区同类型生态系统生产力</w:t>
            </w:r>
            <w:r>
              <w:rPr>
                <w:rFonts w:hint="eastAsia" w:ascii="Times New Roman" w:hAnsi="Times New Roman" w:cs="Times New Roman"/>
                <w:bCs/>
                <w:color w:val="auto"/>
                <w:sz w:val="24"/>
                <w:szCs w:val="24"/>
              </w:rPr>
              <w:t>比例较小</w:t>
            </w:r>
            <w:r>
              <w:rPr>
                <w:rFonts w:ascii="Times New Roman" w:hAnsi="Times New Roman" w:cs="Times New Roman"/>
                <w:bCs/>
                <w:color w:val="auto"/>
                <w:sz w:val="24"/>
                <w:szCs w:val="24"/>
              </w:rPr>
              <w:t>。损失的比例相对较小，对整个生态系统而言属于可以承受的范围。</w:t>
            </w:r>
          </w:p>
          <w:p w14:paraId="1951BA40">
            <w:pPr>
              <w:pStyle w:val="51"/>
              <w:adjustRightInd w:val="0"/>
              <w:snapToGrid w:val="0"/>
              <w:spacing w:line="440" w:lineRule="exact"/>
              <w:ind w:firstLine="480" w:firstLineChars="200"/>
              <w:jc w:val="both"/>
              <w:rPr>
                <w:rFonts w:ascii="Times New Roman" w:hAnsi="Times New Roman" w:cs="Times New Roman"/>
                <w:bCs/>
                <w:color w:val="auto"/>
                <w:sz w:val="24"/>
                <w:szCs w:val="24"/>
              </w:rPr>
            </w:pPr>
            <w:bookmarkStart w:id="95" w:name="_Toc17400"/>
            <w:bookmarkStart w:id="96" w:name="_Toc3696"/>
            <w:r>
              <w:rPr>
                <w:rFonts w:hint="eastAsia" w:ascii="Times New Roman" w:hAnsi="Times New Roman" w:cs="Times New Roman"/>
                <w:bCs/>
                <w:color w:val="auto"/>
                <w:sz w:val="24"/>
                <w:szCs w:val="24"/>
              </w:rPr>
              <w:t>2）生态系统生物量失影响</w:t>
            </w:r>
            <w:bookmarkEnd w:id="95"/>
            <w:bookmarkEnd w:id="96"/>
          </w:p>
          <w:p w14:paraId="6F62F00E">
            <w:pPr>
              <w:pStyle w:val="51"/>
              <w:adjustRightInd w:val="0"/>
              <w:snapToGrid w:val="0"/>
              <w:spacing w:line="440" w:lineRule="exact"/>
              <w:ind w:firstLine="480" w:firstLineChars="200"/>
              <w:jc w:val="both"/>
              <w:rPr>
                <w:rFonts w:ascii="Times New Roman" w:hAnsi="Times New Roman" w:cs="Times New Roman"/>
                <w:bCs/>
                <w:color w:val="auto"/>
                <w:sz w:val="24"/>
                <w:szCs w:val="24"/>
                <w:lang w:val="zh-CN"/>
              </w:rPr>
            </w:pPr>
            <w:r>
              <w:rPr>
                <w:rFonts w:ascii="Times New Roman" w:hAnsi="Times New Roman" w:cs="Times New Roman"/>
                <w:bCs/>
                <w:color w:val="auto"/>
                <w:sz w:val="24"/>
                <w:szCs w:val="24"/>
                <w:lang w:val="zh-CN"/>
              </w:rPr>
              <w:t>根据占地数据及各植被类型（不包括农作物）的平均</w:t>
            </w:r>
            <w:r>
              <w:rPr>
                <w:rFonts w:hint="eastAsia" w:ascii="Times New Roman" w:hAnsi="Times New Roman" w:cs="Times New Roman"/>
                <w:bCs/>
                <w:color w:val="auto"/>
                <w:sz w:val="24"/>
                <w:szCs w:val="24"/>
              </w:rPr>
              <w:t>生物量</w:t>
            </w:r>
            <w:r>
              <w:rPr>
                <w:rFonts w:ascii="Times New Roman" w:hAnsi="Times New Roman" w:cs="Times New Roman"/>
                <w:bCs/>
                <w:color w:val="auto"/>
                <w:sz w:val="24"/>
                <w:szCs w:val="24"/>
                <w:lang w:val="zh-CN"/>
              </w:rPr>
              <w:t>，计算拟建项目永久占地引起的植被</w:t>
            </w:r>
            <w:r>
              <w:rPr>
                <w:rFonts w:hint="eastAsia" w:ascii="Times New Roman" w:hAnsi="Times New Roman" w:cs="Times New Roman"/>
                <w:bCs/>
                <w:color w:val="auto"/>
                <w:sz w:val="24"/>
                <w:szCs w:val="24"/>
              </w:rPr>
              <w:t>生物量</w:t>
            </w:r>
            <w:r>
              <w:rPr>
                <w:rFonts w:ascii="Times New Roman" w:hAnsi="Times New Roman" w:cs="Times New Roman"/>
                <w:bCs/>
                <w:color w:val="auto"/>
                <w:sz w:val="24"/>
                <w:szCs w:val="24"/>
                <w:lang w:val="zh-CN"/>
              </w:rPr>
              <w:t>损失。</w:t>
            </w:r>
          </w:p>
          <w:p w14:paraId="3B25E4B4">
            <w:pPr>
              <w:jc w:val="center"/>
              <w:rPr>
                <w:rFonts w:ascii="Times New Roman" w:hAnsi="Times New Roman"/>
                <w:b/>
                <w:color w:val="auto"/>
                <w:kern w:val="11"/>
                <w:sz w:val="24"/>
                <w:szCs w:val="20"/>
              </w:rPr>
            </w:pPr>
            <w:r>
              <w:rPr>
                <w:rFonts w:hint="eastAsia" w:ascii="Times New Roman" w:hAnsi="Times New Roman"/>
                <w:b/>
                <w:color w:val="auto"/>
                <w:kern w:val="11"/>
                <w:sz w:val="24"/>
                <w:szCs w:val="20"/>
              </w:rPr>
              <w:t>表4-4  评价区占用植被类型及生物量损失估算表</w:t>
            </w:r>
          </w:p>
          <w:tbl>
            <w:tblPr>
              <w:tblStyle w:val="27"/>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83"/>
              <w:gridCol w:w="785"/>
              <w:gridCol w:w="1248"/>
              <w:gridCol w:w="1259"/>
              <w:gridCol w:w="1271"/>
              <w:gridCol w:w="1183"/>
            </w:tblGrid>
            <w:tr w14:paraId="4BF5F4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vMerge w:val="restart"/>
                  <w:tcBorders>
                    <w:tl2br w:val="nil"/>
                    <w:tr2bl w:val="nil"/>
                  </w:tcBorders>
                  <w:shd w:val="clear" w:color="auto" w:fill="auto"/>
                  <w:vAlign w:val="center"/>
                </w:tcPr>
                <w:p w14:paraId="37C3AF8C">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生态系统类型</w:t>
                  </w:r>
                </w:p>
              </w:tc>
              <w:tc>
                <w:tcPr>
                  <w:tcW w:w="1205" w:type="pct"/>
                  <w:gridSpan w:val="2"/>
                  <w:tcBorders>
                    <w:tl2br w:val="nil"/>
                    <w:tr2bl w:val="nil"/>
                  </w:tcBorders>
                  <w:shd w:val="clear" w:color="auto" w:fill="auto"/>
                  <w:vAlign w:val="center"/>
                </w:tcPr>
                <w:p w14:paraId="693265C0">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占用面积</w:t>
                  </w:r>
                  <w:r>
                    <w:rPr>
                      <w:rFonts w:ascii="Times New Roman" w:hAnsi="Times New Roman"/>
                      <w:b/>
                      <w:bCs/>
                      <w:color w:val="auto"/>
                      <w:szCs w:val="21"/>
                    </w:rPr>
                    <w:t>(hm</w:t>
                  </w:r>
                  <w:r>
                    <w:rPr>
                      <w:rFonts w:ascii="Times New Roman" w:hAnsi="Times New Roman"/>
                      <w:b/>
                      <w:bCs/>
                      <w:color w:val="auto"/>
                      <w:szCs w:val="21"/>
                      <w:vertAlign w:val="superscript"/>
                    </w:rPr>
                    <w:t>2</w:t>
                  </w:r>
                  <w:r>
                    <w:rPr>
                      <w:rFonts w:ascii="Times New Roman" w:hAnsi="Times New Roman"/>
                      <w:b/>
                      <w:bCs/>
                      <w:color w:val="auto"/>
                      <w:szCs w:val="21"/>
                    </w:rPr>
                    <w:t>)</w:t>
                  </w:r>
                </w:p>
              </w:tc>
              <w:tc>
                <w:tcPr>
                  <w:tcW w:w="747" w:type="pct"/>
                  <w:vMerge w:val="restart"/>
                  <w:tcBorders>
                    <w:tl2br w:val="nil"/>
                    <w:tr2bl w:val="nil"/>
                  </w:tcBorders>
                  <w:shd w:val="clear" w:color="auto" w:fill="auto"/>
                  <w:vAlign w:val="center"/>
                </w:tcPr>
                <w:p w14:paraId="4D765310">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平均生物量（t/hm</w:t>
                  </w:r>
                  <w:r>
                    <w:rPr>
                      <w:rFonts w:hint="eastAsia" w:ascii="Times New Roman" w:hAnsi="Times New Roman"/>
                      <w:b/>
                      <w:bCs/>
                      <w:color w:val="auto"/>
                      <w:szCs w:val="21"/>
                      <w:vertAlign w:val="superscript"/>
                    </w:rPr>
                    <w:t>2</w:t>
                  </w:r>
                  <w:r>
                    <w:rPr>
                      <w:rFonts w:hint="eastAsia" w:ascii="Times New Roman" w:hAnsi="Times New Roman"/>
                      <w:b/>
                      <w:bCs/>
                      <w:color w:val="auto"/>
                      <w:szCs w:val="21"/>
                    </w:rPr>
                    <w:t>）</w:t>
                  </w:r>
                </w:p>
              </w:tc>
              <w:tc>
                <w:tcPr>
                  <w:tcW w:w="1456" w:type="pct"/>
                  <w:gridSpan w:val="2"/>
                  <w:tcBorders>
                    <w:tl2br w:val="nil"/>
                    <w:tr2bl w:val="nil"/>
                  </w:tcBorders>
                  <w:shd w:val="clear" w:color="auto" w:fill="auto"/>
                  <w:vAlign w:val="center"/>
                </w:tcPr>
                <w:p w14:paraId="4F5D5E42">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损失生物量（</w:t>
                  </w:r>
                  <w:r>
                    <w:rPr>
                      <w:rFonts w:ascii="Times New Roman" w:hAnsi="Times New Roman"/>
                      <w:b/>
                      <w:bCs/>
                      <w:color w:val="auto"/>
                      <w:szCs w:val="21"/>
                    </w:rPr>
                    <w:t>t</w:t>
                  </w:r>
                  <w:r>
                    <w:rPr>
                      <w:rFonts w:hint="eastAsia" w:ascii="Times New Roman" w:hAnsi="Times New Roman"/>
                      <w:b/>
                      <w:bCs/>
                      <w:color w:val="auto"/>
                      <w:szCs w:val="21"/>
                    </w:rPr>
                    <w:t>）</w:t>
                  </w:r>
                </w:p>
              </w:tc>
            </w:tr>
            <w:tr w14:paraId="66D29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vMerge w:val="continue"/>
                  <w:tcBorders>
                    <w:tl2br w:val="nil"/>
                    <w:tr2bl w:val="nil"/>
                  </w:tcBorders>
                  <w:shd w:val="clear" w:color="auto" w:fill="auto"/>
                  <w:vAlign w:val="center"/>
                </w:tcPr>
                <w:p w14:paraId="35BE1D3E">
                  <w:pPr>
                    <w:adjustRightInd w:val="0"/>
                    <w:snapToGrid w:val="0"/>
                    <w:jc w:val="center"/>
                    <w:rPr>
                      <w:rFonts w:ascii="Times New Roman" w:hAnsi="Times New Roman"/>
                      <w:b/>
                      <w:bCs/>
                      <w:color w:val="auto"/>
                      <w:szCs w:val="21"/>
                    </w:rPr>
                  </w:pPr>
                </w:p>
              </w:tc>
              <w:tc>
                <w:tcPr>
                  <w:tcW w:w="465" w:type="pct"/>
                  <w:tcBorders>
                    <w:tl2br w:val="nil"/>
                    <w:tr2bl w:val="nil"/>
                  </w:tcBorders>
                  <w:shd w:val="clear" w:color="auto" w:fill="auto"/>
                  <w:vAlign w:val="center"/>
                </w:tcPr>
                <w:p w14:paraId="59749E27">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永久</w:t>
                  </w:r>
                </w:p>
              </w:tc>
              <w:tc>
                <w:tcPr>
                  <w:tcW w:w="740" w:type="pct"/>
                  <w:tcBorders>
                    <w:tl2br w:val="nil"/>
                    <w:tr2bl w:val="nil"/>
                  </w:tcBorders>
                  <w:shd w:val="clear" w:color="auto" w:fill="auto"/>
                  <w:vAlign w:val="center"/>
                </w:tcPr>
                <w:p w14:paraId="69E414B5">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临时</w:t>
                  </w:r>
                </w:p>
              </w:tc>
              <w:tc>
                <w:tcPr>
                  <w:tcW w:w="747" w:type="pct"/>
                  <w:vMerge w:val="continue"/>
                  <w:tcBorders>
                    <w:tl2br w:val="nil"/>
                    <w:tr2bl w:val="nil"/>
                  </w:tcBorders>
                  <w:shd w:val="clear" w:color="auto" w:fill="auto"/>
                  <w:vAlign w:val="center"/>
                </w:tcPr>
                <w:p w14:paraId="6DFB5C16">
                  <w:pPr>
                    <w:adjustRightInd w:val="0"/>
                    <w:snapToGrid w:val="0"/>
                    <w:jc w:val="center"/>
                    <w:rPr>
                      <w:rFonts w:ascii="Times New Roman" w:hAnsi="Times New Roman"/>
                      <w:b/>
                      <w:bCs/>
                      <w:color w:val="auto"/>
                      <w:szCs w:val="21"/>
                    </w:rPr>
                  </w:pPr>
                </w:p>
              </w:tc>
              <w:tc>
                <w:tcPr>
                  <w:tcW w:w="754" w:type="pct"/>
                  <w:tcBorders>
                    <w:tl2br w:val="nil"/>
                    <w:tr2bl w:val="nil"/>
                  </w:tcBorders>
                  <w:shd w:val="clear" w:color="auto" w:fill="auto"/>
                  <w:vAlign w:val="center"/>
                </w:tcPr>
                <w:p w14:paraId="5F08AD41">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永久</w:t>
                  </w:r>
                </w:p>
              </w:tc>
              <w:tc>
                <w:tcPr>
                  <w:tcW w:w="702" w:type="pct"/>
                  <w:tcBorders>
                    <w:tl2br w:val="nil"/>
                    <w:tr2bl w:val="nil"/>
                  </w:tcBorders>
                  <w:shd w:val="clear" w:color="auto" w:fill="auto"/>
                  <w:vAlign w:val="center"/>
                </w:tcPr>
                <w:p w14:paraId="6AEB7ACA">
                  <w:pPr>
                    <w:adjustRightInd w:val="0"/>
                    <w:snapToGrid w:val="0"/>
                    <w:jc w:val="center"/>
                    <w:rPr>
                      <w:rFonts w:ascii="Times New Roman" w:hAnsi="Times New Roman"/>
                      <w:b/>
                      <w:bCs/>
                      <w:color w:val="auto"/>
                      <w:szCs w:val="21"/>
                    </w:rPr>
                  </w:pPr>
                  <w:r>
                    <w:rPr>
                      <w:rFonts w:hint="eastAsia" w:ascii="Times New Roman" w:hAnsi="Times New Roman"/>
                      <w:b/>
                      <w:bCs/>
                      <w:color w:val="auto"/>
                      <w:szCs w:val="21"/>
                    </w:rPr>
                    <w:t>临时</w:t>
                  </w:r>
                </w:p>
              </w:tc>
            </w:tr>
            <w:tr w14:paraId="19663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tcBorders>
                    <w:tl2br w:val="nil"/>
                    <w:tr2bl w:val="nil"/>
                  </w:tcBorders>
                  <w:shd w:val="clear" w:color="auto" w:fill="auto"/>
                  <w:vAlign w:val="center"/>
                </w:tcPr>
                <w:p w14:paraId="373690DD">
                  <w:pPr>
                    <w:adjustRightInd w:val="0"/>
                    <w:snapToGrid w:val="0"/>
                    <w:jc w:val="center"/>
                    <w:rPr>
                      <w:rFonts w:ascii="Times New Roman" w:hAnsi="Times New Roman"/>
                      <w:color w:val="auto"/>
                      <w:szCs w:val="21"/>
                    </w:rPr>
                  </w:pPr>
                  <w:r>
                    <w:rPr>
                      <w:rFonts w:hint="eastAsia" w:ascii="Times New Roman" w:hAnsi="Times New Roman"/>
                      <w:color w:val="auto"/>
                      <w:szCs w:val="21"/>
                    </w:rPr>
                    <w:t>森林生态系统—针叶林</w:t>
                  </w:r>
                </w:p>
              </w:tc>
              <w:tc>
                <w:tcPr>
                  <w:tcW w:w="465" w:type="pct"/>
                  <w:tcBorders>
                    <w:tl2br w:val="nil"/>
                    <w:tr2bl w:val="nil"/>
                  </w:tcBorders>
                  <w:shd w:val="clear" w:color="auto" w:fill="auto"/>
                  <w:vAlign w:val="center"/>
                </w:tcPr>
                <w:p w14:paraId="436049D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0.28</w:t>
                  </w:r>
                </w:p>
              </w:tc>
              <w:tc>
                <w:tcPr>
                  <w:tcW w:w="740" w:type="pct"/>
                  <w:tcBorders>
                    <w:tl2br w:val="nil"/>
                    <w:tr2bl w:val="nil"/>
                  </w:tcBorders>
                  <w:shd w:val="clear" w:color="auto" w:fill="auto"/>
                  <w:vAlign w:val="center"/>
                </w:tcPr>
                <w:p w14:paraId="5FFDE252">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0.37</w:t>
                  </w:r>
                </w:p>
              </w:tc>
              <w:tc>
                <w:tcPr>
                  <w:tcW w:w="747" w:type="pct"/>
                  <w:tcBorders>
                    <w:tl2br w:val="nil"/>
                    <w:tr2bl w:val="nil"/>
                  </w:tcBorders>
                  <w:shd w:val="clear" w:color="auto" w:fill="auto"/>
                  <w:vAlign w:val="center"/>
                </w:tcPr>
                <w:p w14:paraId="29E0517C">
                  <w:pPr>
                    <w:widowControl/>
                    <w:jc w:val="center"/>
                    <w:textAlignment w:val="center"/>
                    <w:rPr>
                      <w:rFonts w:ascii="Times New Roman" w:hAnsi="Times New Roman"/>
                      <w:color w:val="auto"/>
                      <w:szCs w:val="21"/>
                    </w:rPr>
                  </w:pPr>
                  <w:r>
                    <w:rPr>
                      <w:rFonts w:ascii="Times New Roman" w:hAnsi="Times New Roman"/>
                      <w:color w:val="auto"/>
                      <w:kern w:val="0"/>
                      <w:szCs w:val="21"/>
                      <w:lang w:bidi="ar"/>
                    </w:rPr>
                    <w:t>35.113</w:t>
                  </w:r>
                </w:p>
              </w:tc>
              <w:tc>
                <w:tcPr>
                  <w:tcW w:w="754" w:type="pct"/>
                  <w:tcBorders>
                    <w:tl2br w:val="nil"/>
                    <w:tr2bl w:val="nil"/>
                  </w:tcBorders>
                  <w:shd w:val="clear" w:color="auto" w:fill="auto"/>
                  <w:vAlign w:val="center"/>
                </w:tcPr>
                <w:p w14:paraId="1DA2D8E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9.832 </w:t>
                  </w:r>
                </w:p>
              </w:tc>
              <w:tc>
                <w:tcPr>
                  <w:tcW w:w="702" w:type="pct"/>
                  <w:tcBorders>
                    <w:tl2br w:val="nil"/>
                    <w:tr2bl w:val="nil"/>
                  </w:tcBorders>
                  <w:shd w:val="clear" w:color="auto" w:fill="auto"/>
                  <w:vAlign w:val="center"/>
                </w:tcPr>
                <w:p w14:paraId="0B676A5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12.992 </w:t>
                  </w:r>
                </w:p>
              </w:tc>
            </w:tr>
            <w:tr w14:paraId="58BD8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tcBorders>
                    <w:tl2br w:val="nil"/>
                    <w:tr2bl w:val="nil"/>
                  </w:tcBorders>
                  <w:shd w:val="clear" w:color="auto" w:fill="auto"/>
                  <w:vAlign w:val="center"/>
                </w:tcPr>
                <w:p w14:paraId="025156ED">
                  <w:pPr>
                    <w:adjustRightInd w:val="0"/>
                    <w:snapToGrid w:val="0"/>
                    <w:jc w:val="center"/>
                    <w:rPr>
                      <w:rFonts w:ascii="Times New Roman" w:hAnsi="Times New Roman"/>
                      <w:color w:val="auto"/>
                      <w:szCs w:val="21"/>
                    </w:rPr>
                  </w:pPr>
                  <w:r>
                    <w:rPr>
                      <w:rFonts w:hint="eastAsia" w:ascii="Times New Roman" w:hAnsi="Times New Roman"/>
                      <w:color w:val="auto"/>
                      <w:szCs w:val="21"/>
                    </w:rPr>
                    <w:t>灌丛生态系统</w:t>
                  </w:r>
                  <w:r>
                    <w:rPr>
                      <w:rFonts w:ascii="Times New Roman" w:hAnsi="Times New Roman"/>
                      <w:color w:val="auto"/>
                      <w:szCs w:val="21"/>
                    </w:rPr>
                    <w:t>—</w:t>
                  </w:r>
                  <w:r>
                    <w:rPr>
                      <w:rFonts w:hint="eastAsia" w:ascii="Times New Roman" w:hAnsi="Times New Roman"/>
                      <w:color w:val="auto"/>
                      <w:szCs w:val="21"/>
                    </w:rPr>
                    <w:t>阔叶灌丛</w:t>
                  </w:r>
                </w:p>
              </w:tc>
              <w:tc>
                <w:tcPr>
                  <w:tcW w:w="465" w:type="pct"/>
                  <w:tcBorders>
                    <w:tl2br w:val="nil"/>
                    <w:tr2bl w:val="nil"/>
                  </w:tcBorders>
                  <w:shd w:val="clear" w:color="auto" w:fill="auto"/>
                  <w:vAlign w:val="center"/>
                </w:tcPr>
                <w:p w14:paraId="0580814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40" w:type="pct"/>
                  <w:tcBorders>
                    <w:tl2br w:val="nil"/>
                    <w:tr2bl w:val="nil"/>
                  </w:tcBorders>
                  <w:shd w:val="clear" w:color="auto" w:fill="auto"/>
                  <w:vAlign w:val="center"/>
                </w:tcPr>
                <w:p w14:paraId="2DEBC5E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w:t>
                  </w:r>
                </w:p>
              </w:tc>
              <w:tc>
                <w:tcPr>
                  <w:tcW w:w="747" w:type="pct"/>
                  <w:tcBorders>
                    <w:tl2br w:val="nil"/>
                    <w:tr2bl w:val="nil"/>
                  </w:tcBorders>
                  <w:shd w:val="clear" w:color="auto" w:fill="auto"/>
                  <w:vAlign w:val="center"/>
                </w:tcPr>
                <w:p w14:paraId="4914023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68.559</w:t>
                  </w:r>
                </w:p>
              </w:tc>
              <w:tc>
                <w:tcPr>
                  <w:tcW w:w="754" w:type="pct"/>
                  <w:tcBorders>
                    <w:tl2br w:val="nil"/>
                    <w:tr2bl w:val="nil"/>
                  </w:tcBorders>
                  <w:shd w:val="clear" w:color="auto" w:fill="auto"/>
                  <w:vAlign w:val="center"/>
                </w:tcPr>
                <w:p w14:paraId="1FA65B6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0.000 </w:t>
                  </w:r>
                </w:p>
              </w:tc>
              <w:tc>
                <w:tcPr>
                  <w:tcW w:w="702" w:type="pct"/>
                  <w:tcBorders>
                    <w:tl2br w:val="nil"/>
                    <w:tr2bl w:val="nil"/>
                  </w:tcBorders>
                  <w:shd w:val="clear" w:color="auto" w:fill="auto"/>
                  <w:vAlign w:val="center"/>
                </w:tcPr>
                <w:p w14:paraId="4C0E396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0.000 </w:t>
                  </w:r>
                </w:p>
              </w:tc>
            </w:tr>
            <w:tr w14:paraId="32EF3B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tcBorders>
                    <w:tl2br w:val="nil"/>
                    <w:tr2bl w:val="nil"/>
                  </w:tcBorders>
                  <w:shd w:val="clear" w:color="auto" w:fill="auto"/>
                  <w:vAlign w:val="center"/>
                </w:tcPr>
                <w:p w14:paraId="7A3E8C22">
                  <w:pPr>
                    <w:adjustRightInd w:val="0"/>
                    <w:snapToGrid w:val="0"/>
                    <w:jc w:val="center"/>
                    <w:rPr>
                      <w:rFonts w:ascii="Times New Roman" w:hAnsi="Times New Roman"/>
                      <w:color w:val="auto"/>
                      <w:szCs w:val="21"/>
                    </w:rPr>
                  </w:pPr>
                  <w:r>
                    <w:rPr>
                      <w:rFonts w:hint="eastAsia" w:ascii="Times New Roman" w:hAnsi="Times New Roman"/>
                      <w:color w:val="auto"/>
                      <w:szCs w:val="21"/>
                    </w:rPr>
                    <w:t>草丛生态系统</w:t>
                  </w:r>
                  <w:r>
                    <w:rPr>
                      <w:rFonts w:ascii="Times New Roman" w:hAnsi="Times New Roman"/>
                      <w:color w:val="auto"/>
                      <w:szCs w:val="21"/>
                    </w:rPr>
                    <w:t>—</w:t>
                  </w:r>
                  <w:r>
                    <w:rPr>
                      <w:rFonts w:hint="eastAsia" w:ascii="Times New Roman" w:hAnsi="Times New Roman"/>
                      <w:color w:val="auto"/>
                      <w:szCs w:val="21"/>
                    </w:rPr>
                    <w:t>草丛</w:t>
                  </w:r>
                </w:p>
              </w:tc>
              <w:tc>
                <w:tcPr>
                  <w:tcW w:w="465" w:type="pct"/>
                  <w:tcBorders>
                    <w:tl2br w:val="nil"/>
                    <w:tr2bl w:val="nil"/>
                  </w:tcBorders>
                  <w:shd w:val="clear" w:color="auto" w:fill="auto"/>
                  <w:vAlign w:val="center"/>
                </w:tcPr>
                <w:p w14:paraId="4C92F63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0.02</w:t>
                  </w:r>
                </w:p>
              </w:tc>
              <w:tc>
                <w:tcPr>
                  <w:tcW w:w="740" w:type="pct"/>
                  <w:tcBorders>
                    <w:tl2br w:val="nil"/>
                    <w:tr2bl w:val="nil"/>
                  </w:tcBorders>
                  <w:shd w:val="clear" w:color="auto" w:fill="auto"/>
                  <w:vAlign w:val="center"/>
                </w:tcPr>
                <w:p w14:paraId="3CFBFA7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0.13</w:t>
                  </w:r>
                </w:p>
              </w:tc>
              <w:tc>
                <w:tcPr>
                  <w:tcW w:w="747" w:type="pct"/>
                  <w:tcBorders>
                    <w:tl2br w:val="nil"/>
                    <w:tr2bl w:val="nil"/>
                  </w:tcBorders>
                  <w:shd w:val="clear" w:color="auto" w:fill="auto"/>
                  <w:vAlign w:val="center"/>
                </w:tcPr>
                <w:p w14:paraId="29C55FD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52.17</w:t>
                  </w:r>
                </w:p>
              </w:tc>
              <w:tc>
                <w:tcPr>
                  <w:tcW w:w="754" w:type="pct"/>
                  <w:tcBorders>
                    <w:tl2br w:val="nil"/>
                    <w:tr2bl w:val="nil"/>
                  </w:tcBorders>
                  <w:shd w:val="clear" w:color="auto" w:fill="auto"/>
                  <w:vAlign w:val="center"/>
                </w:tcPr>
                <w:p w14:paraId="13FA40B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1.043 </w:t>
                  </w:r>
                </w:p>
              </w:tc>
              <w:tc>
                <w:tcPr>
                  <w:tcW w:w="702" w:type="pct"/>
                  <w:tcBorders>
                    <w:tl2br w:val="nil"/>
                    <w:tr2bl w:val="nil"/>
                  </w:tcBorders>
                  <w:shd w:val="clear" w:color="auto" w:fill="auto"/>
                  <w:vAlign w:val="center"/>
                </w:tcPr>
                <w:p w14:paraId="0291EAF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6.782 </w:t>
                  </w:r>
                </w:p>
              </w:tc>
            </w:tr>
            <w:tr w14:paraId="1AAF8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90" w:type="pct"/>
                  <w:tcBorders>
                    <w:tl2br w:val="nil"/>
                    <w:tr2bl w:val="nil"/>
                  </w:tcBorders>
                  <w:shd w:val="clear" w:color="auto" w:fill="auto"/>
                  <w:vAlign w:val="center"/>
                </w:tcPr>
                <w:p w14:paraId="1ED5106C">
                  <w:pPr>
                    <w:adjustRightInd w:val="0"/>
                    <w:snapToGrid w:val="0"/>
                    <w:jc w:val="center"/>
                    <w:rPr>
                      <w:rFonts w:ascii="Times New Roman" w:hAnsi="Times New Roman"/>
                      <w:color w:val="auto"/>
                      <w:szCs w:val="21"/>
                    </w:rPr>
                  </w:pPr>
                  <w:r>
                    <w:rPr>
                      <w:rFonts w:hint="eastAsia" w:ascii="Times New Roman" w:hAnsi="Times New Roman"/>
                      <w:color w:val="auto"/>
                      <w:szCs w:val="21"/>
                    </w:rPr>
                    <w:t>农田生态系统</w:t>
                  </w:r>
                  <w:r>
                    <w:rPr>
                      <w:rFonts w:ascii="Times New Roman" w:hAnsi="Times New Roman"/>
                      <w:color w:val="auto"/>
                      <w:szCs w:val="21"/>
                    </w:rPr>
                    <w:t>—</w:t>
                  </w:r>
                  <w:r>
                    <w:rPr>
                      <w:rFonts w:hint="eastAsia" w:ascii="Times New Roman" w:hAnsi="Times New Roman"/>
                      <w:color w:val="auto"/>
                      <w:szCs w:val="21"/>
                    </w:rPr>
                    <w:t>耕地</w:t>
                  </w:r>
                </w:p>
              </w:tc>
              <w:tc>
                <w:tcPr>
                  <w:tcW w:w="465" w:type="pct"/>
                  <w:tcBorders>
                    <w:tl2br w:val="nil"/>
                    <w:tr2bl w:val="nil"/>
                  </w:tcBorders>
                  <w:shd w:val="clear" w:color="auto" w:fill="auto"/>
                  <w:vAlign w:val="center"/>
                </w:tcPr>
                <w:p w14:paraId="6EE3C28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0.08</w:t>
                  </w:r>
                </w:p>
              </w:tc>
              <w:tc>
                <w:tcPr>
                  <w:tcW w:w="740" w:type="pct"/>
                  <w:tcBorders>
                    <w:tl2br w:val="nil"/>
                    <w:tr2bl w:val="nil"/>
                  </w:tcBorders>
                  <w:shd w:val="clear" w:color="auto" w:fill="auto"/>
                  <w:vAlign w:val="center"/>
                </w:tcPr>
                <w:p w14:paraId="32AA468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0.04</w:t>
                  </w:r>
                </w:p>
              </w:tc>
              <w:tc>
                <w:tcPr>
                  <w:tcW w:w="747" w:type="pct"/>
                  <w:tcBorders>
                    <w:tl2br w:val="nil"/>
                    <w:tr2bl w:val="nil"/>
                  </w:tcBorders>
                  <w:shd w:val="clear" w:color="auto" w:fill="auto"/>
                  <w:vAlign w:val="center"/>
                </w:tcPr>
                <w:p w14:paraId="495F82C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17.58</w:t>
                  </w:r>
                </w:p>
              </w:tc>
              <w:tc>
                <w:tcPr>
                  <w:tcW w:w="754" w:type="pct"/>
                  <w:tcBorders>
                    <w:tl2br w:val="nil"/>
                    <w:tr2bl w:val="nil"/>
                  </w:tcBorders>
                  <w:shd w:val="clear" w:color="auto" w:fill="auto"/>
                  <w:vAlign w:val="center"/>
                </w:tcPr>
                <w:p w14:paraId="7028E3CE">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1.406 </w:t>
                  </w:r>
                </w:p>
              </w:tc>
              <w:tc>
                <w:tcPr>
                  <w:tcW w:w="702" w:type="pct"/>
                  <w:tcBorders>
                    <w:tl2br w:val="nil"/>
                    <w:tr2bl w:val="nil"/>
                  </w:tcBorders>
                  <w:shd w:val="clear" w:color="auto" w:fill="auto"/>
                  <w:vAlign w:val="center"/>
                </w:tcPr>
                <w:p w14:paraId="6BB85C0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0.703 </w:t>
                  </w:r>
                </w:p>
              </w:tc>
            </w:tr>
          </w:tbl>
          <w:p w14:paraId="5A8F73EC">
            <w:pPr>
              <w:pStyle w:val="51"/>
              <w:adjustRightInd w:val="0"/>
              <w:snapToGrid w:val="0"/>
              <w:spacing w:line="440" w:lineRule="exact"/>
              <w:ind w:firstLine="480" w:firstLineChars="200"/>
              <w:jc w:val="both"/>
              <w:rPr>
                <w:rFonts w:ascii="Times New Roman" w:hAnsi="Times New Roman" w:cs="Times New Roman"/>
                <w:bCs/>
                <w:color w:val="auto"/>
                <w:sz w:val="24"/>
                <w:szCs w:val="24"/>
                <w:lang w:val="zh-CN"/>
              </w:rPr>
            </w:pPr>
            <w:r>
              <w:rPr>
                <w:rFonts w:hint="eastAsia" w:ascii="Times New Roman" w:hAnsi="Times New Roman" w:cs="Times New Roman"/>
                <w:bCs/>
                <w:color w:val="auto"/>
                <w:sz w:val="24"/>
                <w:szCs w:val="24"/>
                <w:lang w:val="zh-CN"/>
              </w:rPr>
              <w:t>临时用地区在施工结束后可以恢复，因而其生物量损失是暂时的。</w:t>
            </w:r>
          </w:p>
          <w:p w14:paraId="4C5F13C7">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由上表可知，工程占用森林生态系统—</w:t>
            </w:r>
            <w:r>
              <w:rPr>
                <w:rFonts w:hint="eastAsia" w:ascii="Times New Roman" w:hAnsi="Times New Roman" w:cs="Times New Roman"/>
                <w:bCs/>
                <w:color w:val="auto"/>
                <w:sz w:val="24"/>
                <w:szCs w:val="24"/>
              </w:rPr>
              <w:t>针叶林</w:t>
            </w:r>
            <w:r>
              <w:rPr>
                <w:rFonts w:ascii="Times New Roman" w:hAnsi="Times New Roman" w:cs="Times New Roman"/>
                <w:bCs/>
                <w:color w:val="auto"/>
                <w:sz w:val="24"/>
                <w:szCs w:val="24"/>
              </w:rPr>
              <w:t>损失</w:t>
            </w:r>
            <w:r>
              <w:rPr>
                <w:rFonts w:hint="eastAsia" w:ascii="Times New Roman" w:hAnsi="Times New Roman" w:cs="Times New Roman"/>
                <w:bCs/>
                <w:color w:val="auto"/>
                <w:sz w:val="24"/>
                <w:szCs w:val="24"/>
              </w:rPr>
              <w:t>生物量9.832</w:t>
            </w:r>
            <w:r>
              <w:rPr>
                <w:rFonts w:ascii="Times New Roman" w:hAnsi="Times New Roman" w:cs="Times New Roman"/>
                <w:bCs/>
                <w:color w:val="auto"/>
                <w:sz w:val="24"/>
                <w:szCs w:val="24"/>
              </w:rPr>
              <w:t>t，工程占用草丛生态系统—草丛损失</w:t>
            </w:r>
            <w:r>
              <w:rPr>
                <w:rFonts w:hint="eastAsia" w:ascii="Times New Roman" w:hAnsi="Times New Roman" w:cs="Times New Roman"/>
                <w:bCs/>
                <w:color w:val="auto"/>
                <w:sz w:val="24"/>
                <w:szCs w:val="24"/>
              </w:rPr>
              <w:t>生物量1.043</w:t>
            </w:r>
            <w:r>
              <w:rPr>
                <w:rFonts w:ascii="Times New Roman" w:hAnsi="Times New Roman" w:cs="Times New Roman"/>
                <w:bCs/>
                <w:color w:val="auto"/>
                <w:sz w:val="24"/>
                <w:szCs w:val="24"/>
              </w:rPr>
              <w:t>t，工程占用农田生态系统—耕地损失的</w:t>
            </w:r>
            <w:r>
              <w:rPr>
                <w:rFonts w:hint="eastAsia" w:ascii="Times New Roman" w:hAnsi="Times New Roman" w:cs="Times New Roman"/>
                <w:bCs/>
                <w:color w:val="auto"/>
                <w:sz w:val="24"/>
                <w:szCs w:val="24"/>
              </w:rPr>
              <w:t>生物量</w:t>
            </w:r>
            <w:r>
              <w:rPr>
                <w:rFonts w:ascii="Times New Roman" w:hAnsi="Times New Roman" w:cs="Times New Roman"/>
                <w:bCs/>
                <w:color w:val="auto"/>
                <w:sz w:val="24"/>
                <w:szCs w:val="24"/>
              </w:rPr>
              <w:t>为</w:t>
            </w:r>
            <w:r>
              <w:rPr>
                <w:rFonts w:hint="eastAsia" w:ascii="Times New Roman" w:hAnsi="Times New Roman" w:cs="Times New Roman"/>
                <w:bCs/>
                <w:color w:val="auto"/>
                <w:sz w:val="24"/>
                <w:szCs w:val="24"/>
              </w:rPr>
              <w:t>1.406</w:t>
            </w:r>
            <w:r>
              <w:rPr>
                <w:rFonts w:ascii="Times New Roman" w:hAnsi="Times New Roman" w:cs="Times New Roman"/>
                <w:bCs/>
                <w:color w:val="auto"/>
                <w:sz w:val="24"/>
                <w:szCs w:val="24"/>
              </w:rPr>
              <w:t>t，占评价区同类型生态系统</w:t>
            </w:r>
            <w:r>
              <w:rPr>
                <w:rFonts w:hint="eastAsia" w:ascii="Times New Roman" w:hAnsi="Times New Roman" w:cs="Times New Roman"/>
                <w:bCs/>
                <w:color w:val="auto"/>
                <w:sz w:val="24"/>
                <w:szCs w:val="24"/>
              </w:rPr>
              <w:t>生物量比例较小</w:t>
            </w:r>
            <w:r>
              <w:rPr>
                <w:rFonts w:ascii="Times New Roman" w:hAnsi="Times New Roman" w:cs="Times New Roman"/>
                <w:bCs/>
                <w:color w:val="auto"/>
                <w:sz w:val="24"/>
                <w:szCs w:val="24"/>
              </w:rPr>
              <w:t>。损失的比例相对较小，对整个生态系统而言属于可以承受的范围。</w:t>
            </w:r>
          </w:p>
          <w:p w14:paraId="76869A79">
            <w:pPr>
              <w:pStyle w:val="51"/>
              <w:adjustRightInd w:val="0"/>
              <w:snapToGrid w:val="0"/>
              <w:spacing w:line="440" w:lineRule="exact"/>
              <w:ind w:firstLine="480" w:firstLineChars="200"/>
              <w:jc w:val="both"/>
              <w:rPr>
                <w:rFonts w:ascii="Times New Roman" w:hAnsi="Times New Roman" w:cs="Times New Roman"/>
                <w:bCs/>
                <w:color w:val="auto"/>
                <w:sz w:val="24"/>
                <w:szCs w:val="24"/>
              </w:rPr>
            </w:pPr>
            <w:bookmarkStart w:id="97" w:name="_Toc445"/>
            <w:r>
              <w:rPr>
                <w:rFonts w:hint="eastAsia" w:ascii="Times New Roman" w:hAnsi="Times New Roman" w:cs="Times New Roman"/>
                <w:bCs/>
                <w:color w:val="auto"/>
                <w:sz w:val="24"/>
                <w:szCs w:val="24"/>
              </w:rPr>
              <w:t>3）</w:t>
            </w:r>
            <w:r>
              <w:rPr>
                <w:rFonts w:ascii="Times New Roman" w:hAnsi="Times New Roman" w:cs="Times New Roman"/>
                <w:bCs/>
                <w:color w:val="auto"/>
                <w:sz w:val="24"/>
                <w:szCs w:val="24"/>
              </w:rPr>
              <w:t>对植被覆盖度影响</w:t>
            </w:r>
            <w:bookmarkEnd w:id="97"/>
          </w:p>
          <w:p w14:paraId="24E1045A">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本次评价基于NDVI对施工期植被覆盖度（FVC）进行了分析，根据计算结果，项目施工期评价区平均植被覆盖度为</w:t>
            </w:r>
            <w:r>
              <w:rPr>
                <w:rFonts w:hint="eastAsia" w:ascii="Times New Roman" w:hAnsi="Times New Roman" w:cs="Times New Roman"/>
                <w:bCs/>
                <w:color w:val="auto"/>
                <w:sz w:val="24"/>
                <w:szCs w:val="24"/>
              </w:rPr>
              <w:t>45.13</w:t>
            </w:r>
            <w:r>
              <w:rPr>
                <w:rFonts w:ascii="Times New Roman" w:hAnsi="Times New Roman" w:cs="Times New Roman"/>
                <w:bCs/>
                <w:color w:val="auto"/>
                <w:sz w:val="24"/>
                <w:szCs w:val="24"/>
              </w:rPr>
              <w:t>%，与建设前相比植被覆盖度下降幅度很小，工程建设对植被覆盖度影响很小。各不同覆盖度等级变化情况见下表：</w:t>
            </w:r>
          </w:p>
          <w:p w14:paraId="6770B5DA">
            <w:pPr>
              <w:adjustRightInd w:val="0"/>
              <w:snapToGrid w:val="0"/>
              <w:jc w:val="center"/>
              <w:rPr>
                <w:rFonts w:ascii="Times New Roman" w:hAnsi="Times New Roman"/>
                <w:b/>
                <w:color w:val="auto"/>
                <w:sz w:val="24"/>
                <w:szCs w:val="28"/>
              </w:rPr>
            </w:pPr>
            <w:r>
              <w:rPr>
                <w:rFonts w:ascii="Times New Roman" w:hAnsi="Times New Roman"/>
                <w:b/>
                <w:color w:val="auto"/>
                <w:sz w:val="24"/>
                <w:szCs w:val="28"/>
              </w:rPr>
              <w:t>表</w:t>
            </w:r>
            <w:r>
              <w:rPr>
                <w:rFonts w:hint="eastAsia" w:ascii="Times New Roman" w:hAnsi="Times New Roman"/>
                <w:b/>
                <w:color w:val="auto"/>
                <w:sz w:val="24"/>
                <w:szCs w:val="28"/>
              </w:rPr>
              <w:t>4-5</w:t>
            </w:r>
            <w:r>
              <w:rPr>
                <w:rFonts w:ascii="Times New Roman" w:hAnsi="Times New Roman"/>
                <w:b/>
                <w:color w:val="auto"/>
                <w:sz w:val="24"/>
                <w:szCs w:val="28"/>
              </w:rPr>
              <w:t xml:space="preserve">  评价区FVC统计一览表</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1181"/>
              <w:gridCol w:w="1111"/>
              <w:gridCol w:w="902"/>
              <w:gridCol w:w="1197"/>
              <w:gridCol w:w="1183"/>
              <w:gridCol w:w="949"/>
            </w:tblGrid>
            <w:tr w14:paraId="6356F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69FD5F22">
                  <w:pPr>
                    <w:snapToGrid w:val="0"/>
                    <w:jc w:val="center"/>
                    <w:rPr>
                      <w:rFonts w:ascii="Times New Roman" w:hAnsi="Times New Roman"/>
                      <w:b/>
                      <w:bCs/>
                      <w:color w:val="auto"/>
                      <w:kern w:val="0"/>
                      <w:szCs w:val="21"/>
                    </w:rPr>
                  </w:pPr>
                  <w:r>
                    <w:rPr>
                      <w:rFonts w:ascii="Times New Roman" w:hAnsi="Times New Roman"/>
                      <w:b/>
                      <w:bCs/>
                      <w:color w:val="auto"/>
                      <w:kern w:val="0"/>
                      <w:szCs w:val="21"/>
                    </w:rPr>
                    <w:t>植被覆盖度等级</w:t>
                  </w:r>
                </w:p>
              </w:tc>
              <w:tc>
                <w:tcPr>
                  <w:tcW w:w="701" w:type="pct"/>
                  <w:tcBorders>
                    <w:tl2br w:val="nil"/>
                    <w:tr2bl w:val="nil"/>
                  </w:tcBorders>
                  <w:shd w:val="clear" w:color="auto" w:fill="auto"/>
                  <w:vAlign w:val="center"/>
                </w:tcPr>
                <w:p w14:paraId="38378D9E">
                  <w:pPr>
                    <w:snapToGrid w:val="0"/>
                    <w:jc w:val="center"/>
                    <w:rPr>
                      <w:rFonts w:ascii="Times New Roman" w:hAnsi="Times New Roman"/>
                      <w:b/>
                      <w:bCs/>
                      <w:color w:val="auto"/>
                      <w:kern w:val="0"/>
                      <w:szCs w:val="21"/>
                    </w:rPr>
                  </w:pPr>
                  <w:r>
                    <w:rPr>
                      <w:rFonts w:ascii="Times New Roman" w:hAnsi="Times New Roman"/>
                      <w:b/>
                      <w:bCs/>
                      <w:color w:val="auto"/>
                      <w:kern w:val="0"/>
                      <w:szCs w:val="21"/>
                    </w:rPr>
                    <w:t>建设前评价区分布面积（hm²）</w:t>
                  </w:r>
                </w:p>
              </w:tc>
              <w:tc>
                <w:tcPr>
                  <w:tcW w:w="659" w:type="pct"/>
                  <w:tcBorders>
                    <w:tl2br w:val="nil"/>
                    <w:tr2bl w:val="nil"/>
                  </w:tcBorders>
                  <w:shd w:val="clear" w:color="auto" w:fill="auto"/>
                  <w:vAlign w:val="center"/>
                </w:tcPr>
                <w:p w14:paraId="4640C050">
                  <w:pPr>
                    <w:snapToGrid w:val="0"/>
                    <w:jc w:val="center"/>
                    <w:rPr>
                      <w:rFonts w:ascii="Times New Roman" w:hAnsi="Times New Roman"/>
                      <w:b/>
                      <w:bCs/>
                      <w:color w:val="auto"/>
                      <w:kern w:val="0"/>
                      <w:szCs w:val="21"/>
                    </w:rPr>
                  </w:pPr>
                  <w:r>
                    <w:rPr>
                      <w:rFonts w:ascii="Times New Roman" w:hAnsi="Times New Roman"/>
                      <w:b/>
                      <w:bCs/>
                      <w:color w:val="auto"/>
                      <w:kern w:val="0"/>
                      <w:szCs w:val="21"/>
                    </w:rPr>
                    <w:t>占评价区面积比例%</w:t>
                  </w:r>
                </w:p>
              </w:tc>
              <w:tc>
                <w:tcPr>
                  <w:tcW w:w="535" w:type="pct"/>
                  <w:tcBorders>
                    <w:tl2br w:val="nil"/>
                    <w:tr2bl w:val="nil"/>
                  </w:tcBorders>
                  <w:shd w:val="clear" w:color="auto" w:fill="auto"/>
                  <w:vAlign w:val="center"/>
                </w:tcPr>
                <w:p w14:paraId="3D1E95B4">
                  <w:pPr>
                    <w:snapToGrid w:val="0"/>
                    <w:jc w:val="center"/>
                    <w:rPr>
                      <w:rFonts w:ascii="Times New Roman" w:hAnsi="Times New Roman"/>
                      <w:b/>
                      <w:bCs/>
                      <w:color w:val="auto"/>
                      <w:kern w:val="0"/>
                      <w:szCs w:val="21"/>
                    </w:rPr>
                  </w:pPr>
                  <w:r>
                    <w:rPr>
                      <w:rFonts w:ascii="Times New Roman" w:hAnsi="Times New Roman"/>
                      <w:b/>
                      <w:bCs/>
                      <w:color w:val="auto"/>
                      <w:kern w:val="0"/>
                      <w:szCs w:val="21"/>
                    </w:rPr>
                    <w:t>永久占用面积（hm²）</w:t>
                  </w:r>
                </w:p>
              </w:tc>
              <w:tc>
                <w:tcPr>
                  <w:tcW w:w="710" w:type="pct"/>
                  <w:tcBorders>
                    <w:tl2br w:val="nil"/>
                    <w:tr2bl w:val="nil"/>
                  </w:tcBorders>
                  <w:vAlign w:val="center"/>
                </w:tcPr>
                <w:p w14:paraId="5961EFA8">
                  <w:pPr>
                    <w:snapToGrid w:val="0"/>
                    <w:jc w:val="center"/>
                    <w:rPr>
                      <w:rFonts w:ascii="Times New Roman" w:hAnsi="Times New Roman"/>
                      <w:b/>
                      <w:bCs/>
                      <w:color w:val="auto"/>
                      <w:kern w:val="0"/>
                      <w:szCs w:val="21"/>
                    </w:rPr>
                  </w:pPr>
                  <w:r>
                    <w:rPr>
                      <w:rFonts w:ascii="Times New Roman" w:hAnsi="Times New Roman"/>
                      <w:b/>
                      <w:bCs/>
                      <w:color w:val="auto"/>
                      <w:kern w:val="0"/>
                      <w:szCs w:val="21"/>
                    </w:rPr>
                    <w:t>占用面积占评价区同等级面积比例%</w:t>
                  </w:r>
                </w:p>
              </w:tc>
              <w:tc>
                <w:tcPr>
                  <w:tcW w:w="702" w:type="pct"/>
                  <w:tcBorders>
                    <w:tl2br w:val="nil"/>
                    <w:tr2bl w:val="nil"/>
                  </w:tcBorders>
                  <w:shd w:val="clear" w:color="auto" w:fill="auto"/>
                  <w:vAlign w:val="center"/>
                </w:tcPr>
                <w:p w14:paraId="1D33F4FF">
                  <w:pPr>
                    <w:snapToGrid w:val="0"/>
                    <w:jc w:val="center"/>
                    <w:rPr>
                      <w:rFonts w:ascii="Times New Roman" w:hAnsi="Times New Roman"/>
                      <w:b/>
                      <w:bCs/>
                      <w:color w:val="auto"/>
                      <w:kern w:val="0"/>
                      <w:szCs w:val="21"/>
                    </w:rPr>
                  </w:pPr>
                  <w:r>
                    <w:rPr>
                      <w:rFonts w:ascii="Times New Roman" w:hAnsi="Times New Roman"/>
                      <w:b/>
                      <w:bCs/>
                      <w:color w:val="auto"/>
                      <w:kern w:val="0"/>
                      <w:szCs w:val="21"/>
                    </w:rPr>
                    <w:t>建设后评价区分布面积（hm²）</w:t>
                  </w:r>
                </w:p>
              </w:tc>
              <w:tc>
                <w:tcPr>
                  <w:tcW w:w="563" w:type="pct"/>
                  <w:tcBorders>
                    <w:tl2br w:val="nil"/>
                    <w:tr2bl w:val="nil"/>
                  </w:tcBorders>
                  <w:vAlign w:val="center"/>
                </w:tcPr>
                <w:p w14:paraId="6D4AA2DD">
                  <w:pPr>
                    <w:snapToGrid w:val="0"/>
                    <w:jc w:val="center"/>
                    <w:rPr>
                      <w:rFonts w:ascii="Times New Roman" w:hAnsi="Times New Roman"/>
                      <w:b/>
                      <w:bCs/>
                      <w:color w:val="auto"/>
                      <w:kern w:val="0"/>
                      <w:szCs w:val="21"/>
                    </w:rPr>
                  </w:pPr>
                  <w:r>
                    <w:rPr>
                      <w:rFonts w:ascii="Times New Roman" w:hAnsi="Times New Roman"/>
                      <w:b/>
                      <w:bCs/>
                      <w:color w:val="auto"/>
                      <w:kern w:val="0"/>
                      <w:szCs w:val="21"/>
                    </w:rPr>
                    <w:t>占评价区面积比例%</w:t>
                  </w:r>
                </w:p>
              </w:tc>
            </w:tr>
            <w:tr w14:paraId="0DC9DD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1B1D1E6F">
                  <w:pPr>
                    <w:snapToGrid w:val="0"/>
                    <w:jc w:val="center"/>
                    <w:rPr>
                      <w:rFonts w:ascii="Times New Roman" w:hAnsi="Times New Roman"/>
                      <w:color w:val="auto"/>
                      <w:kern w:val="0"/>
                      <w:szCs w:val="21"/>
                    </w:rPr>
                  </w:pPr>
                  <w:r>
                    <w:rPr>
                      <w:rFonts w:ascii="Times New Roman" w:hAnsi="Times New Roman"/>
                      <w:color w:val="auto"/>
                      <w:kern w:val="0"/>
                      <w:szCs w:val="21"/>
                    </w:rPr>
                    <w:t>≥80</w:t>
                  </w:r>
                  <w:r>
                    <w:rPr>
                      <w:rFonts w:hint="eastAsia" w:ascii="Times New Roman" w:hAnsi="Times New Roman"/>
                      <w:color w:val="auto"/>
                      <w:kern w:val="0"/>
                      <w:szCs w:val="21"/>
                    </w:rPr>
                    <w:t>（高覆盖度）</w:t>
                  </w:r>
                </w:p>
              </w:tc>
              <w:tc>
                <w:tcPr>
                  <w:tcW w:w="701" w:type="pct"/>
                  <w:tcBorders>
                    <w:tl2br w:val="nil"/>
                    <w:tr2bl w:val="nil"/>
                  </w:tcBorders>
                  <w:shd w:val="clear" w:color="auto" w:fill="auto"/>
                  <w:vAlign w:val="center"/>
                </w:tcPr>
                <w:p w14:paraId="47255234">
                  <w:pPr>
                    <w:snapToGrid w:val="0"/>
                    <w:jc w:val="center"/>
                    <w:rPr>
                      <w:rFonts w:ascii="Times New Roman" w:hAnsi="Times New Roman"/>
                      <w:color w:val="auto"/>
                      <w:kern w:val="0"/>
                      <w:szCs w:val="21"/>
                    </w:rPr>
                  </w:pPr>
                  <w:r>
                    <w:rPr>
                      <w:rFonts w:ascii="Times New Roman" w:hAnsi="Times New Roman"/>
                      <w:color w:val="auto"/>
                      <w:kern w:val="0"/>
                      <w:szCs w:val="21"/>
                    </w:rPr>
                    <w:t xml:space="preserve">8.146 </w:t>
                  </w:r>
                </w:p>
              </w:tc>
              <w:tc>
                <w:tcPr>
                  <w:tcW w:w="659" w:type="pct"/>
                  <w:tcBorders>
                    <w:tl2br w:val="nil"/>
                    <w:tr2bl w:val="nil"/>
                  </w:tcBorders>
                  <w:shd w:val="clear" w:color="auto" w:fill="auto"/>
                  <w:vAlign w:val="center"/>
                </w:tcPr>
                <w:p w14:paraId="7DCF7279">
                  <w:pPr>
                    <w:snapToGrid w:val="0"/>
                    <w:jc w:val="center"/>
                    <w:rPr>
                      <w:rFonts w:ascii="Times New Roman" w:hAnsi="Times New Roman"/>
                      <w:color w:val="auto"/>
                      <w:kern w:val="0"/>
                      <w:szCs w:val="21"/>
                    </w:rPr>
                  </w:pPr>
                  <w:r>
                    <w:rPr>
                      <w:rFonts w:ascii="Times New Roman" w:hAnsi="Times New Roman"/>
                      <w:color w:val="auto"/>
                      <w:kern w:val="0"/>
                      <w:szCs w:val="21"/>
                    </w:rPr>
                    <w:t xml:space="preserve">0.62 </w:t>
                  </w:r>
                </w:p>
              </w:tc>
              <w:tc>
                <w:tcPr>
                  <w:tcW w:w="535" w:type="pct"/>
                  <w:tcBorders>
                    <w:tl2br w:val="nil"/>
                    <w:tr2bl w:val="nil"/>
                  </w:tcBorders>
                  <w:shd w:val="clear" w:color="auto" w:fill="auto"/>
                  <w:vAlign w:val="center"/>
                </w:tcPr>
                <w:p w14:paraId="1A678724">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w:t>
                  </w:r>
                </w:p>
              </w:tc>
              <w:tc>
                <w:tcPr>
                  <w:tcW w:w="710" w:type="pct"/>
                  <w:tcBorders>
                    <w:tl2br w:val="nil"/>
                    <w:tr2bl w:val="nil"/>
                  </w:tcBorders>
                  <w:shd w:val="clear" w:color="auto" w:fill="auto"/>
                  <w:vAlign w:val="center"/>
                </w:tcPr>
                <w:p w14:paraId="10B83B3C">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 xml:space="preserve">0.00 </w:t>
                  </w:r>
                </w:p>
              </w:tc>
              <w:tc>
                <w:tcPr>
                  <w:tcW w:w="702" w:type="pct"/>
                  <w:tcBorders>
                    <w:top w:val="nil"/>
                    <w:left w:val="nil"/>
                    <w:bottom w:val="single" w:color="auto" w:sz="8" w:space="0"/>
                    <w:right w:val="single" w:color="auto" w:sz="8" w:space="0"/>
                  </w:tcBorders>
                  <w:shd w:val="clear" w:color="auto" w:fill="auto"/>
                  <w:vAlign w:val="center"/>
                </w:tcPr>
                <w:p w14:paraId="06C52765">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8.146</w:t>
                  </w:r>
                </w:p>
              </w:tc>
              <w:tc>
                <w:tcPr>
                  <w:tcW w:w="563" w:type="pct"/>
                  <w:tcBorders>
                    <w:top w:val="nil"/>
                    <w:left w:val="nil"/>
                    <w:bottom w:val="single" w:color="auto" w:sz="8" w:space="0"/>
                    <w:right w:val="nil"/>
                  </w:tcBorders>
                  <w:shd w:val="clear" w:color="auto" w:fill="auto"/>
                  <w:vAlign w:val="center"/>
                </w:tcPr>
                <w:p w14:paraId="548502D1">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 xml:space="preserve">0.616 </w:t>
                  </w:r>
                </w:p>
              </w:tc>
            </w:tr>
            <w:tr w14:paraId="00C3C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1441503C">
                  <w:pPr>
                    <w:snapToGrid w:val="0"/>
                    <w:jc w:val="center"/>
                    <w:rPr>
                      <w:rFonts w:ascii="Times New Roman" w:hAnsi="Times New Roman"/>
                      <w:color w:val="auto"/>
                      <w:kern w:val="0"/>
                      <w:szCs w:val="21"/>
                    </w:rPr>
                  </w:pPr>
                  <w:r>
                    <w:rPr>
                      <w:rFonts w:ascii="Times New Roman" w:hAnsi="Times New Roman"/>
                      <w:color w:val="auto"/>
                      <w:kern w:val="0"/>
                      <w:szCs w:val="21"/>
                    </w:rPr>
                    <w:t>60-80</w:t>
                  </w:r>
                  <w:r>
                    <w:rPr>
                      <w:rFonts w:hint="eastAsia" w:ascii="Times New Roman" w:hAnsi="Times New Roman"/>
                      <w:color w:val="auto"/>
                      <w:kern w:val="0"/>
                      <w:szCs w:val="21"/>
                    </w:rPr>
                    <w:t>（中高覆盖度）</w:t>
                  </w:r>
                </w:p>
              </w:tc>
              <w:tc>
                <w:tcPr>
                  <w:tcW w:w="701" w:type="pct"/>
                  <w:tcBorders>
                    <w:tl2br w:val="nil"/>
                    <w:tr2bl w:val="nil"/>
                  </w:tcBorders>
                  <w:shd w:val="clear" w:color="auto" w:fill="auto"/>
                  <w:vAlign w:val="center"/>
                </w:tcPr>
                <w:p w14:paraId="28AFBDE7">
                  <w:pPr>
                    <w:snapToGrid w:val="0"/>
                    <w:jc w:val="center"/>
                    <w:rPr>
                      <w:rFonts w:ascii="Times New Roman" w:hAnsi="Times New Roman"/>
                      <w:color w:val="auto"/>
                      <w:kern w:val="0"/>
                      <w:szCs w:val="21"/>
                    </w:rPr>
                  </w:pPr>
                  <w:r>
                    <w:rPr>
                      <w:rFonts w:ascii="Times New Roman" w:hAnsi="Times New Roman"/>
                      <w:color w:val="auto"/>
                      <w:kern w:val="0"/>
                      <w:szCs w:val="21"/>
                    </w:rPr>
                    <w:t xml:space="preserve">234.905 </w:t>
                  </w:r>
                </w:p>
              </w:tc>
              <w:tc>
                <w:tcPr>
                  <w:tcW w:w="659" w:type="pct"/>
                  <w:tcBorders>
                    <w:tl2br w:val="nil"/>
                    <w:tr2bl w:val="nil"/>
                  </w:tcBorders>
                  <w:shd w:val="clear" w:color="auto" w:fill="auto"/>
                  <w:vAlign w:val="center"/>
                </w:tcPr>
                <w:p w14:paraId="791511EB">
                  <w:pPr>
                    <w:snapToGrid w:val="0"/>
                    <w:jc w:val="center"/>
                    <w:rPr>
                      <w:rFonts w:ascii="Times New Roman" w:hAnsi="Times New Roman"/>
                      <w:color w:val="auto"/>
                      <w:kern w:val="0"/>
                      <w:szCs w:val="21"/>
                    </w:rPr>
                  </w:pPr>
                  <w:r>
                    <w:rPr>
                      <w:rFonts w:ascii="Times New Roman" w:hAnsi="Times New Roman"/>
                      <w:color w:val="auto"/>
                      <w:kern w:val="0"/>
                      <w:szCs w:val="21"/>
                    </w:rPr>
                    <w:t xml:space="preserve">17.75 </w:t>
                  </w:r>
                </w:p>
              </w:tc>
              <w:tc>
                <w:tcPr>
                  <w:tcW w:w="535" w:type="pct"/>
                  <w:tcBorders>
                    <w:tl2br w:val="nil"/>
                    <w:tr2bl w:val="nil"/>
                  </w:tcBorders>
                  <w:shd w:val="clear" w:color="auto" w:fill="auto"/>
                  <w:vAlign w:val="center"/>
                </w:tcPr>
                <w:p w14:paraId="385D5DC1">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w:t>
                  </w:r>
                </w:p>
              </w:tc>
              <w:tc>
                <w:tcPr>
                  <w:tcW w:w="710" w:type="pct"/>
                  <w:tcBorders>
                    <w:tl2br w:val="nil"/>
                    <w:tr2bl w:val="nil"/>
                  </w:tcBorders>
                  <w:shd w:val="clear" w:color="auto" w:fill="auto"/>
                  <w:vAlign w:val="center"/>
                </w:tcPr>
                <w:p w14:paraId="70E298D7">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 xml:space="preserve">0.00 </w:t>
                  </w:r>
                </w:p>
              </w:tc>
              <w:tc>
                <w:tcPr>
                  <w:tcW w:w="702" w:type="pct"/>
                  <w:tcBorders>
                    <w:top w:val="nil"/>
                    <w:left w:val="nil"/>
                    <w:bottom w:val="single" w:color="auto" w:sz="8" w:space="0"/>
                    <w:right w:val="single" w:color="auto" w:sz="8" w:space="0"/>
                  </w:tcBorders>
                  <w:shd w:val="clear" w:color="auto" w:fill="auto"/>
                  <w:vAlign w:val="center"/>
                </w:tcPr>
                <w:p w14:paraId="400E673E">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234.905</w:t>
                  </w:r>
                </w:p>
              </w:tc>
              <w:tc>
                <w:tcPr>
                  <w:tcW w:w="563" w:type="pct"/>
                  <w:tcBorders>
                    <w:top w:val="nil"/>
                    <w:left w:val="nil"/>
                    <w:bottom w:val="single" w:color="auto" w:sz="8" w:space="0"/>
                    <w:right w:val="nil"/>
                  </w:tcBorders>
                  <w:shd w:val="clear" w:color="auto" w:fill="auto"/>
                  <w:vAlign w:val="center"/>
                </w:tcPr>
                <w:p w14:paraId="039B882C">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 xml:space="preserve">17.753 </w:t>
                  </w:r>
                </w:p>
              </w:tc>
            </w:tr>
            <w:tr w14:paraId="4D091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70CB1063">
                  <w:pPr>
                    <w:snapToGrid w:val="0"/>
                    <w:jc w:val="center"/>
                    <w:rPr>
                      <w:rFonts w:ascii="Times New Roman" w:hAnsi="Times New Roman"/>
                      <w:color w:val="auto"/>
                      <w:kern w:val="0"/>
                      <w:szCs w:val="21"/>
                    </w:rPr>
                  </w:pPr>
                  <w:r>
                    <w:rPr>
                      <w:rFonts w:ascii="Times New Roman" w:hAnsi="Times New Roman"/>
                      <w:color w:val="auto"/>
                      <w:kern w:val="0"/>
                      <w:szCs w:val="21"/>
                    </w:rPr>
                    <w:t>40-60</w:t>
                  </w:r>
                  <w:r>
                    <w:rPr>
                      <w:rFonts w:hint="eastAsia" w:ascii="Times New Roman" w:hAnsi="Times New Roman"/>
                      <w:color w:val="auto"/>
                      <w:kern w:val="0"/>
                      <w:szCs w:val="21"/>
                    </w:rPr>
                    <w:t>（中覆盖度）</w:t>
                  </w:r>
                </w:p>
              </w:tc>
              <w:tc>
                <w:tcPr>
                  <w:tcW w:w="701" w:type="pct"/>
                  <w:tcBorders>
                    <w:tl2br w:val="nil"/>
                    <w:tr2bl w:val="nil"/>
                  </w:tcBorders>
                  <w:shd w:val="clear" w:color="auto" w:fill="auto"/>
                  <w:vAlign w:val="center"/>
                </w:tcPr>
                <w:p w14:paraId="39409CF4">
                  <w:pPr>
                    <w:snapToGrid w:val="0"/>
                    <w:jc w:val="center"/>
                    <w:rPr>
                      <w:rFonts w:ascii="Times New Roman" w:hAnsi="Times New Roman"/>
                      <w:color w:val="auto"/>
                      <w:kern w:val="0"/>
                      <w:szCs w:val="21"/>
                    </w:rPr>
                  </w:pPr>
                  <w:r>
                    <w:rPr>
                      <w:rFonts w:ascii="Times New Roman" w:hAnsi="Times New Roman"/>
                      <w:color w:val="auto"/>
                      <w:kern w:val="0"/>
                      <w:szCs w:val="21"/>
                    </w:rPr>
                    <w:t xml:space="preserve">502.980 </w:t>
                  </w:r>
                </w:p>
              </w:tc>
              <w:tc>
                <w:tcPr>
                  <w:tcW w:w="659" w:type="pct"/>
                  <w:tcBorders>
                    <w:tl2br w:val="nil"/>
                    <w:tr2bl w:val="nil"/>
                  </w:tcBorders>
                  <w:shd w:val="clear" w:color="auto" w:fill="auto"/>
                  <w:vAlign w:val="center"/>
                </w:tcPr>
                <w:p w14:paraId="7ED20CBC">
                  <w:pPr>
                    <w:snapToGrid w:val="0"/>
                    <w:jc w:val="center"/>
                    <w:rPr>
                      <w:rFonts w:ascii="Times New Roman" w:hAnsi="Times New Roman"/>
                      <w:color w:val="auto"/>
                      <w:kern w:val="0"/>
                      <w:szCs w:val="21"/>
                    </w:rPr>
                  </w:pPr>
                  <w:r>
                    <w:rPr>
                      <w:rFonts w:ascii="Times New Roman" w:hAnsi="Times New Roman"/>
                      <w:color w:val="auto"/>
                      <w:kern w:val="0"/>
                      <w:szCs w:val="21"/>
                    </w:rPr>
                    <w:t xml:space="preserve">38.01 </w:t>
                  </w:r>
                </w:p>
              </w:tc>
              <w:tc>
                <w:tcPr>
                  <w:tcW w:w="535" w:type="pct"/>
                  <w:tcBorders>
                    <w:tl2br w:val="nil"/>
                    <w:tr2bl w:val="nil"/>
                  </w:tcBorders>
                  <w:shd w:val="clear" w:color="auto" w:fill="auto"/>
                  <w:vAlign w:val="center"/>
                </w:tcPr>
                <w:p w14:paraId="5B3F8F2B">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0.3</w:t>
                  </w:r>
                </w:p>
              </w:tc>
              <w:tc>
                <w:tcPr>
                  <w:tcW w:w="710" w:type="pct"/>
                  <w:tcBorders>
                    <w:tl2br w:val="nil"/>
                    <w:tr2bl w:val="nil"/>
                  </w:tcBorders>
                  <w:shd w:val="clear" w:color="auto" w:fill="auto"/>
                  <w:vAlign w:val="center"/>
                </w:tcPr>
                <w:p w14:paraId="30643CAA">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 xml:space="preserve">0.06 </w:t>
                  </w:r>
                </w:p>
              </w:tc>
              <w:tc>
                <w:tcPr>
                  <w:tcW w:w="702" w:type="pct"/>
                  <w:tcBorders>
                    <w:top w:val="nil"/>
                    <w:left w:val="nil"/>
                    <w:bottom w:val="single" w:color="auto" w:sz="8" w:space="0"/>
                    <w:right w:val="single" w:color="auto" w:sz="8" w:space="0"/>
                  </w:tcBorders>
                  <w:shd w:val="clear" w:color="auto" w:fill="auto"/>
                  <w:vAlign w:val="center"/>
                </w:tcPr>
                <w:p w14:paraId="107809A5">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502.68</w:t>
                  </w:r>
                </w:p>
              </w:tc>
              <w:tc>
                <w:tcPr>
                  <w:tcW w:w="563" w:type="pct"/>
                  <w:tcBorders>
                    <w:top w:val="nil"/>
                    <w:left w:val="nil"/>
                    <w:bottom w:val="single" w:color="auto" w:sz="8" w:space="0"/>
                    <w:right w:val="nil"/>
                  </w:tcBorders>
                  <w:shd w:val="clear" w:color="auto" w:fill="auto"/>
                  <w:vAlign w:val="center"/>
                </w:tcPr>
                <w:p w14:paraId="6816C825">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 xml:space="preserve">37.991 </w:t>
                  </w:r>
                </w:p>
              </w:tc>
            </w:tr>
            <w:tr w14:paraId="78C62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71F8962D">
                  <w:pPr>
                    <w:snapToGrid w:val="0"/>
                    <w:jc w:val="center"/>
                    <w:rPr>
                      <w:rFonts w:ascii="Times New Roman" w:hAnsi="Times New Roman"/>
                      <w:color w:val="auto"/>
                      <w:kern w:val="0"/>
                      <w:szCs w:val="21"/>
                    </w:rPr>
                  </w:pPr>
                  <w:r>
                    <w:rPr>
                      <w:rFonts w:ascii="Times New Roman" w:hAnsi="Times New Roman"/>
                      <w:color w:val="auto"/>
                      <w:kern w:val="0"/>
                      <w:szCs w:val="21"/>
                    </w:rPr>
                    <w:t>20-40</w:t>
                  </w:r>
                  <w:r>
                    <w:rPr>
                      <w:rFonts w:hint="eastAsia" w:ascii="Times New Roman" w:hAnsi="Times New Roman"/>
                      <w:color w:val="auto"/>
                      <w:kern w:val="0"/>
                      <w:szCs w:val="21"/>
                    </w:rPr>
                    <w:t>（中低覆盖度）</w:t>
                  </w:r>
                </w:p>
              </w:tc>
              <w:tc>
                <w:tcPr>
                  <w:tcW w:w="701" w:type="pct"/>
                  <w:tcBorders>
                    <w:tl2br w:val="nil"/>
                    <w:tr2bl w:val="nil"/>
                  </w:tcBorders>
                  <w:shd w:val="clear" w:color="auto" w:fill="auto"/>
                  <w:vAlign w:val="center"/>
                </w:tcPr>
                <w:p w14:paraId="68A62A7D">
                  <w:pPr>
                    <w:snapToGrid w:val="0"/>
                    <w:jc w:val="center"/>
                    <w:rPr>
                      <w:rFonts w:ascii="Times New Roman" w:hAnsi="Times New Roman"/>
                      <w:color w:val="auto"/>
                      <w:kern w:val="0"/>
                      <w:szCs w:val="21"/>
                    </w:rPr>
                  </w:pPr>
                  <w:r>
                    <w:rPr>
                      <w:rFonts w:ascii="Times New Roman" w:hAnsi="Times New Roman"/>
                      <w:color w:val="auto"/>
                      <w:kern w:val="0"/>
                      <w:szCs w:val="21"/>
                    </w:rPr>
                    <w:t xml:space="preserve">570.704 </w:t>
                  </w:r>
                </w:p>
              </w:tc>
              <w:tc>
                <w:tcPr>
                  <w:tcW w:w="659" w:type="pct"/>
                  <w:tcBorders>
                    <w:tl2br w:val="nil"/>
                    <w:tr2bl w:val="nil"/>
                  </w:tcBorders>
                  <w:shd w:val="clear" w:color="auto" w:fill="auto"/>
                  <w:vAlign w:val="center"/>
                </w:tcPr>
                <w:p w14:paraId="49B8FE36">
                  <w:pPr>
                    <w:snapToGrid w:val="0"/>
                    <w:jc w:val="center"/>
                    <w:rPr>
                      <w:rFonts w:ascii="Times New Roman" w:hAnsi="Times New Roman"/>
                      <w:color w:val="auto"/>
                      <w:kern w:val="0"/>
                      <w:szCs w:val="21"/>
                    </w:rPr>
                  </w:pPr>
                  <w:r>
                    <w:rPr>
                      <w:rFonts w:ascii="Times New Roman" w:hAnsi="Times New Roman"/>
                      <w:color w:val="auto"/>
                      <w:kern w:val="0"/>
                      <w:szCs w:val="21"/>
                    </w:rPr>
                    <w:t xml:space="preserve">43.13 </w:t>
                  </w:r>
                </w:p>
              </w:tc>
              <w:tc>
                <w:tcPr>
                  <w:tcW w:w="535" w:type="pct"/>
                  <w:tcBorders>
                    <w:tl2br w:val="nil"/>
                    <w:tr2bl w:val="nil"/>
                  </w:tcBorders>
                  <w:shd w:val="clear" w:color="auto" w:fill="auto"/>
                  <w:vAlign w:val="center"/>
                </w:tcPr>
                <w:p w14:paraId="58FD40AC">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0.08</w:t>
                  </w:r>
                </w:p>
              </w:tc>
              <w:tc>
                <w:tcPr>
                  <w:tcW w:w="710" w:type="pct"/>
                  <w:tcBorders>
                    <w:tl2br w:val="nil"/>
                    <w:tr2bl w:val="nil"/>
                  </w:tcBorders>
                  <w:shd w:val="clear" w:color="auto" w:fill="auto"/>
                  <w:vAlign w:val="center"/>
                </w:tcPr>
                <w:p w14:paraId="06A6E546">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 xml:space="preserve">0.01 </w:t>
                  </w:r>
                </w:p>
              </w:tc>
              <w:tc>
                <w:tcPr>
                  <w:tcW w:w="702" w:type="pct"/>
                  <w:tcBorders>
                    <w:top w:val="nil"/>
                    <w:left w:val="nil"/>
                    <w:bottom w:val="single" w:color="auto" w:sz="8" w:space="0"/>
                    <w:right w:val="single" w:color="auto" w:sz="8" w:space="0"/>
                  </w:tcBorders>
                  <w:shd w:val="clear" w:color="auto" w:fill="auto"/>
                  <w:vAlign w:val="center"/>
                </w:tcPr>
                <w:p w14:paraId="4BB6594A">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570.624</w:t>
                  </w:r>
                </w:p>
              </w:tc>
              <w:tc>
                <w:tcPr>
                  <w:tcW w:w="563" w:type="pct"/>
                  <w:tcBorders>
                    <w:top w:val="nil"/>
                    <w:left w:val="nil"/>
                    <w:bottom w:val="single" w:color="auto" w:sz="8" w:space="0"/>
                    <w:right w:val="nil"/>
                  </w:tcBorders>
                  <w:shd w:val="clear" w:color="auto" w:fill="auto"/>
                  <w:vAlign w:val="center"/>
                </w:tcPr>
                <w:p w14:paraId="2D8C41D4">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 xml:space="preserve">43.125 </w:t>
                  </w:r>
                </w:p>
              </w:tc>
            </w:tr>
            <w:tr w14:paraId="62246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642A5DD0">
                  <w:pPr>
                    <w:snapToGrid w:val="0"/>
                    <w:jc w:val="center"/>
                    <w:rPr>
                      <w:rFonts w:ascii="Times New Roman" w:hAnsi="Times New Roman"/>
                      <w:color w:val="auto"/>
                      <w:kern w:val="0"/>
                      <w:szCs w:val="21"/>
                    </w:rPr>
                  </w:pPr>
                  <w:r>
                    <w:rPr>
                      <w:rFonts w:ascii="Times New Roman" w:hAnsi="Times New Roman"/>
                      <w:color w:val="auto"/>
                      <w:kern w:val="0"/>
                      <w:szCs w:val="21"/>
                    </w:rPr>
                    <w:t>0-20</w:t>
                  </w:r>
                  <w:r>
                    <w:rPr>
                      <w:rFonts w:hint="eastAsia" w:ascii="Times New Roman" w:hAnsi="Times New Roman"/>
                      <w:color w:val="auto"/>
                      <w:kern w:val="0"/>
                      <w:szCs w:val="21"/>
                    </w:rPr>
                    <w:t>（低覆盖度）</w:t>
                  </w:r>
                </w:p>
              </w:tc>
              <w:tc>
                <w:tcPr>
                  <w:tcW w:w="701" w:type="pct"/>
                  <w:tcBorders>
                    <w:tl2br w:val="nil"/>
                    <w:tr2bl w:val="nil"/>
                  </w:tcBorders>
                  <w:shd w:val="clear" w:color="auto" w:fill="auto"/>
                  <w:vAlign w:val="center"/>
                </w:tcPr>
                <w:p w14:paraId="485DD5BF">
                  <w:pPr>
                    <w:snapToGrid w:val="0"/>
                    <w:jc w:val="center"/>
                    <w:rPr>
                      <w:rFonts w:ascii="Times New Roman" w:hAnsi="Times New Roman"/>
                      <w:color w:val="auto"/>
                      <w:kern w:val="0"/>
                      <w:szCs w:val="21"/>
                    </w:rPr>
                  </w:pPr>
                  <w:r>
                    <w:rPr>
                      <w:rFonts w:ascii="Times New Roman" w:hAnsi="Times New Roman"/>
                      <w:color w:val="auto"/>
                      <w:kern w:val="0"/>
                      <w:szCs w:val="21"/>
                    </w:rPr>
                    <w:t xml:space="preserve">6.438 </w:t>
                  </w:r>
                </w:p>
              </w:tc>
              <w:tc>
                <w:tcPr>
                  <w:tcW w:w="659" w:type="pct"/>
                  <w:tcBorders>
                    <w:tl2br w:val="nil"/>
                    <w:tr2bl w:val="nil"/>
                  </w:tcBorders>
                  <w:shd w:val="clear" w:color="auto" w:fill="auto"/>
                  <w:vAlign w:val="center"/>
                </w:tcPr>
                <w:p w14:paraId="52DDCA6A">
                  <w:pPr>
                    <w:snapToGrid w:val="0"/>
                    <w:jc w:val="center"/>
                    <w:rPr>
                      <w:rFonts w:ascii="Times New Roman" w:hAnsi="Times New Roman"/>
                      <w:color w:val="auto"/>
                      <w:kern w:val="0"/>
                      <w:szCs w:val="21"/>
                    </w:rPr>
                  </w:pPr>
                  <w:r>
                    <w:rPr>
                      <w:rFonts w:ascii="Times New Roman" w:hAnsi="Times New Roman"/>
                      <w:color w:val="auto"/>
                      <w:kern w:val="0"/>
                      <w:szCs w:val="21"/>
                    </w:rPr>
                    <w:t xml:space="preserve">0.49 </w:t>
                  </w:r>
                </w:p>
              </w:tc>
              <w:tc>
                <w:tcPr>
                  <w:tcW w:w="535" w:type="pct"/>
                  <w:tcBorders>
                    <w:tl2br w:val="nil"/>
                    <w:tr2bl w:val="nil"/>
                  </w:tcBorders>
                  <w:shd w:val="clear" w:color="auto" w:fill="auto"/>
                  <w:vAlign w:val="center"/>
                </w:tcPr>
                <w:p w14:paraId="21AB3008">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w:t>
                  </w:r>
                </w:p>
              </w:tc>
              <w:tc>
                <w:tcPr>
                  <w:tcW w:w="710" w:type="pct"/>
                  <w:tcBorders>
                    <w:tl2br w:val="nil"/>
                    <w:tr2bl w:val="nil"/>
                  </w:tcBorders>
                  <w:shd w:val="clear" w:color="auto" w:fill="auto"/>
                  <w:vAlign w:val="center"/>
                </w:tcPr>
                <w:p w14:paraId="3F5E6F7C">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 xml:space="preserve">0.00 </w:t>
                  </w:r>
                </w:p>
              </w:tc>
              <w:tc>
                <w:tcPr>
                  <w:tcW w:w="702" w:type="pct"/>
                  <w:tcBorders>
                    <w:top w:val="nil"/>
                    <w:left w:val="nil"/>
                    <w:bottom w:val="single" w:color="auto" w:sz="8" w:space="0"/>
                    <w:right w:val="single" w:color="auto" w:sz="8" w:space="0"/>
                  </w:tcBorders>
                  <w:shd w:val="clear" w:color="auto" w:fill="auto"/>
                  <w:vAlign w:val="center"/>
                </w:tcPr>
                <w:p w14:paraId="24E7B3F4">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6.817</w:t>
                  </w:r>
                </w:p>
              </w:tc>
              <w:tc>
                <w:tcPr>
                  <w:tcW w:w="563" w:type="pct"/>
                  <w:tcBorders>
                    <w:top w:val="nil"/>
                    <w:left w:val="nil"/>
                    <w:bottom w:val="single" w:color="auto" w:sz="8" w:space="0"/>
                    <w:right w:val="nil"/>
                  </w:tcBorders>
                  <w:shd w:val="clear" w:color="auto" w:fill="auto"/>
                  <w:vAlign w:val="center"/>
                </w:tcPr>
                <w:p w14:paraId="67EF4B30">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 xml:space="preserve">0.515 </w:t>
                  </w:r>
                </w:p>
              </w:tc>
            </w:tr>
            <w:tr w14:paraId="65359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tcBorders>
                    <w:tl2br w:val="nil"/>
                    <w:tr2bl w:val="nil"/>
                  </w:tcBorders>
                  <w:shd w:val="clear" w:color="auto" w:fill="auto"/>
                  <w:vAlign w:val="center"/>
                </w:tcPr>
                <w:p w14:paraId="2AD41752">
                  <w:pPr>
                    <w:snapToGrid w:val="0"/>
                    <w:jc w:val="center"/>
                    <w:rPr>
                      <w:rFonts w:ascii="Times New Roman" w:hAnsi="Times New Roman"/>
                      <w:color w:val="auto"/>
                      <w:kern w:val="0"/>
                      <w:szCs w:val="21"/>
                    </w:rPr>
                  </w:pPr>
                  <w:r>
                    <w:rPr>
                      <w:rFonts w:hint="eastAsia" w:ascii="Times New Roman" w:hAnsi="Times New Roman"/>
                      <w:color w:val="auto"/>
                      <w:kern w:val="0"/>
                      <w:szCs w:val="21"/>
                    </w:rPr>
                    <w:t>合计</w:t>
                  </w:r>
                </w:p>
              </w:tc>
              <w:tc>
                <w:tcPr>
                  <w:tcW w:w="701" w:type="pct"/>
                  <w:tcBorders>
                    <w:tl2br w:val="nil"/>
                    <w:tr2bl w:val="nil"/>
                  </w:tcBorders>
                  <w:shd w:val="clear" w:color="auto" w:fill="auto"/>
                  <w:vAlign w:val="center"/>
                </w:tcPr>
                <w:p w14:paraId="258F7364">
                  <w:pPr>
                    <w:snapToGrid w:val="0"/>
                    <w:jc w:val="center"/>
                    <w:rPr>
                      <w:rFonts w:ascii="Times New Roman" w:hAnsi="Times New Roman"/>
                      <w:color w:val="auto"/>
                      <w:kern w:val="0"/>
                      <w:szCs w:val="21"/>
                    </w:rPr>
                  </w:pPr>
                  <w:r>
                    <w:rPr>
                      <w:rFonts w:ascii="Times New Roman" w:hAnsi="Times New Roman"/>
                      <w:color w:val="auto"/>
                      <w:kern w:val="0"/>
                      <w:szCs w:val="21"/>
                    </w:rPr>
                    <w:t xml:space="preserve">1323.172 </w:t>
                  </w:r>
                </w:p>
              </w:tc>
              <w:tc>
                <w:tcPr>
                  <w:tcW w:w="659" w:type="pct"/>
                  <w:tcBorders>
                    <w:tl2br w:val="nil"/>
                    <w:tr2bl w:val="nil"/>
                  </w:tcBorders>
                  <w:shd w:val="clear" w:color="auto" w:fill="auto"/>
                  <w:vAlign w:val="center"/>
                </w:tcPr>
                <w:p w14:paraId="0B4A8B90">
                  <w:pPr>
                    <w:snapToGrid w:val="0"/>
                    <w:jc w:val="center"/>
                    <w:rPr>
                      <w:rFonts w:ascii="Times New Roman" w:hAnsi="Times New Roman"/>
                      <w:color w:val="auto"/>
                      <w:kern w:val="0"/>
                      <w:szCs w:val="21"/>
                    </w:rPr>
                  </w:pPr>
                  <w:r>
                    <w:rPr>
                      <w:rFonts w:ascii="Times New Roman" w:hAnsi="Times New Roman"/>
                      <w:color w:val="auto"/>
                      <w:kern w:val="0"/>
                      <w:szCs w:val="21"/>
                    </w:rPr>
                    <w:t xml:space="preserve">100.00 </w:t>
                  </w:r>
                </w:p>
              </w:tc>
              <w:tc>
                <w:tcPr>
                  <w:tcW w:w="535" w:type="pct"/>
                  <w:tcBorders>
                    <w:tl2br w:val="nil"/>
                    <w:tr2bl w:val="nil"/>
                  </w:tcBorders>
                  <w:shd w:val="clear" w:color="auto" w:fill="auto"/>
                  <w:vAlign w:val="center"/>
                </w:tcPr>
                <w:p w14:paraId="45D8CAAF">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0.38</w:t>
                  </w:r>
                </w:p>
              </w:tc>
              <w:tc>
                <w:tcPr>
                  <w:tcW w:w="710" w:type="pct"/>
                  <w:tcBorders>
                    <w:tl2br w:val="nil"/>
                    <w:tr2bl w:val="nil"/>
                  </w:tcBorders>
                  <w:shd w:val="clear" w:color="auto" w:fill="auto"/>
                  <w:vAlign w:val="center"/>
                </w:tcPr>
                <w:p w14:paraId="28E47E55">
                  <w:pPr>
                    <w:widowControl/>
                    <w:jc w:val="center"/>
                    <w:textAlignment w:val="center"/>
                    <w:rPr>
                      <w:rFonts w:ascii="Times New Roman" w:hAnsi="Times New Roman"/>
                      <w:color w:val="auto"/>
                      <w:kern w:val="0"/>
                      <w:szCs w:val="21"/>
                    </w:rPr>
                  </w:pPr>
                  <w:r>
                    <w:rPr>
                      <w:rFonts w:ascii="Times New Roman" w:hAnsi="Times New Roman"/>
                      <w:color w:val="auto"/>
                      <w:kern w:val="0"/>
                      <w:szCs w:val="21"/>
                      <w:lang w:bidi="ar"/>
                    </w:rPr>
                    <w:t>/</w:t>
                  </w:r>
                </w:p>
              </w:tc>
              <w:tc>
                <w:tcPr>
                  <w:tcW w:w="702" w:type="pct"/>
                  <w:tcBorders>
                    <w:top w:val="nil"/>
                    <w:left w:val="nil"/>
                    <w:bottom w:val="single" w:color="auto" w:sz="12" w:space="0"/>
                    <w:right w:val="single" w:color="auto" w:sz="8" w:space="0"/>
                  </w:tcBorders>
                  <w:shd w:val="clear" w:color="auto" w:fill="auto"/>
                  <w:vAlign w:val="center"/>
                </w:tcPr>
                <w:p w14:paraId="60CF45CA">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1323.172</w:t>
                  </w:r>
                </w:p>
              </w:tc>
              <w:tc>
                <w:tcPr>
                  <w:tcW w:w="563" w:type="pct"/>
                  <w:tcBorders>
                    <w:top w:val="nil"/>
                    <w:left w:val="nil"/>
                    <w:bottom w:val="single" w:color="auto" w:sz="12" w:space="0"/>
                    <w:right w:val="nil"/>
                  </w:tcBorders>
                  <w:shd w:val="clear" w:color="auto" w:fill="auto"/>
                  <w:vAlign w:val="center"/>
                </w:tcPr>
                <w:p w14:paraId="0AB53818">
                  <w:pPr>
                    <w:widowControl/>
                    <w:jc w:val="center"/>
                    <w:textAlignment w:val="center"/>
                    <w:rPr>
                      <w:rFonts w:ascii="Times New Roman" w:hAnsi="Times New Roman"/>
                      <w:color w:val="auto"/>
                      <w:kern w:val="0"/>
                      <w:szCs w:val="21"/>
                    </w:rPr>
                  </w:pPr>
                  <w:r>
                    <w:rPr>
                      <w:rFonts w:ascii="Times New Roman" w:hAnsi="Times New Roman" w:eastAsia="等线"/>
                      <w:color w:val="auto"/>
                      <w:szCs w:val="21"/>
                    </w:rPr>
                    <w:t>100</w:t>
                  </w:r>
                </w:p>
              </w:tc>
            </w:tr>
          </w:tbl>
          <w:p w14:paraId="5519ED25">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根据上表分析，与建设前相比植被覆盖度下降幅度很小，工程建设对植被覆盖度影响很小。</w:t>
            </w:r>
          </w:p>
          <w:p w14:paraId="5EAB9A01">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hint="eastAsia" w:ascii="Times New Roman" w:hAnsi="Times New Roman" w:cs="Times New Roman"/>
                <w:bCs/>
                <w:color w:val="auto"/>
                <w:sz w:val="24"/>
                <w:szCs w:val="24"/>
              </w:rPr>
              <w:t>4）</w:t>
            </w:r>
            <w:r>
              <w:rPr>
                <w:rFonts w:ascii="Times New Roman" w:hAnsi="Times New Roman" w:cs="Times New Roman"/>
                <w:bCs/>
                <w:color w:val="auto"/>
                <w:sz w:val="24"/>
                <w:szCs w:val="24"/>
              </w:rPr>
              <w:t>项目对当地生态系统的影响</w:t>
            </w:r>
          </w:p>
          <w:p w14:paraId="783FF1F9">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根据现场踏勘，项目所在地为针叶林生态系统、耕地生态系统占据主导。项目占地面积较小，对生态系统面积的影响较小。但项目为输电线路，将不可避免</w:t>
            </w:r>
            <w:r>
              <w:rPr>
                <w:rFonts w:hint="eastAsia" w:ascii="Times New Roman" w:hAnsi="Times New Roman" w:cs="Times New Roman"/>
                <w:bCs/>
                <w:color w:val="auto"/>
                <w:sz w:val="24"/>
                <w:szCs w:val="24"/>
              </w:rPr>
              <w:t>地</w:t>
            </w:r>
            <w:r>
              <w:rPr>
                <w:rFonts w:ascii="Times New Roman" w:hAnsi="Times New Roman" w:cs="Times New Roman"/>
                <w:bCs/>
                <w:color w:val="auto"/>
                <w:sz w:val="24"/>
                <w:szCs w:val="24"/>
              </w:rPr>
              <w:t>对穿越区域的生态系统进行分割，分割后对生态系统的稳定性、连通性将产生不利影响。</w:t>
            </w:r>
          </w:p>
          <w:p w14:paraId="4832E6F3">
            <w:pPr>
              <w:adjustRightInd w:val="0"/>
              <w:snapToGrid w:val="0"/>
              <w:spacing w:line="440" w:lineRule="exact"/>
              <w:ind w:firstLine="482" w:firstLineChars="200"/>
              <w:rPr>
                <w:rFonts w:ascii="Times New Roman" w:hAnsi="Times New Roman"/>
                <w:b/>
                <w:color w:val="auto"/>
                <w:sz w:val="24"/>
                <w:szCs w:val="24"/>
                <w:lang w:val="zh-CN"/>
              </w:rPr>
            </w:pPr>
            <w:r>
              <w:rPr>
                <w:rFonts w:hint="eastAsia" w:ascii="Times New Roman" w:hAnsi="Times New Roman"/>
                <w:b/>
                <w:color w:val="auto"/>
                <w:sz w:val="24"/>
                <w:szCs w:val="24"/>
                <w:lang w:val="zh-CN"/>
              </w:rPr>
              <w:t>（</w:t>
            </w:r>
            <w:r>
              <w:rPr>
                <w:rFonts w:hint="eastAsia" w:ascii="Times New Roman" w:hAnsi="Times New Roman"/>
                <w:b/>
                <w:color w:val="auto"/>
                <w:sz w:val="24"/>
                <w:szCs w:val="24"/>
              </w:rPr>
              <w:t>6</w:t>
            </w:r>
            <w:r>
              <w:rPr>
                <w:rFonts w:hint="eastAsia" w:ascii="Times New Roman" w:hAnsi="Times New Roman"/>
                <w:b/>
                <w:color w:val="auto"/>
                <w:sz w:val="24"/>
                <w:szCs w:val="24"/>
                <w:lang w:val="zh-CN"/>
              </w:rPr>
              <w:t>）</w:t>
            </w:r>
            <w:r>
              <w:rPr>
                <w:rFonts w:ascii="Times New Roman" w:hAnsi="Times New Roman"/>
                <w:b/>
                <w:color w:val="auto"/>
                <w:sz w:val="24"/>
                <w:szCs w:val="24"/>
                <w:lang w:val="zh-CN"/>
              </w:rPr>
              <w:t>项目对农业生态的影响分析</w:t>
            </w:r>
          </w:p>
          <w:p w14:paraId="63D2DE1A">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项目建设对农业生态最主要的影响主要表现在塔基占地及牵引场等临时占地对农业生态的破坏。塔基多半建立在山顶高海拔区域。</w:t>
            </w:r>
          </w:p>
          <w:p w14:paraId="2B9F85E1">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经现场调查，周边主要分布耕地</w:t>
            </w:r>
            <w:r>
              <w:rPr>
                <w:rFonts w:hint="eastAsia" w:ascii="Times New Roman" w:hAnsi="Times New Roman" w:cs="Times New Roman"/>
                <w:bCs/>
                <w:color w:val="auto"/>
                <w:sz w:val="24"/>
                <w:szCs w:val="24"/>
              </w:rPr>
              <w:t>、林地</w:t>
            </w:r>
            <w:r>
              <w:rPr>
                <w:rFonts w:ascii="Times New Roman" w:hAnsi="Times New Roman" w:cs="Times New Roman"/>
                <w:bCs/>
                <w:color w:val="auto"/>
                <w:sz w:val="24"/>
                <w:szCs w:val="24"/>
              </w:rPr>
              <w:t>等，已按照土地管理部门要求办理相关手续，做好土地补偿和保护工作。线路不可避让占用基本农田0.238hm</w:t>
            </w:r>
            <w:r>
              <w:rPr>
                <w:rFonts w:ascii="Times New Roman" w:hAnsi="Times New Roman" w:cs="Times New Roman"/>
                <w:bCs/>
                <w:color w:val="auto"/>
                <w:sz w:val="24"/>
                <w:szCs w:val="24"/>
                <w:vertAlign w:val="superscript"/>
              </w:rPr>
              <w:t>2</w:t>
            </w:r>
            <w:r>
              <w:rPr>
                <w:rFonts w:ascii="Times New Roman" w:hAnsi="Times New Roman" w:cs="Times New Roman"/>
                <w:bCs/>
                <w:color w:val="auto"/>
                <w:sz w:val="24"/>
                <w:szCs w:val="24"/>
              </w:rPr>
              <w:t>，于2026年8月20日取得会泽县自然资源局关于六合一至乐业变220kV送出线路工程占用永久基本农田不可避让的情况说明，符合《永久基本农田保护红线管理办法》的要求</w:t>
            </w:r>
            <w:r>
              <w:rPr>
                <w:rFonts w:hint="eastAsia" w:ascii="Times New Roman" w:hAnsi="Times New Roman" w:cs="Times New Roman"/>
                <w:bCs/>
                <w:color w:val="auto"/>
                <w:sz w:val="24"/>
                <w:szCs w:val="24"/>
              </w:rPr>
              <w:t>。</w:t>
            </w:r>
          </w:p>
          <w:p w14:paraId="21DFDAF0">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另外，施工期间设置牵张场</w:t>
            </w:r>
            <w:r>
              <w:rPr>
                <w:rFonts w:hint="eastAsia" w:ascii="Times New Roman" w:hAnsi="Times New Roman" w:cs="Times New Roman"/>
                <w:bCs/>
                <w:color w:val="auto"/>
                <w:sz w:val="24"/>
                <w:szCs w:val="24"/>
              </w:rPr>
              <w:t>4</w:t>
            </w:r>
            <w:r>
              <w:rPr>
                <w:rFonts w:ascii="Times New Roman" w:hAnsi="Times New Roman" w:cs="Times New Roman"/>
                <w:bCs/>
                <w:color w:val="auto"/>
                <w:sz w:val="24"/>
                <w:szCs w:val="24"/>
              </w:rPr>
              <w:t>处，分别设置于塔基N1、N12、N30、N50处，每处牵张场占地约</w:t>
            </w:r>
            <w:r>
              <w:rPr>
                <w:rFonts w:hint="eastAsia" w:ascii="Times New Roman" w:hAnsi="Times New Roman" w:cs="Times New Roman"/>
                <w:bCs/>
                <w:color w:val="auto"/>
                <w:sz w:val="24"/>
                <w:szCs w:val="24"/>
              </w:rPr>
              <w:t>225</w:t>
            </w:r>
            <w:r>
              <w:rPr>
                <w:rFonts w:ascii="Times New Roman" w:hAnsi="Times New Roman" w:cs="Times New Roman"/>
                <w:bCs/>
                <w:color w:val="auto"/>
                <w:sz w:val="24"/>
                <w:szCs w:val="24"/>
              </w:rPr>
              <w:t>m</w:t>
            </w:r>
            <w:r>
              <w:rPr>
                <w:rFonts w:ascii="Times New Roman" w:hAnsi="Times New Roman" w:cs="Times New Roman"/>
                <w:bCs/>
                <w:color w:val="auto"/>
                <w:sz w:val="24"/>
                <w:szCs w:val="24"/>
                <w:vertAlign w:val="superscript"/>
              </w:rPr>
              <w:t>2</w:t>
            </w:r>
            <w:r>
              <w:rPr>
                <w:rFonts w:ascii="Times New Roman" w:hAnsi="Times New Roman" w:cs="Times New Roman"/>
                <w:bCs/>
                <w:color w:val="auto"/>
                <w:sz w:val="24"/>
                <w:szCs w:val="24"/>
              </w:rPr>
              <w:t>，总占地面积为0.0</w:t>
            </w:r>
            <w:r>
              <w:rPr>
                <w:rFonts w:hint="eastAsia" w:ascii="Times New Roman" w:hAnsi="Times New Roman" w:cs="Times New Roman"/>
                <w:bCs/>
                <w:color w:val="auto"/>
                <w:sz w:val="24"/>
                <w:szCs w:val="24"/>
              </w:rPr>
              <w:t>9</w:t>
            </w:r>
            <w:r>
              <w:rPr>
                <w:rFonts w:ascii="Times New Roman" w:hAnsi="Times New Roman" w:cs="Times New Roman"/>
                <w:bCs/>
                <w:color w:val="auto"/>
                <w:sz w:val="24"/>
                <w:szCs w:val="24"/>
              </w:rPr>
              <w:t>hm</w:t>
            </w:r>
            <w:r>
              <w:rPr>
                <w:rFonts w:ascii="Times New Roman" w:hAnsi="Times New Roman" w:cs="Times New Roman"/>
                <w:bCs/>
                <w:color w:val="auto"/>
                <w:sz w:val="24"/>
                <w:szCs w:val="24"/>
                <w:vertAlign w:val="superscript"/>
              </w:rPr>
              <w:t>2</w:t>
            </w:r>
            <w:r>
              <w:rPr>
                <w:rFonts w:ascii="Times New Roman" w:hAnsi="Times New Roman" w:cs="Times New Roman"/>
                <w:bCs/>
                <w:color w:val="auto"/>
                <w:sz w:val="24"/>
                <w:szCs w:val="24"/>
              </w:rPr>
              <w:t>。项目不涉及占用永久基本农田，施工便道不涉及占用农田及耕地，按照土地管理部门要求办理相关手续，完成临时用地的复垦恢复工作，总体来说输变电的建设对农业生态影响较小。</w:t>
            </w:r>
          </w:p>
          <w:p w14:paraId="23DEE6A1">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（7）</w:t>
            </w:r>
            <w:r>
              <w:rPr>
                <w:rFonts w:ascii="Times New Roman" w:hAnsi="Times New Roman"/>
                <w:b/>
                <w:color w:val="auto"/>
                <w:sz w:val="24"/>
                <w:szCs w:val="24"/>
              </w:rPr>
              <w:t>景观生态结构、质量和稳定性变化影响预测</w:t>
            </w:r>
          </w:p>
          <w:p w14:paraId="3942863B">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hint="eastAsia" w:ascii="Times New Roman" w:hAnsi="Times New Roman" w:cs="Times New Roman"/>
                <w:bCs/>
                <w:color w:val="auto"/>
                <w:sz w:val="24"/>
                <w:szCs w:val="24"/>
              </w:rPr>
              <w:t>1</w:t>
            </w:r>
            <w:r>
              <w:rPr>
                <w:rFonts w:ascii="Times New Roman" w:hAnsi="Times New Roman" w:cs="Times New Roman"/>
                <w:bCs/>
                <w:color w:val="auto"/>
                <w:sz w:val="24"/>
                <w:szCs w:val="24"/>
              </w:rPr>
              <w:t>）对评价区斑块类型面积的影响</w:t>
            </w:r>
          </w:p>
          <w:p w14:paraId="482453CF">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项目涉及占用景观类型为暖温性针叶林景观、暖温性稀树灌木草丛景观</w:t>
            </w:r>
            <w:r>
              <w:rPr>
                <w:rFonts w:hint="eastAsia" w:ascii="Times New Roman" w:hAnsi="Times New Roman" w:cs="Times New Roman"/>
                <w:bCs/>
                <w:color w:val="auto"/>
                <w:sz w:val="24"/>
                <w:szCs w:val="24"/>
              </w:rPr>
              <w:t>、</w:t>
            </w:r>
            <w:r>
              <w:rPr>
                <w:rFonts w:ascii="Times New Roman" w:hAnsi="Times New Roman" w:cs="Times New Roman"/>
                <w:bCs/>
                <w:color w:val="auto"/>
                <w:sz w:val="24"/>
                <w:szCs w:val="24"/>
              </w:rPr>
              <w:t>耕地景观，这些景观并不属于特有景观和特有生态系统类型。</w:t>
            </w:r>
          </w:p>
          <w:p w14:paraId="34B005E4">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项目建成后评价区总面积为</w:t>
            </w:r>
            <w:r>
              <w:rPr>
                <w:rFonts w:hint="eastAsia" w:ascii="Times New Roman" w:hAnsi="Times New Roman" w:cs="Times New Roman"/>
                <w:bCs/>
                <w:color w:val="auto"/>
                <w:sz w:val="24"/>
                <w:szCs w:val="24"/>
              </w:rPr>
              <w:t>132</w:t>
            </w:r>
            <w:r>
              <w:rPr>
                <w:rFonts w:hint="eastAsia" w:ascii="Times New Roman" w:hAnsi="Times New Roman" w:cs="Times New Roman"/>
                <w:bCs/>
                <w:color w:val="auto"/>
                <w:sz w:val="24"/>
                <w:szCs w:val="24"/>
                <w:lang w:val="en-US" w:eastAsia="zh-CN"/>
              </w:rPr>
              <w:t>3.172</w:t>
            </w:r>
            <w:r>
              <w:rPr>
                <w:rFonts w:ascii="Times New Roman" w:hAnsi="Times New Roman" w:cs="Times New Roman"/>
                <w:bCs/>
                <w:color w:val="auto"/>
                <w:sz w:val="24"/>
                <w:szCs w:val="24"/>
              </w:rPr>
              <w:t>hm</w:t>
            </w:r>
            <w:r>
              <w:rPr>
                <w:rFonts w:ascii="Times New Roman" w:hAnsi="Times New Roman" w:cs="Times New Roman"/>
                <w:bCs/>
                <w:color w:val="auto"/>
                <w:sz w:val="24"/>
                <w:szCs w:val="24"/>
                <w:vertAlign w:val="superscript"/>
              </w:rPr>
              <w:t>2</w:t>
            </w:r>
            <w:r>
              <w:rPr>
                <w:rFonts w:ascii="Times New Roman" w:hAnsi="Times New Roman" w:cs="Times New Roman"/>
                <w:bCs/>
                <w:color w:val="auto"/>
                <w:sz w:val="24"/>
                <w:szCs w:val="24"/>
              </w:rPr>
              <w:t>，仍然以暖温性针叶林景观所占比重为最大，面积为</w:t>
            </w:r>
            <w:r>
              <w:rPr>
                <w:rFonts w:hint="eastAsia" w:ascii="Times New Roman" w:hAnsi="Times New Roman" w:cs="Times New Roman"/>
                <w:bCs/>
                <w:color w:val="auto"/>
                <w:sz w:val="24"/>
                <w:szCs w:val="24"/>
              </w:rPr>
              <w:t>482.634</w:t>
            </w:r>
            <w:r>
              <w:rPr>
                <w:rFonts w:ascii="Times New Roman" w:hAnsi="Times New Roman" w:cs="Times New Roman"/>
                <w:bCs/>
                <w:color w:val="auto"/>
                <w:sz w:val="24"/>
                <w:szCs w:val="24"/>
              </w:rPr>
              <w:t>hm</w:t>
            </w:r>
            <w:r>
              <w:rPr>
                <w:rFonts w:ascii="Times New Roman" w:hAnsi="Times New Roman" w:cs="Times New Roman"/>
                <w:bCs/>
                <w:color w:val="auto"/>
                <w:sz w:val="24"/>
                <w:szCs w:val="24"/>
                <w:vertAlign w:val="superscript"/>
              </w:rPr>
              <w:t>2</w:t>
            </w:r>
            <w:r>
              <w:rPr>
                <w:rFonts w:ascii="Times New Roman" w:hAnsi="Times New Roman" w:cs="Times New Roman"/>
                <w:bCs/>
                <w:color w:val="auto"/>
                <w:sz w:val="24"/>
                <w:szCs w:val="24"/>
              </w:rPr>
              <w:t>，占评价区总面积的</w:t>
            </w:r>
            <w:r>
              <w:rPr>
                <w:rFonts w:hint="eastAsia" w:ascii="Times New Roman" w:hAnsi="Times New Roman" w:cs="Times New Roman"/>
                <w:bCs/>
                <w:color w:val="auto"/>
                <w:sz w:val="24"/>
                <w:szCs w:val="24"/>
              </w:rPr>
              <w:t>36.50</w:t>
            </w:r>
            <w:r>
              <w:rPr>
                <w:rFonts w:ascii="Times New Roman" w:hAnsi="Times New Roman" w:cs="Times New Roman"/>
                <w:bCs/>
                <w:color w:val="auto"/>
                <w:sz w:val="24"/>
                <w:szCs w:val="24"/>
              </w:rPr>
              <w:t>%；其次为</w:t>
            </w:r>
            <w:r>
              <w:rPr>
                <w:rFonts w:hint="eastAsia" w:ascii="Times New Roman" w:hAnsi="Times New Roman" w:cs="Times New Roman"/>
                <w:bCs/>
                <w:color w:val="auto"/>
                <w:sz w:val="24"/>
                <w:szCs w:val="24"/>
              </w:rPr>
              <w:t>耕地</w:t>
            </w:r>
            <w:r>
              <w:rPr>
                <w:rFonts w:ascii="Times New Roman" w:hAnsi="Times New Roman" w:cs="Times New Roman"/>
                <w:bCs/>
                <w:color w:val="auto"/>
                <w:sz w:val="24"/>
                <w:szCs w:val="24"/>
              </w:rPr>
              <w:t>景观。</w:t>
            </w:r>
          </w:p>
          <w:p w14:paraId="5FDEBF90">
            <w:pPr>
              <w:pStyle w:val="51"/>
              <w:adjustRightInd w:val="0"/>
              <w:snapToGrid w:val="0"/>
              <w:spacing w:line="440" w:lineRule="exact"/>
              <w:ind w:firstLine="480" w:firstLineChars="200"/>
              <w:jc w:val="both"/>
              <w:rPr>
                <w:rFonts w:ascii="Times New Roman" w:hAnsi="Times New Roman" w:cs="Times New Roman"/>
                <w:color w:val="auto"/>
                <w:szCs w:val="24"/>
              </w:rPr>
            </w:pPr>
            <w:r>
              <w:rPr>
                <w:rFonts w:ascii="Times New Roman" w:hAnsi="Times New Roman" w:cs="Times New Roman"/>
                <w:bCs/>
                <w:color w:val="auto"/>
                <w:sz w:val="24"/>
                <w:szCs w:val="24"/>
              </w:rPr>
              <w:t>项目建成后，暖温性针叶林景观与耕地景观成为景观的地域背景，与建设前维持不变</w:t>
            </w:r>
            <w:r>
              <w:rPr>
                <w:rFonts w:ascii="Times New Roman" w:hAnsi="Times New Roman" w:cs="Times New Roman"/>
                <w:color w:val="auto"/>
                <w:szCs w:val="24"/>
              </w:rPr>
              <w:t>。</w:t>
            </w:r>
          </w:p>
          <w:p w14:paraId="7F67D8F1">
            <w:pPr>
              <w:jc w:val="center"/>
              <w:rPr>
                <w:rFonts w:ascii="Times New Roman" w:hAnsi="Times New Roman"/>
                <w:b/>
                <w:bCs/>
                <w:color w:val="auto"/>
                <w:sz w:val="24"/>
                <w:szCs w:val="36"/>
              </w:rPr>
            </w:pPr>
            <w:r>
              <w:rPr>
                <w:rFonts w:ascii="Times New Roman" w:hAnsi="Times New Roman"/>
                <w:b/>
                <w:bCs/>
                <w:color w:val="auto"/>
                <w:sz w:val="24"/>
                <w:szCs w:val="36"/>
              </w:rPr>
              <w:t>表</w:t>
            </w:r>
            <w:r>
              <w:rPr>
                <w:rFonts w:hint="eastAsia" w:ascii="Times New Roman" w:hAnsi="Times New Roman"/>
                <w:b/>
                <w:bCs/>
                <w:color w:val="auto"/>
                <w:sz w:val="24"/>
                <w:szCs w:val="36"/>
              </w:rPr>
              <w:t>4-6</w:t>
            </w:r>
            <w:r>
              <w:rPr>
                <w:rFonts w:ascii="Times New Roman" w:hAnsi="Times New Roman"/>
                <w:b/>
                <w:bCs/>
                <w:color w:val="auto"/>
                <w:sz w:val="24"/>
                <w:szCs w:val="36"/>
              </w:rPr>
              <w:t xml:space="preserve">  评价区建成后斑块类型面积（CA）</w:t>
            </w:r>
          </w:p>
          <w:tbl>
            <w:tblPr>
              <w:tblStyle w:val="27"/>
              <w:tblW w:w="8427"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707"/>
              <w:gridCol w:w="878"/>
              <w:gridCol w:w="1487"/>
              <w:gridCol w:w="1318"/>
              <w:gridCol w:w="2037"/>
            </w:tblGrid>
            <w:tr w14:paraId="41DBC3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noWrap/>
                  <w:vAlign w:val="center"/>
                </w:tcPr>
                <w:p w14:paraId="4DFA8964">
                  <w:pPr>
                    <w:pStyle w:val="55"/>
                    <w:spacing w:line="240" w:lineRule="auto"/>
                    <w:rPr>
                      <w:rFonts w:ascii="Times New Roman" w:hAnsi="Times New Roman"/>
                      <w:b/>
                      <w:bCs/>
                      <w:color w:val="auto"/>
                      <w:szCs w:val="21"/>
                    </w:rPr>
                  </w:pPr>
                  <w:r>
                    <w:rPr>
                      <w:rFonts w:hint="eastAsia" w:ascii="Times New Roman" w:hAnsi="Times New Roman"/>
                      <w:b/>
                      <w:bCs/>
                      <w:color w:val="auto"/>
                      <w:szCs w:val="21"/>
                    </w:rPr>
                    <w:t>景观类型</w:t>
                  </w:r>
                </w:p>
              </w:tc>
              <w:tc>
                <w:tcPr>
                  <w:tcW w:w="878" w:type="dxa"/>
                  <w:tcBorders>
                    <w:tl2br w:val="nil"/>
                    <w:tr2bl w:val="nil"/>
                  </w:tcBorders>
                  <w:shd w:val="clear" w:color="auto" w:fill="auto"/>
                  <w:noWrap/>
                  <w:vAlign w:val="center"/>
                </w:tcPr>
                <w:p w14:paraId="1F759447">
                  <w:pPr>
                    <w:pStyle w:val="55"/>
                    <w:spacing w:line="240" w:lineRule="auto"/>
                    <w:rPr>
                      <w:rFonts w:ascii="Times New Roman" w:hAnsi="Times New Roman"/>
                      <w:b/>
                      <w:bCs/>
                      <w:color w:val="auto"/>
                      <w:szCs w:val="21"/>
                    </w:rPr>
                  </w:pPr>
                  <w:r>
                    <w:rPr>
                      <w:rFonts w:hint="eastAsia" w:ascii="Times New Roman" w:hAnsi="Times New Roman"/>
                      <w:b/>
                      <w:bCs/>
                      <w:color w:val="auto"/>
                      <w:szCs w:val="21"/>
                    </w:rPr>
                    <w:t>缀块数</w:t>
                  </w:r>
                </w:p>
              </w:tc>
              <w:tc>
                <w:tcPr>
                  <w:tcW w:w="1487" w:type="dxa"/>
                  <w:tcBorders>
                    <w:tl2br w:val="nil"/>
                    <w:tr2bl w:val="nil"/>
                  </w:tcBorders>
                  <w:shd w:val="clear" w:color="auto" w:fill="auto"/>
                  <w:noWrap/>
                  <w:vAlign w:val="center"/>
                </w:tcPr>
                <w:p w14:paraId="7CC61E30">
                  <w:pPr>
                    <w:pStyle w:val="55"/>
                    <w:spacing w:line="240" w:lineRule="auto"/>
                    <w:rPr>
                      <w:rFonts w:ascii="Times New Roman" w:hAnsi="Times New Roman"/>
                      <w:b/>
                      <w:bCs/>
                      <w:color w:val="auto"/>
                      <w:szCs w:val="21"/>
                    </w:rPr>
                  </w:pPr>
                  <w:r>
                    <w:rPr>
                      <w:rFonts w:hint="eastAsia" w:ascii="Times New Roman" w:hAnsi="Times New Roman"/>
                      <w:b/>
                      <w:bCs/>
                      <w:color w:val="auto"/>
                      <w:szCs w:val="21"/>
                    </w:rPr>
                    <w:t>缀块</w:t>
                  </w:r>
                  <w:r>
                    <w:rPr>
                      <w:rFonts w:ascii="Times New Roman" w:hAnsi="Times New Roman"/>
                      <w:b/>
                      <w:bCs/>
                      <w:color w:val="auto"/>
                      <w:szCs w:val="21"/>
                    </w:rPr>
                    <w:t>(%)</w:t>
                  </w:r>
                </w:p>
              </w:tc>
              <w:tc>
                <w:tcPr>
                  <w:tcW w:w="1318" w:type="dxa"/>
                  <w:tcBorders>
                    <w:tl2br w:val="nil"/>
                    <w:tr2bl w:val="nil"/>
                  </w:tcBorders>
                  <w:shd w:val="clear" w:color="auto" w:fill="auto"/>
                  <w:vAlign w:val="center"/>
                </w:tcPr>
                <w:p w14:paraId="578112B2">
                  <w:pPr>
                    <w:pStyle w:val="55"/>
                    <w:spacing w:line="240" w:lineRule="auto"/>
                    <w:rPr>
                      <w:rFonts w:ascii="Times New Roman" w:hAnsi="Times New Roman"/>
                      <w:b/>
                      <w:bCs/>
                      <w:color w:val="auto"/>
                      <w:szCs w:val="21"/>
                    </w:rPr>
                  </w:pPr>
                  <w:r>
                    <w:rPr>
                      <w:rFonts w:hint="eastAsia" w:ascii="Times New Roman" w:hAnsi="Times New Roman"/>
                      <w:b/>
                      <w:bCs/>
                      <w:color w:val="auto"/>
                      <w:szCs w:val="21"/>
                    </w:rPr>
                    <w:t>面积（</w:t>
                  </w:r>
                  <w:r>
                    <w:rPr>
                      <w:rFonts w:ascii="Times New Roman" w:hAnsi="Times New Roman"/>
                      <w:b/>
                      <w:bCs/>
                      <w:color w:val="auto"/>
                      <w:szCs w:val="21"/>
                    </w:rPr>
                    <w:t>hm</w:t>
                  </w:r>
                  <w:r>
                    <w:rPr>
                      <w:rFonts w:ascii="Times New Roman" w:hAnsi="Times New Roman"/>
                      <w:b/>
                      <w:bCs/>
                      <w:color w:val="auto"/>
                      <w:szCs w:val="21"/>
                      <w:vertAlign w:val="superscript"/>
                    </w:rPr>
                    <w:t>2</w:t>
                  </w:r>
                  <w:r>
                    <w:rPr>
                      <w:rFonts w:hint="eastAsia" w:ascii="Times New Roman" w:hAnsi="Times New Roman"/>
                      <w:b/>
                      <w:bCs/>
                      <w:color w:val="auto"/>
                      <w:szCs w:val="21"/>
                    </w:rPr>
                    <w:t>）</w:t>
                  </w:r>
                </w:p>
              </w:tc>
              <w:tc>
                <w:tcPr>
                  <w:tcW w:w="2037" w:type="dxa"/>
                  <w:tcBorders>
                    <w:tl2br w:val="nil"/>
                    <w:tr2bl w:val="nil"/>
                  </w:tcBorders>
                  <w:shd w:val="clear" w:color="auto" w:fill="auto"/>
                  <w:noWrap/>
                  <w:vAlign w:val="center"/>
                </w:tcPr>
                <w:p w14:paraId="0DB708DD">
                  <w:pPr>
                    <w:pStyle w:val="55"/>
                    <w:spacing w:line="240" w:lineRule="auto"/>
                    <w:rPr>
                      <w:rFonts w:ascii="Times New Roman" w:hAnsi="Times New Roman"/>
                      <w:b/>
                      <w:bCs/>
                      <w:color w:val="auto"/>
                      <w:szCs w:val="21"/>
                    </w:rPr>
                  </w:pPr>
                  <w:r>
                    <w:rPr>
                      <w:rFonts w:hint="eastAsia" w:ascii="Times New Roman" w:hAnsi="Times New Roman"/>
                      <w:b/>
                      <w:bCs/>
                      <w:color w:val="auto"/>
                      <w:szCs w:val="21"/>
                    </w:rPr>
                    <w:t>面积占评价区总景观面积比例（</w:t>
                  </w:r>
                  <w:r>
                    <w:rPr>
                      <w:rFonts w:ascii="Times New Roman" w:hAnsi="Times New Roman"/>
                      <w:b/>
                      <w:bCs/>
                      <w:color w:val="auto"/>
                      <w:szCs w:val="21"/>
                    </w:rPr>
                    <w:t>%</w:t>
                  </w:r>
                  <w:r>
                    <w:rPr>
                      <w:rFonts w:hint="eastAsia" w:ascii="Times New Roman" w:hAnsi="Times New Roman"/>
                      <w:b/>
                      <w:bCs/>
                      <w:color w:val="auto"/>
                      <w:szCs w:val="21"/>
                    </w:rPr>
                    <w:t>）</w:t>
                  </w:r>
                </w:p>
              </w:tc>
            </w:tr>
            <w:tr w14:paraId="6793DA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noWrap/>
                  <w:vAlign w:val="center"/>
                </w:tcPr>
                <w:p w14:paraId="26F08E50">
                  <w:pPr>
                    <w:pStyle w:val="55"/>
                    <w:spacing w:line="240" w:lineRule="auto"/>
                    <w:rPr>
                      <w:rFonts w:ascii="Times New Roman" w:hAnsi="Times New Roman"/>
                      <w:color w:val="auto"/>
                      <w:szCs w:val="21"/>
                    </w:rPr>
                  </w:pPr>
                  <w:r>
                    <w:rPr>
                      <w:rFonts w:hint="eastAsia" w:ascii="Times New Roman" w:hAnsi="Times New Roman"/>
                      <w:color w:val="auto"/>
                      <w:szCs w:val="21"/>
                    </w:rPr>
                    <w:t>暖温性针叶林景观</w:t>
                  </w:r>
                </w:p>
              </w:tc>
              <w:tc>
                <w:tcPr>
                  <w:tcW w:w="878" w:type="dxa"/>
                  <w:tcBorders>
                    <w:tl2br w:val="nil"/>
                    <w:tr2bl w:val="nil"/>
                  </w:tcBorders>
                  <w:shd w:val="clear" w:color="auto" w:fill="auto"/>
                  <w:noWrap/>
                  <w:vAlign w:val="center"/>
                </w:tcPr>
                <w:p w14:paraId="7590616F">
                  <w:pPr>
                    <w:pStyle w:val="55"/>
                    <w:spacing w:line="240" w:lineRule="auto"/>
                    <w:rPr>
                      <w:rFonts w:ascii="Times New Roman" w:hAnsi="Times New Roman"/>
                      <w:color w:val="auto"/>
                      <w:szCs w:val="21"/>
                    </w:rPr>
                  </w:pPr>
                  <w:r>
                    <w:rPr>
                      <w:rFonts w:ascii="Times New Roman" w:hAnsi="Times New Roman"/>
                      <w:color w:val="auto"/>
                      <w:szCs w:val="21"/>
                    </w:rPr>
                    <w:t>180</w:t>
                  </w:r>
                </w:p>
              </w:tc>
              <w:tc>
                <w:tcPr>
                  <w:tcW w:w="1487" w:type="dxa"/>
                  <w:tcBorders>
                    <w:tl2br w:val="nil"/>
                    <w:tr2bl w:val="nil"/>
                  </w:tcBorders>
                  <w:shd w:val="clear" w:color="auto" w:fill="auto"/>
                  <w:noWrap/>
                  <w:vAlign w:val="center"/>
                </w:tcPr>
                <w:p w14:paraId="3EF6DF61">
                  <w:pPr>
                    <w:pStyle w:val="55"/>
                    <w:spacing w:line="240" w:lineRule="auto"/>
                    <w:rPr>
                      <w:rFonts w:ascii="Times New Roman" w:hAnsi="Times New Roman"/>
                      <w:color w:val="auto"/>
                      <w:szCs w:val="21"/>
                    </w:rPr>
                  </w:pPr>
                  <w:r>
                    <w:rPr>
                      <w:rFonts w:ascii="Times New Roman" w:hAnsi="Times New Roman"/>
                      <w:color w:val="auto"/>
                      <w:szCs w:val="21"/>
                    </w:rPr>
                    <w:t>13.11</w:t>
                  </w:r>
                </w:p>
              </w:tc>
              <w:tc>
                <w:tcPr>
                  <w:tcW w:w="1318" w:type="dxa"/>
                  <w:tcBorders>
                    <w:tl2br w:val="nil"/>
                    <w:tr2bl w:val="nil"/>
                  </w:tcBorders>
                  <w:shd w:val="clear" w:color="auto" w:fill="auto"/>
                  <w:noWrap/>
                  <w:vAlign w:val="center"/>
                </w:tcPr>
                <w:p w14:paraId="1FE4500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482.599 </w:t>
                  </w:r>
                </w:p>
              </w:tc>
              <w:tc>
                <w:tcPr>
                  <w:tcW w:w="2037" w:type="dxa"/>
                  <w:tcBorders>
                    <w:tl2br w:val="nil"/>
                    <w:tr2bl w:val="nil"/>
                  </w:tcBorders>
                  <w:shd w:val="clear" w:color="auto" w:fill="auto"/>
                  <w:noWrap/>
                  <w:vAlign w:val="center"/>
                </w:tcPr>
                <w:p w14:paraId="14DFC4F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36.50 </w:t>
                  </w:r>
                </w:p>
              </w:tc>
            </w:tr>
            <w:tr w14:paraId="2116CE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2E3ABE61">
                  <w:pPr>
                    <w:pStyle w:val="55"/>
                    <w:spacing w:line="240" w:lineRule="auto"/>
                    <w:rPr>
                      <w:rFonts w:ascii="Times New Roman" w:hAnsi="Times New Roman"/>
                      <w:color w:val="auto"/>
                      <w:szCs w:val="21"/>
                    </w:rPr>
                  </w:pPr>
                  <w:r>
                    <w:rPr>
                      <w:rFonts w:hint="eastAsia" w:ascii="Times New Roman" w:hAnsi="Times New Roman"/>
                      <w:color w:val="auto"/>
                      <w:szCs w:val="21"/>
                    </w:rPr>
                    <w:t>暖性石灰岩灌丛景观</w:t>
                  </w:r>
                </w:p>
              </w:tc>
              <w:tc>
                <w:tcPr>
                  <w:tcW w:w="878" w:type="dxa"/>
                  <w:tcBorders>
                    <w:tl2br w:val="nil"/>
                    <w:tr2bl w:val="nil"/>
                  </w:tcBorders>
                  <w:shd w:val="clear" w:color="auto" w:fill="auto"/>
                  <w:noWrap/>
                  <w:vAlign w:val="center"/>
                </w:tcPr>
                <w:p w14:paraId="1EA65A8B">
                  <w:pPr>
                    <w:pStyle w:val="55"/>
                    <w:spacing w:line="240" w:lineRule="auto"/>
                    <w:rPr>
                      <w:rFonts w:ascii="Times New Roman" w:hAnsi="Times New Roman"/>
                      <w:color w:val="auto"/>
                      <w:szCs w:val="21"/>
                    </w:rPr>
                  </w:pPr>
                  <w:r>
                    <w:rPr>
                      <w:rFonts w:ascii="Times New Roman" w:hAnsi="Times New Roman"/>
                      <w:color w:val="auto"/>
                      <w:szCs w:val="21"/>
                    </w:rPr>
                    <w:t>152</w:t>
                  </w:r>
                </w:p>
              </w:tc>
              <w:tc>
                <w:tcPr>
                  <w:tcW w:w="1487" w:type="dxa"/>
                  <w:tcBorders>
                    <w:tl2br w:val="nil"/>
                    <w:tr2bl w:val="nil"/>
                  </w:tcBorders>
                  <w:shd w:val="clear" w:color="auto" w:fill="auto"/>
                  <w:noWrap/>
                  <w:vAlign w:val="center"/>
                </w:tcPr>
                <w:p w14:paraId="6EEC4F06">
                  <w:pPr>
                    <w:pStyle w:val="55"/>
                    <w:spacing w:line="240" w:lineRule="auto"/>
                    <w:rPr>
                      <w:rFonts w:ascii="Times New Roman" w:hAnsi="Times New Roman"/>
                      <w:color w:val="auto"/>
                      <w:szCs w:val="21"/>
                    </w:rPr>
                  </w:pPr>
                  <w:r>
                    <w:rPr>
                      <w:rFonts w:ascii="Times New Roman" w:hAnsi="Times New Roman"/>
                      <w:color w:val="auto"/>
                      <w:szCs w:val="21"/>
                    </w:rPr>
                    <w:t>13.99</w:t>
                  </w:r>
                </w:p>
              </w:tc>
              <w:tc>
                <w:tcPr>
                  <w:tcW w:w="1318" w:type="dxa"/>
                  <w:tcBorders>
                    <w:tl2br w:val="nil"/>
                    <w:tr2bl w:val="nil"/>
                  </w:tcBorders>
                  <w:shd w:val="clear" w:color="auto" w:fill="auto"/>
                  <w:noWrap/>
                  <w:vAlign w:val="center"/>
                </w:tcPr>
                <w:p w14:paraId="7AA092C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210.959 </w:t>
                  </w:r>
                </w:p>
              </w:tc>
              <w:tc>
                <w:tcPr>
                  <w:tcW w:w="2037" w:type="dxa"/>
                  <w:tcBorders>
                    <w:tl2br w:val="nil"/>
                    <w:tr2bl w:val="nil"/>
                  </w:tcBorders>
                  <w:shd w:val="clear" w:color="auto" w:fill="auto"/>
                  <w:noWrap/>
                  <w:vAlign w:val="center"/>
                </w:tcPr>
                <w:p w14:paraId="7D2C21B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15.95 </w:t>
                  </w:r>
                </w:p>
              </w:tc>
            </w:tr>
            <w:tr w14:paraId="2C9499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02F88283">
                  <w:pPr>
                    <w:pStyle w:val="55"/>
                    <w:spacing w:line="240" w:lineRule="auto"/>
                    <w:rPr>
                      <w:rFonts w:ascii="Times New Roman" w:hAnsi="Times New Roman"/>
                      <w:color w:val="auto"/>
                      <w:szCs w:val="21"/>
                    </w:rPr>
                  </w:pPr>
                  <w:r>
                    <w:rPr>
                      <w:rFonts w:hint="eastAsia" w:ascii="Times New Roman" w:hAnsi="Times New Roman"/>
                      <w:color w:val="auto"/>
                      <w:szCs w:val="21"/>
                    </w:rPr>
                    <w:t>暖温性稀树灌木草丛景观</w:t>
                  </w:r>
                </w:p>
              </w:tc>
              <w:tc>
                <w:tcPr>
                  <w:tcW w:w="878" w:type="dxa"/>
                  <w:tcBorders>
                    <w:tl2br w:val="nil"/>
                    <w:tr2bl w:val="nil"/>
                  </w:tcBorders>
                  <w:shd w:val="clear" w:color="auto" w:fill="auto"/>
                  <w:noWrap/>
                  <w:vAlign w:val="center"/>
                </w:tcPr>
                <w:p w14:paraId="12B38734">
                  <w:pPr>
                    <w:pStyle w:val="55"/>
                    <w:spacing w:line="240" w:lineRule="auto"/>
                    <w:rPr>
                      <w:rFonts w:ascii="Times New Roman" w:hAnsi="Times New Roman"/>
                      <w:color w:val="auto"/>
                      <w:szCs w:val="21"/>
                    </w:rPr>
                  </w:pPr>
                  <w:r>
                    <w:rPr>
                      <w:rFonts w:ascii="Times New Roman" w:hAnsi="Times New Roman"/>
                      <w:color w:val="auto"/>
                      <w:szCs w:val="21"/>
                    </w:rPr>
                    <w:t>105</w:t>
                  </w:r>
                </w:p>
              </w:tc>
              <w:tc>
                <w:tcPr>
                  <w:tcW w:w="1487" w:type="dxa"/>
                  <w:tcBorders>
                    <w:tl2br w:val="nil"/>
                    <w:tr2bl w:val="nil"/>
                  </w:tcBorders>
                  <w:shd w:val="clear" w:color="auto" w:fill="auto"/>
                  <w:noWrap/>
                  <w:vAlign w:val="center"/>
                </w:tcPr>
                <w:p w14:paraId="0C567E6F">
                  <w:pPr>
                    <w:pStyle w:val="55"/>
                    <w:spacing w:line="240" w:lineRule="auto"/>
                    <w:rPr>
                      <w:rFonts w:ascii="Times New Roman" w:hAnsi="Times New Roman"/>
                      <w:color w:val="auto"/>
                      <w:szCs w:val="21"/>
                    </w:rPr>
                  </w:pPr>
                  <w:r>
                    <w:rPr>
                      <w:rFonts w:ascii="Times New Roman" w:hAnsi="Times New Roman"/>
                      <w:color w:val="auto"/>
                      <w:szCs w:val="21"/>
                    </w:rPr>
                    <w:t>10.01</w:t>
                  </w:r>
                </w:p>
              </w:tc>
              <w:tc>
                <w:tcPr>
                  <w:tcW w:w="1318" w:type="dxa"/>
                  <w:tcBorders>
                    <w:tl2br w:val="nil"/>
                    <w:tr2bl w:val="nil"/>
                  </w:tcBorders>
                  <w:shd w:val="clear" w:color="auto" w:fill="auto"/>
                  <w:noWrap/>
                  <w:vAlign w:val="center"/>
                </w:tcPr>
                <w:p w14:paraId="6D3D16B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116.127 </w:t>
                  </w:r>
                </w:p>
              </w:tc>
              <w:tc>
                <w:tcPr>
                  <w:tcW w:w="2037" w:type="dxa"/>
                  <w:tcBorders>
                    <w:tl2br w:val="nil"/>
                    <w:tr2bl w:val="nil"/>
                  </w:tcBorders>
                  <w:shd w:val="clear" w:color="auto" w:fill="auto"/>
                  <w:noWrap/>
                  <w:vAlign w:val="center"/>
                </w:tcPr>
                <w:p w14:paraId="5B9CE1F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8.78 </w:t>
                  </w:r>
                </w:p>
              </w:tc>
            </w:tr>
            <w:tr w14:paraId="2BAFAE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5BCE608E">
                  <w:pPr>
                    <w:pStyle w:val="55"/>
                    <w:spacing w:line="240" w:lineRule="auto"/>
                    <w:rPr>
                      <w:rFonts w:ascii="Times New Roman" w:hAnsi="Times New Roman"/>
                      <w:color w:val="auto"/>
                      <w:szCs w:val="21"/>
                    </w:rPr>
                  </w:pPr>
                  <w:r>
                    <w:rPr>
                      <w:rFonts w:hint="eastAsia" w:ascii="Times New Roman" w:hAnsi="Times New Roman"/>
                      <w:color w:val="auto"/>
                      <w:szCs w:val="21"/>
                    </w:rPr>
                    <w:t>人工林景观</w:t>
                  </w:r>
                </w:p>
              </w:tc>
              <w:tc>
                <w:tcPr>
                  <w:tcW w:w="878" w:type="dxa"/>
                  <w:tcBorders>
                    <w:tl2br w:val="nil"/>
                    <w:tr2bl w:val="nil"/>
                  </w:tcBorders>
                  <w:shd w:val="clear" w:color="auto" w:fill="auto"/>
                  <w:noWrap/>
                  <w:vAlign w:val="center"/>
                </w:tcPr>
                <w:p w14:paraId="175B1AC1">
                  <w:pPr>
                    <w:pStyle w:val="55"/>
                    <w:spacing w:line="240" w:lineRule="auto"/>
                    <w:rPr>
                      <w:rFonts w:ascii="Times New Roman" w:hAnsi="Times New Roman"/>
                      <w:color w:val="auto"/>
                      <w:szCs w:val="21"/>
                    </w:rPr>
                  </w:pPr>
                  <w:r>
                    <w:rPr>
                      <w:rFonts w:ascii="Times New Roman" w:hAnsi="Times New Roman"/>
                      <w:color w:val="auto"/>
                      <w:szCs w:val="21"/>
                    </w:rPr>
                    <w:t>8</w:t>
                  </w:r>
                </w:p>
              </w:tc>
              <w:tc>
                <w:tcPr>
                  <w:tcW w:w="1487" w:type="dxa"/>
                  <w:tcBorders>
                    <w:tl2br w:val="nil"/>
                    <w:tr2bl w:val="nil"/>
                  </w:tcBorders>
                  <w:shd w:val="clear" w:color="auto" w:fill="auto"/>
                  <w:noWrap/>
                  <w:vAlign w:val="center"/>
                </w:tcPr>
                <w:p w14:paraId="1D1E188F">
                  <w:pPr>
                    <w:pStyle w:val="55"/>
                    <w:spacing w:line="240" w:lineRule="auto"/>
                    <w:rPr>
                      <w:rFonts w:ascii="Times New Roman" w:hAnsi="Times New Roman"/>
                      <w:color w:val="auto"/>
                      <w:szCs w:val="21"/>
                    </w:rPr>
                  </w:pPr>
                  <w:r>
                    <w:rPr>
                      <w:rFonts w:ascii="Times New Roman" w:hAnsi="Times New Roman"/>
                      <w:color w:val="auto"/>
                      <w:szCs w:val="21"/>
                    </w:rPr>
                    <w:t>0.88</w:t>
                  </w:r>
                </w:p>
              </w:tc>
              <w:tc>
                <w:tcPr>
                  <w:tcW w:w="1318" w:type="dxa"/>
                  <w:tcBorders>
                    <w:tl2br w:val="nil"/>
                    <w:tr2bl w:val="nil"/>
                  </w:tcBorders>
                  <w:shd w:val="clear" w:color="auto" w:fill="auto"/>
                  <w:noWrap/>
                  <w:vAlign w:val="center"/>
                </w:tcPr>
                <w:p w14:paraId="26A0F38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2.138 </w:t>
                  </w:r>
                </w:p>
              </w:tc>
              <w:tc>
                <w:tcPr>
                  <w:tcW w:w="2037" w:type="dxa"/>
                  <w:tcBorders>
                    <w:tl2br w:val="nil"/>
                    <w:tr2bl w:val="nil"/>
                  </w:tcBorders>
                  <w:shd w:val="clear" w:color="auto" w:fill="auto"/>
                  <w:noWrap/>
                  <w:vAlign w:val="center"/>
                </w:tcPr>
                <w:p w14:paraId="07AA4F45">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0.16 </w:t>
                  </w:r>
                </w:p>
              </w:tc>
            </w:tr>
            <w:tr w14:paraId="3561AF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0DC2A94C">
                  <w:pPr>
                    <w:pStyle w:val="55"/>
                    <w:spacing w:line="240" w:lineRule="auto"/>
                    <w:rPr>
                      <w:rFonts w:ascii="Times New Roman" w:hAnsi="Times New Roman"/>
                      <w:color w:val="auto"/>
                      <w:szCs w:val="21"/>
                    </w:rPr>
                  </w:pPr>
                  <w:r>
                    <w:rPr>
                      <w:rFonts w:hint="eastAsia" w:ascii="Times New Roman" w:hAnsi="Times New Roman"/>
                      <w:color w:val="auto"/>
                      <w:szCs w:val="21"/>
                    </w:rPr>
                    <w:t>耕地景观</w:t>
                  </w:r>
                </w:p>
              </w:tc>
              <w:tc>
                <w:tcPr>
                  <w:tcW w:w="878" w:type="dxa"/>
                  <w:tcBorders>
                    <w:tl2br w:val="nil"/>
                    <w:tr2bl w:val="nil"/>
                  </w:tcBorders>
                  <w:shd w:val="clear" w:color="auto" w:fill="auto"/>
                  <w:noWrap/>
                  <w:vAlign w:val="center"/>
                </w:tcPr>
                <w:p w14:paraId="7FE57018">
                  <w:pPr>
                    <w:pStyle w:val="55"/>
                    <w:spacing w:line="240" w:lineRule="auto"/>
                    <w:rPr>
                      <w:rFonts w:ascii="Times New Roman" w:hAnsi="Times New Roman"/>
                      <w:color w:val="auto"/>
                      <w:szCs w:val="21"/>
                    </w:rPr>
                  </w:pPr>
                  <w:r>
                    <w:rPr>
                      <w:rFonts w:ascii="Times New Roman" w:hAnsi="Times New Roman"/>
                      <w:color w:val="auto"/>
                      <w:szCs w:val="21"/>
                    </w:rPr>
                    <w:t>342</w:t>
                  </w:r>
                </w:p>
              </w:tc>
              <w:tc>
                <w:tcPr>
                  <w:tcW w:w="1487" w:type="dxa"/>
                  <w:tcBorders>
                    <w:tl2br w:val="nil"/>
                    <w:tr2bl w:val="nil"/>
                  </w:tcBorders>
                  <w:shd w:val="clear" w:color="auto" w:fill="auto"/>
                  <w:noWrap/>
                  <w:vAlign w:val="center"/>
                </w:tcPr>
                <w:p w14:paraId="200A3E5C">
                  <w:pPr>
                    <w:pStyle w:val="55"/>
                    <w:spacing w:line="240" w:lineRule="auto"/>
                    <w:rPr>
                      <w:rFonts w:ascii="Times New Roman" w:hAnsi="Times New Roman"/>
                      <w:color w:val="auto"/>
                      <w:szCs w:val="21"/>
                    </w:rPr>
                  </w:pPr>
                  <w:r>
                    <w:rPr>
                      <w:rFonts w:ascii="Times New Roman" w:hAnsi="Times New Roman"/>
                      <w:color w:val="auto"/>
                      <w:szCs w:val="21"/>
                    </w:rPr>
                    <w:t>36.23</w:t>
                  </w:r>
                </w:p>
              </w:tc>
              <w:tc>
                <w:tcPr>
                  <w:tcW w:w="1318" w:type="dxa"/>
                  <w:tcBorders>
                    <w:tl2br w:val="nil"/>
                    <w:tr2bl w:val="nil"/>
                  </w:tcBorders>
                  <w:shd w:val="clear" w:color="auto" w:fill="auto"/>
                  <w:noWrap/>
                  <w:vAlign w:val="center"/>
                </w:tcPr>
                <w:p w14:paraId="440709C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469.634 </w:t>
                  </w:r>
                </w:p>
              </w:tc>
              <w:tc>
                <w:tcPr>
                  <w:tcW w:w="2037" w:type="dxa"/>
                  <w:tcBorders>
                    <w:tl2br w:val="nil"/>
                    <w:tr2bl w:val="nil"/>
                  </w:tcBorders>
                  <w:shd w:val="clear" w:color="auto" w:fill="auto"/>
                  <w:noWrap/>
                  <w:vAlign w:val="center"/>
                </w:tcPr>
                <w:p w14:paraId="5D0F7754">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35.52 </w:t>
                  </w:r>
                </w:p>
              </w:tc>
            </w:tr>
            <w:tr w14:paraId="418A8C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7F92CCBE">
                  <w:pPr>
                    <w:pStyle w:val="55"/>
                    <w:spacing w:line="240" w:lineRule="auto"/>
                    <w:rPr>
                      <w:rFonts w:ascii="Times New Roman" w:hAnsi="Times New Roman"/>
                      <w:color w:val="auto"/>
                      <w:szCs w:val="21"/>
                    </w:rPr>
                  </w:pPr>
                  <w:r>
                    <w:rPr>
                      <w:rFonts w:hint="eastAsia" w:ascii="Times New Roman" w:hAnsi="Times New Roman"/>
                      <w:color w:val="auto"/>
                      <w:szCs w:val="21"/>
                    </w:rPr>
                    <w:t>城镇区域景观</w:t>
                  </w:r>
                </w:p>
              </w:tc>
              <w:tc>
                <w:tcPr>
                  <w:tcW w:w="878" w:type="dxa"/>
                  <w:tcBorders>
                    <w:tl2br w:val="nil"/>
                    <w:tr2bl w:val="nil"/>
                  </w:tcBorders>
                  <w:shd w:val="clear" w:color="auto" w:fill="auto"/>
                  <w:noWrap/>
                  <w:vAlign w:val="center"/>
                </w:tcPr>
                <w:p w14:paraId="3DC59C6B">
                  <w:pPr>
                    <w:pStyle w:val="55"/>
                    <w:spacing w:line="240" w:lineRule="auto"/>
                    <w:rPr>
                      <w:rFonts w:ascii="Times New Roman" w:hAnsi="Times New Roman"/>
                      <w:color w:val="auto"/>
                      <w:szCs w:val="21"/>
                    </w:rPr>
                  </w:pPr>
                  <w:r>
                    <w:rPr>
                      <w:rFonts w:ascii="Times New Roman" w:hAnsi="Times New Roman"/>
                      <w:color w:val="auto"/>
                      <w:szCs w:val="21"/>
                    </w:rPr>
                    <w:t>160</w:t>
                  </w:r>
                </w:p>
              </w:tc>
              <w:tc>
                <w:tcPr>
                  <w:tcW w:w="1487" w:type="dxa"/>
                  <w:tcBorders>
                    <w:tl2br w:val="nil"/>
                    <w:tr2bl w:val="nil"/>
                  </w:tcBorders>
                  <w:shd w:val="clear" w:color="auto" w:fill="auto"/>
                  <w:noWrap/>
                  <w:vAlign w:val="center"/>
                </w:tcPr>
                <w:p w14:paraId="610E9766">
                  <w:pPr>
                    <w:pStyle w:val="55"/>
                    <w:spacing w:line="240" w:lineRule="auto"/>
                    <w:rPr>
                      <w:rFonts w:ascii="Times New Roman" w:hAnsi="Times New Roman"/>
                      <w:color w:val="auto"/>
                      <w:szCs w:val="21"/>
                    </w:rPr>
                  </w:pPr>
                  <w:r>
                    <w:rPr>
                      <w:rFonts w:ascii="Times New Roman" w:hAnsi="Times New Roman"/>
                      <w:color w:val="auto"/>
                      <w:szCs w:val="21"/>
                    </w:rPr>
                    <w:t>10.01</w:t>
                  </w:r>
                </w:p>
              </w:tc>
              <w:tc>
                <w:tcPr>
                  <w:tcW w:w="1318" w:type="dxa"/>
                  <w:tcBorders>
                    <w:tl2br w:val="nil"/>
                    <w:tr2bl w:val="nil"/>
                  </w:tcBorders>
                  <w:shd w:val="clear" w:color="auto" w:fill="auto"/>
                  <w:noWrap/>
                  <w:vAlign w:val="center"/>
                </w:tcPr>
                <w:p w14:paraId="07D31ECA">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15.237 </w:t>
                  </w:r>
                </w:p>
              </w:tc>
              <w:tc>
                <w:tcPr>
                  <w:tcW w:w="2037" w:type="dxa"/>
                  <w:tcBorders>
                    <w:tl2br w:val="nil"/>
                    <w:tr2bl w:val="nil"/>
                  </w:tcBorders>
                  <w:shd w:val="clear" w:color="auto" w:fill="auto"/>
                  <w:noWrap/>
                  <w:vAlign w:val="center"/>
                </w:tcPr>
                <w:p w14:paraId="4950F31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1.15 </w:t>
                  </w:r>
                </w:p>
              </w:tc>
            </w:tr>
            <w:tr w14:paraId="1BC2A4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7B43A215">
                  <w:pPr>
                    <w:pStyle w:val="55"/>
                    <w:spacing w:line="240" w:lineRule="auto"/>
                    <w:rPr>
                      <w:rFonts w:ascii="Times New Roman" w:hAnsi="Times New Roman"/>
                      <w:color w:val="auto"/>
                      <w:szCs w:val="21"/>
                    </w:rPr>
                  </w:pPr>
                  <w:r>
                    <w:rPr>
                      <w:rFonts w:hint="eastAsia" w:ascii="Times New Roman" w:hAnsi="Times New Roman"/>
                      <w:color w:val="auto"/>
                      <w:szCs w:val="21"/>
                    </w:rPr>
                    <w:t>工矿企业景观</w:t>
                  </w:r>
                </w:p>
              </w:tc>
              <w:tc>
                <w:tcPr>
                  <w:tcW w:w="878" w:type="dxa"/>
                  <w:tcBorders>
                    <w:tl2br w:val="nil"/>
                    <w:tr2bl w:val="nil"/>
                  </w:tcBorders>
                  <w:shd w:val="clear" w:color="auto" w:fill="auto"/>
                  <w:noWrap/>
                  <w:vAlign w:val="center"/>
                </w:tcPr>
                <w:p w14:paraId="6CAE0CA4">
                  <w:pPr>
                    <w:pStyle w:val="55"/>
                    <w:spacing w:line="240" w:lineRule="auto"/>
                    <w:rPr>
                      <w:rFonts w:ascii="Times New Roman" w:hAnsi="Times New Roman"/>
                      <w:color w:val="auto"/>
                      <w:szCs w:val="21"/>
                    </w:rPr>
                  </w:pPr>
                  <w:r>
                    <w:rPr>
                      <w:rFonts w:ascii="Times New Roman" w:hAnsi="Times New Roman"/>
                      <w:color w:val="auto"/>
                      <w:szCs w:val="21"/>
                    </w:rPr>
                    <w:t>8</w:t>
                  </w:r>
                </w:p>
              </w:tc>
              <w:tc>
                <w:tcPr>
                  <w:tcW w:w="1487" w:type="dxa"/>
                  <w:tcBorders>
                    <w:tl2br w:val="nil"/>
                    <w:tr2bl w:val="nil"/>
                  </w:tcBorders>
                  <w:shd w:val="clear" w:color="auto" w:fill="auto"/>
                  <w:noWrap/>
                  <w:vAlign w:val="center"/>
                </w:tcPr>
                <w:p w14:paraId="6C27EA15">
                  <w:pPr>
                    <w:pStyle w:val="55"/>
                    <w:spacing w:line="240" w:lineRule="auto"/>
                    <w:rPr>
                      <w:rFonts w:ascii="Times New Roman" w:hAnsi="Times New Roman"/>
                      <w:color w:val="auto"/>
                      <w:szCs w:val="21"/>
                    </w:rPr>
                  </w:pPr>
                  <w:r>
                    <w:rPr>
                      <w:rFonts w:ascii="Times New Roman" w:hAnsi="Times New Roman"/>
                      <w:color w:val="auto"/>
                      <w:szCs w:val="21"/>
                    </w:rPr>
                    <w:t>0.29</w:t>
                  </w:r>
                </w:p>
              </w:tc>
              <w:tc>
                <w:tcPr>
                  <w:tcW w:w="1318" w:type="dxa"/>
                  <w:tcBorders>
                    <w:tl2br w:val="nil"/>
                    <w:tr2bl w:val="nil"/>
                  </w:tcBorders>
                  <w:shd w:val="clear" w:color="auto" w:fill="auto"/>
                  <w:noWrap/>
                  <w:vAlign w:val="center"/>
                </w:tcPr>
                <w:p w14:paraId="524C273B">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1.823 </w:t>
                  </w:r>
                </w:p>
              </w:tc>
              <w:tc>
                <w:tcPr>
                  <w:tcW w:w="2037" w:type="dxa"/>
                  <w:tcBorders>
                    <w:tl2br w:val="nil"/>
                    <w:tr2bl w:val="nil"/>
                  </w:tcBorders>
                  <w:shd w:val="clear" w:color="auto" w:fill="auto"/>
                  <w:noWrap/>
                  <w:vAlign w:val="center"/>
                </w:tcPr>
                <w:p w14:paraId="4E89E929">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0.14 </w:t>
                  </w:r>
                </w:p>
              </w:tc>
            </w:tr>
            <w:tr w14:paraId="1DC108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153B5308">
                  <w:pPr>
                    <w:pStyle w:val="55"/>
                    <w:spacing w:line="240" w:lineRule="auto"/>
                    <w:rPr>
                      <w:rFonts w:ascii="Times New Roman" w:hAnsi="Times New Roman"/>
                      <w:color w:val="auto"/>
                      <w:szCs w:val="21"/>
                    </w:rPr>
                  </w:pPr>
                  <w:r>
                    <w:rPr>
                      <w:rFonts w:hint="eastAsia" w:ascii="Times New Roman" w:hAnsi="Times New Roman"/>
                      <w:color w:val="auto"/>
                      <w:szCs w:val="21"/>
                    </w:rPr>
                    <w:t>交通景观</w:t>
                  </w:r>
                </w:p>
              </w:tc>
              <w:tc>
                <w:tcPr>
                  <w:tcW w:w="878" w:type="dxa"/>
                  <w:tcBorders>
                    <w:tl2br w:val="nil"/>
                    <w:tr2bl w:val="nil"/>
                  </w:tcBorders>
                  <w:shd w:val="clear" w:color="auto" w:fill="auto"/>
                  <w:noWrap/>
                  <w:vAlign w:val="center"/>
                </w:tcPr>
                <w:p w14:paraId="1FED1BD8">
                  <w:pPr>
                    <w:pStyle w:val="55"/>
                    <w:spacing w:line="240" w:lineRule="auto"/>
                    <w:rPr>
                      <w:rFonts w:ascii="Times New Roman" w:hAnsi="Times New Roman"/>
                      <w:color w:val="auto"/>
                      <w:szCs w:val="21"/>
                    </w:rPr>
                  </w:pPr>
                  <w:r>
                    <w:rPr>
                      <w:rFonts w:ascii="Times New Roman" w:hAnsi="Times New Roman"/>
                      <w:color w:val="auto"/>
                      <w:szCs w:val="21"/>
                    </w:rPr>
                    <w:t>67</w:t>
                  </w:r>
                </w:p>
              </w:tc>
              <w:tc>
                <w:tcPr>
                  <w:tcW w:w="1487" w:type="dxa"/>
                  <w:tcBorders>
                    <w:tl2br w:val="nil"/>
                    <w:tr2bl w:val="nil"/>
                  </w:tcBorders>
                  <w:shd w:val="clear" w:color="auto" w:fill="auto"/>
                  <w:noWrap/>
                  <w:vAlign w:val="center"/>
                </w:tcPr>
                <w:p w14:paraId="66520150">
                  <w:pPr>
                    <w:pStyle w:val="55"/>
                    <w:spacing w:line="240" w:lineRule="auto"/>
                    <w:rPr>
                      <w:rFonts w:ascii="Times New Roman" w:hAnsi="Times New Roman"/>
                      <w:color w:val="auto"/>
                      <w:szCs w:val="21"/>
                    </w:rPr>
                  </w:pPr>
                  <w:r>
                    <w:rPr>
                      <w:rFonts w:ascii="Times New Roman" w:hAnsi="Times New Roman"/>
                      <w:color w:val="auto"/>
                      <w:szCs w:val="21"/>
                    </w:rPr>
                    <w:t>8.54</w:t>
                  </w:r>
                </w:p>
              </w:tc>
              <w:tc>
                <w:tcPr>
                  <w:tcW w:w="1318" w:type="dxa"/>
                  <w:tcBorders>
                    <w:tl2br w:val="nil"/>
                    <w:tr2bl w:val="nil"/>
                  </w:tcBorders>
                  <w:shd w:val="clear" w:color="auto" w:fill="auto"/>
                  <w:noWrap/>
                  <w:vAlign w:val="center"/>
                </w:tcPr>
                <w:p w14:paraId="73093DB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9.923 </w:t>
                  </w:r>
                </w:p>
              </w:tc>
              <w:tc>
                <w:tcPr>
                  <w:tcW w:w="2037" w:type="dxa"/>
                  <w:tcBorders>
                    <w:tl2br w:val="nil"/>
                    <w:tr2bl w:val="nil"/>
                  </w:tcBorders>
                  <w:shd w:val="clear" w:color="auto" w:fill="auto"/>
                  <w:noWrap/>
                  <w:vAlign w:val="center"/>
                </w:tcPr>
                <w:p w14:paraId="449185A6">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0.75 </w:t>
                  </w:r>
                </w:p>
              </w:tc>
            </w:tr>
            <w:tr w14:paraId="018CA8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115CA18C">
                  <w:pPr>
                    <w:pStyle w:val="55"/>
                    <w:spacing w:line="240" w:lineRule="auto"/>
                    <w:rPr>
                      <w:rFonts w:ascii="Times New Roman" w:hAnsi="Times New Roman"/>
                      <w:color w:val="auto"/>
                      <w:szCs w:val="21"/>
                    </w:rPr>
                  </w:pPr>
                  <w:r>
                    <w:rPr>
                      <w:rFonts w:hint="eastAsia" w:ascii="Times New Roman" w:hAnsi="Times New Roman"/>
                      <w:color w:val="auto"/>
                      <w:szCs w:val="21"/>
                    </w:rPr>
                    <w:t>水域景观</w:t>
                  </w:r>
                </w:p>
              </w:tc>
              <w:tc>
                <w:tcPr>
                  <w:tcW w:w="878" w:type="dxa"/>
                  <w:tcBorders>
                    <w:tl2br w:val="nil"/>
                    <w:tr2bl w:val="nil"/>
                  </w:tcBorders>
                  <w:shd w:val="clear" w:color="auto" w:fill="auto"/>
                  <w:noWrap/>
                  <w:vAlign w:val="center"/>
                </w:tcPr>
                <w:p w14:paraId="29AE3E85">
                  <w:pPr>
                    <w:pStyle w:val="55"/>
                    <w:spacing w:line="240" w:lineRule="auto"/>
                    <w:rPr>
                      <w:rFonts w:ascii="Times New Roman" w:hAnsi="Times New Roman"/>
                      <w:color w:val="auto"/>
                      <w:szCs w:val="21"/>
                    </w:rPr>
                  </w:pPr>
                  <w:r>
                    <w:rPr>
                      <w:rFonts w:ascii="Times New Roman" w:hAnsi="Times New Roman"/>
                      <w:color w:val="auto"/>
                      <w:szCs w:val="21"/>
                    </w:rPr>
                    <w:t>31</w:t>
                  </w:r>
                </w:p>
              </w:tc>
              <w:tc>
                <w:tcPr>
                  <w:tcW w:w="1487" w:type="dxa"/>
                  <w:tcBorders>
                    <w:tl2br w:val="nil"/>
                    <w:tr2bl w:val="nil"/>
                  </w:tcBorders>
                  <w:shd w:val="clear" w:color="auto" w:fill="auto"/>
                  <w:noWrap/>
                  <w:vAlign w:val="center"/>
                </w:tcPr>
                <w:p w14:paraId="1CA132CF">
                  <w:pPr>
                    <w:pStyle w:val="55"/>
                    <w:spacing w:line="240" w:lineRule="auto"/>
                    <w:rPr>
                      <w:rFonts w:ascii="Times New Roman" w:hAnsi="Times New Roman"/>
                      <w:color w:val="auto"/>
                      <w:szCs w:val="21"/>
                    </w:rPr>
                  </w:pPr>
                  <w:r>
                    <w:rPr>
                      <w:rFonts w:ascii="Times New Roman" w:hAnsi="Times New Roman"/>
                      <w:color w:val="auto"/>
                      <w:szCs w:val="21"/>
                    </w:rPr>
                    <w:t>4.42</w:t>
                  </w:r>
                </w:p>
              </w:tc>
              <w:tc>
                <w:tcPr>
                  <w:tcW w:w="1318" w:type="dxa"/>
                  <w:tcBorders>
                    <w:tl2br w:val="nil"/>
                    <w:tr2bl w:val="nil"/>
                  </w:tcBorders>
                  <w:shd w:val="clear" w:color="auto" w:fill="auto"/>
                  <w:noWrap/>
                  <w:vAlign w:val="center"/>
                </w:tcPr>
                <w:p w14:paraId="6F26F568">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6.025 </w:t>
                  </w:r>
                </w:p>
              </w:tc>
              <w:tc>
                <w:tcPr>
                  <w:tcW w:w="2037" w:type="dxa"/>
                  <w:tcBorders>
                    <w:tl2br w:val="nil"/>
                    <w:tr2bl w:val="nil"/>
                  </w:tcBorders>
                  <w:shd w:val="clear" w:color="auto" w:fill="auto"/>
                  <w:noWrap/>
                  <w:vAlign w:val="center"/>
                </w:tcPr>
                <w:p w14:paraId="44A17830">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0.46 </w:t>
                  </w:r>
                </w:p>
              </w:tc>
            </w:tr>
            <w:tr w14:paraId="33BD96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0C2423AD">
                  <w:pPr>
                    <w:pStyle w:val="55"/>
                    <w:spacing w:line="240" w:lineRule="auto"/>
                    <w:rPr>
                      <w:rFonts w:ascii="Times New Roman" w:hAnsi="Times New Roman"/>
                      <w:color w:val="auto"/>
                      <w:szCs w:val="21"/>
                    </w:rPr>
                  </w:pPr>
                  <w:r>
                    <w:rPr>
                      <w:rFonts w:hint="eastAsia" w:ascii="Times New Roman" w:hAnsi="Times New Roman"/>
                      <w:color w:val="auto"/>
                      <w:szCs w:val="21"/>
                    </w:rPr>
                    <w:t>裸地景观</w:t>
                  </w:r>
                </w:p>
              </w:tc>
              <w:tc>
                <w:tcPr>
                  <w:tcW w:w="878" w:type="dxa"/>
                  <w:tcBorders>
                    <w:tl2br w:val="nil"/>
                    <w:tr2bl w:val="nil"/>
                  </w:tcBorders>
                  <w:shd w:val="clear" w:color="auto" w:fill="auto"/>
                  <w:noWrap/>
                  <w:vAlign w:val="center"/>
                </w:tcPr>
                <w:p w14:paraId="61794B2F">
                  <w:pPr>
                    <w:pStyle w:val="55"/>
                    <w:spacing w:line="240" w:lineRule="auto"/>
                    <w:rPr>
                      <w:rFonts w:ascii="Times New Roman" w:hAnsi="Times New Roman"/>
                      <w:color w:val="auto"/>
                      <w:szCs w:val="21"/>
                    </w:rPr>
                  </w:pPr>
                  <w:r>
                    <w:rPr>
                      <w:rFonts w:ascii="Times New Roman" w:hAnsi="Times New Roman"/>
                      <w:color w:val="auto"/>
                      <w:szCs w:val="21"/>
                    </w:rPr>
                    <w:t>17</w:t>
                  </w:r>
                </w:p>
              </w:tc>
              <w:tc>
                <w:tcPr>
                  <w:tcW w:w="1487" w:type="dxa"/>
                  <w:tcBorders>
                    <w:tl2br w:val="nil"/>
                    <w:tr2bl w:val="nil"/>
                  </w:tcBorders>
                  <w:shd w:val="clear" w:color="auto" w:fill="auto"/>
                  <w:noWrap/>
                  <w:vAlign w:val="center"/>
                </w:tcPr>
                <w:p w14:paraId="05463D48">
                  <w:pPr>
                    <w:pStyle w:val="55"/>
                    <w:spacing w:line="240" w:lineRule="auto"/>
                    <w:rPr>
                      <w:rFonts w:ascii="Times New Roman" w:hAnsi="Times New Roman"/>
                      <w:color w:val="auto"/>
                      <w:szCs w:val="21"/>
                    </w:rPr>
                  </w:pPr>
                  <w:r>
                    <w:rPr>
                      <w:rFonts w:ascii="Times New Roman" w:hAnsi="Times New Roman"/>
                      <w:color w:val="auto"/>
                      <w:szCs w:val="21"/>
                    </w:rPr>
                    <w:t>2.5</w:t>
                  </w:r>
                </w:p>
              </w:tc>
              <w:tc>
                <w:tcPr>
                  <w:tcW w:w="1318" w:type="dxa"/>
                  <w:tcBorders>
                    <w:tl2br w:val="nil"/>
                    <w:tr2bl w:val="nil"/>
                  </w:tcBorders>
                  <w:shd w:val="clear" w:color="auto" w:fill="auto"/>
                  <w:noWrap/>
                  <w:vAlign w:val="center"/>
                </w:tcPr>
                <w:p w14:paraId="72A99DDD">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7.787 </w:t>
                  </w:r>
                </w:p>
              </w:tc>
              <w:tc>
                <w:tcPr>
                  <w:tcW w:w="2037" w:type="dxa"/>
                  <w:tcBorders>
                    <w:tl2br w:val="nil"/>
                    <w:tr2bl w:val="nil"/>
                  </w:tcBorders>
                  <w:shd w:val="clear" w:color="auto" w:fill="auto"/>
                  <w:noWrap/>
                  <w:vAlign w:val="center"/>
                </w:tcPr>
                <w:p w14:paraId="701A15A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0.59 </w:t>
                  </w:r>
                </w:p>
              </w:tc>
            </w:tr>
            <w:tr w14:paraId="5CAD3D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707" w:type="dxa"/>
                  <w:tcBorders>
                    <w:tl2br w:val="nil"/>
                    <w:tr2bl w:val="nil"/>
                  </w:tcBorders>
                  <w:shd w:val="clear" w:color="auto" w:fill="auto"/>
                  <w:vAlign w:val="center"/>
                </w:tcPr>
                <w:p w14:paraId="0B5444FD">
                  <w:pPr>
                    <w:pStyle w:val="55"/>
                    <w:spacing w:line="240" w:lineRule="auto"/>
                    <w:rPr>
                      <w:rFonts w:ascii="Times New Roman" w:hAnsi="Times New Roman"/>
                      <w:color w:val="auto"/>
                      <w:szCs w:val="21"/>
                    </w:rPr>
                  </w:pPr>
                  <w:r>
                    <w:rPr>
                      <w:rFonts w:hint="eastAsia" w:ascii="Times New Roman" w:hAnsi="Times New Roman"/>
                      <w:color w:val="auto"/>
                      <w:szCs w:val="21"/>
                    </w:rPr>
                    <w:t>合计</w:t>
                  </w:r>
                </w:p>
              </w:tc>
              <w:tc>
                <w:tcPr>
                  <w:tcW w:w="878" w:type="dxa"/>
                  <w:tcBorders>
                    <w:tl2br w:val="nil"/>
                    <w:tr2bl w:val="nil"/>
                  </w:tcBorders>
                  <w:shd w:val="clear" w:color="auto" w:fill="auto"/>
                  <w:noWrap/>
                  <w:vAlign w:val="center"/>
                </w:tcPr>
                <w:p w14:paraId="3AE7628C">
                  <w:pPr>
                    <w:pStyle w:val="55"/>
                    <w:spacing w:line="240" w:lineRule="auto"/>
                    <w:rPr>
                      <w:rFonts w:ascii="Times New Roman" w:hAnsi="Times New Roman"/>
                      <w:color w:val="auto"/>
                      <w:szCs w:val="21"/>
                    </w:rPr>
                  </w:pPr>
                  <w:r>
                    <w:rPr>
                      <w:rFonts w:ascii="Times New Roman" w:hAnsi="Times New Roman"/>
                      <w:color w:val="auto"/>
                      <w:szCs w:val="21"/>
                    </w:rPr>
                    <w:t>1070</w:t>
                  </w:r>
                </w:p>
              </w:tc>
              <w:tc>
                <w:tcPr>
                  <w:tcW w:w="1487" w:type="dxa"/>
                  <w:tcBorders>
                    <w:tl2br w:val="nil"/>
                    <w:tr2bl w:val="nil"/>
                  </w:tcBorders>
                  <w:shd w:val="clear" w:color="auto" w:fill="auto"/>
                  <w:noWrap/>
                  <w:vAlign w:val="center"/>
                </w:tcPr>
                <w:p w14:paraId="59BC5705">
                  <w:pPr>
                    <w:pStyle w:val="55"/>
                    <w:spacing w:line="240" w:lineRule="auto"/>
                    <w:rPr>
                      <w:rFonts w:ascii="Times New Roman" w:hAnsi="Times New Roman"/>
                      <w:color w:val="auto"/>
                      <w:szCs w:val="21"/>
                    </w:rPr>
                  </w:pPr>
                  <w:r>
                    <w:rPr>
                      <w:rFonts w:ascii="Times New Roman" w:hAnsi="Times New Roman"/>
                      <w:color w:val="auto"/>
                      <w:szCs w:val="21"/>
                    </w:rPr>
                    <w:t>100</w:t>
                  </w:r>
                </w:p>
              </w:tc>
              <w:tc>
                <w:tcPr>
                  <w:tcW w:w="1318" w:type="dxa"/>
                  <w:tcBorders>
                    <w:tl2br w:val="nil"/>
                    <w:tr2bl w:val="nil"/>
                  </w:tcBorders>
                  <w:shd w:val="clear" w:color="auto" w:fill="auto"/>
                  <w:noWrap/>
                  <w:vAlign w:val="center"/>
                </w:tcPr>
                <w:p w14:paraId="29634391">
                  <w:pPr>
                    <w:widowControl/>
                    <w:jc w:val="center"/>
                    <w:textAlignment w:val="center"/>
                    <w:rPr>
                      <w:rFonts w:ascii="Times New Roman" w:hAnsi="Times New Roman"/>
                      <w:color w:val="auto"/>
                      <w:szCs w:val="21"/>
                    </w:rPr>
                  </w:pPr>
                  <w:r>
                    <w:rPr>
                      <w:rFonts w:ascii="Times New Roman" w:hAnsi="Times New Roman"/>
                      <w:color w:val="auto"/>
                      <w:kern w:val="0"/>
                      <w:szCs w:val="21"/>
                      <w:lang w:bidi="ar"/>
                    </w:rPr>
                    <w:t>132</w:t>
                  </w:r>
                  <w:r>
                    <w:rPr>
                      <w:rFonts w:hint="eastAsia" w:ascii="Times New Roman" w:hAnsi="Times New Roman"/>
                      <w:color w:val="auto"/>
                      <w:kern w:val="0"/>
                      <w:szCs w:val="21"/>
                      <w:lang w:val="en-US" w:eastAsia="zh-CN" w:bidi="ar"/>
                    </w:rPr>
                    <w:t>3.172</w:t>
                  </w:r>
                  <w:r>
                    <w:rPr>
                      <w:rFonts w:ascii="Times New Roman" w:hAnsi="Times New Roman"/>
                      <w:color w:val="auto"/>
                      <w:kern w:val="0"/>
                      <w:szCs w:val="21"/>
                      <w:lang w:bidi="ar"/>
                    </w:rPr>
                    <w:t xml:space="preserve"> </w:t>
                  </w:r>
                </w:p>
              </w:tc>
              <w:tc>
                <w:tcPr>
                  <w:tcW w:w="2037" w:type="dxa"/>
                  <w:tcBorders>
                    <w:tl2br w:val="nil"/>
                    <w:tr2bl w:val="nil"/>
                  </w:tcBorders>
                  <w:shd w:val="clear" w:color="auto" w:fill="auto"/>
                  <w:noWrap/>
                  <w:vAlign w:val="center"/>
                </w:tcPr>
                <w:p w14:paraId="6023E8F7">
                  <w:pPr>
                    <w:widowControl/>
                    <w:jc w:val="center"/>
                    <w:textAlignment w:val="center"/>
                    <w:rPr>
                      <w:rFonts w:ascii="Times New Roman" w:hAnsi="Times New Roman"/>
                      <w:color w:val="auto"/>
                      <w:szCs w:val="21"/>
                    </w:rPr>
                  </w:pPr>
                  <w:r>
                    <w:rPr>
                      <w:rFonts w:ascii="Times New Roman" w:hAnsi="Times New Roman"/>
                      <w:color w:val="auto"/>
                      <w:kern w:val="0"/>
                      <w:szCs w:val="21"/>
                      <w:lang w:bidi="ar"/>
                    </w:rPr>
                    <w:t xml:space="preserve">100.00 </w:t>
                  </w:r>
                </w:p>
              </w:tc>
            </w:tr>
          </w:tbl>
          <w:p w14:paraId="7D0ADB3A">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hint="eastAsia" w:ascii="Times New Roman" w:hAnsi="Times New Roman" w:cs="Times New Roman"/>
                <w:bCs/>
                <w:color w:val="auto"/>
                <w:sz w:val="24"/>
                <w:szCs w:val="24"/>
              </w:rPr>
              <w:t>2</w:t>
            </w:r>
            <w:r>
              <w:rPr>
                <w:rFonts w:ascii="Times New Roman" w:hAnsi="Times New Roman" w:cs="Times New Roman"/>
                <w:bCs/>
                <w:color w:val="auto"/>
                <w:sz w:val="24"/>
                <w:szCs w:val="24"/>
              </w:rPr>
              <w:t>）对景观多样性的影响</w:t>
            </w:r>
          </w:p>
          <w:p w14:paraId="24894E49">
            <w:pPr>
              <w:jc w:val="center"/>
              <w:rPr>
                <w:rFonts w:ascii="Times New Roman" w:hAnsi="Times New Roman"/>
                <w:b/>
                <w:color w:val="auto"/>
                <w:sz w:val="24"/>
                <w:szCs w:val="28"/>
              </w:rPr>
            </w:pPr>
            <w:r>
              <w:rPr>
                <w:rFonts w:ascii="Times New Roman" w:hAnsi="Times New Roman"/>
                <w:b/>
                <w:color w:val="auto"/>
                <w:sz w:val="24"/>
                <w:szCs w:val="28"/>
              </w:rPr>
              <w:t>表</w:t>
            </w:r>
            <w:r>
              <w:rPr>
                <w:rFonts w:hint="eastAsia" w:ascii="Times New Roman" w:hAnsi="Times New Roman"/>
                <w:b/>
                <w:color w:val="auto"/>
                <w:sz w:val="24"/>
                <w:szCs w:val="28"/>
              </w:rPr>
              <w:t>4-7</w:t>
            </w:r>
            <w:r>
              <w:rPr>
                <w:rFonts w:ascii="Times New Roman" w:hAnsi="Times New Roman"/>
                <w:b/>
                <w:color w:val="auto"/>
                <w:sz w:val="24"/>
                <w:szCs w:val="28"/>
              </w:rPr>
              <w:t xml:space="preserve">  对评价区多样性指数的影响</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03"/>
              <w:gridCol w:w="1720"/>
              <w:gridCol w:w="1529"/>
              <w:gridCol w:w="1777"/>
            </w:tblGrid>
            <w:tr w14:paraId="61286C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7" w:type="pct"/>
                  <w:tcBorders>
                    <w:tl2br w:val="nil"/>
                    <w:tr2bl w:val="nil"/>
                  </w:tcBorders>
                  <w:vAlign w:val="center"/>
                </w:tcPr>
                <w:p w14:paraId="428D1711">
                  <w:pPr>
                    <w:pStyle w:val="55"/>
                    <w:snapToGrid w:val="0"/>
                    <w:spacing w:line="240" w:lineRule="auto"/>
                    <w:rPr>
                      <w:rFonts w:ascii="Times New Roman" w:hAnsi="Times New Roman"/>
                      <w:color w:val="auto"/>
                      <w:szCs w:val="21"/>
                    </w:rPr>
                  </w:pPr>
                </w:p>
              </w:tc>
              <w:tc>
                <w:tcPr>
                  <w:tcW w:w="1020" w:type="pct"/>
                  <w:tcBorders>
                    <w:tl2br w:val="nil"/>
                    <w:tr2bl w:val="nil"/>
                  </w:tcBorders>
                  <w:vAlign w:val="center"/>
                </w:tcPr>
                <w:p w14:paraId="39BACB21">
                  <w:pPr>
                    <w:pStyle w:val="55"/>
                    <w:snapToGrid w:val="0"/>
                    <w:spacing w:line="240" w:lineRule="auto"/>
                    <w:rPr>
                      <w:rFonts w:ascii="Times New Roman" w:hAnsi="Times New Roman"/>
                      <w:color w:val="auto"/>
                      <w:szCs w:val="21"/>
                    </w:rPr>
                  </w:pPr>
                  <w:r>
                    <w:rPr>
                      <w:rFonts w:ascii="Times New Roman" w:hAnsi="Times New Roman"/>
                      <w:color w:val="auto"/>
                      <w:szCs w:val="21"/>
                    </w:rPr>
                    <w:t>开发前</w:t>
                  </w:r>
                </w:p>
              </w:tc>
              <w:tc>
                <w:tcPr>
                  <w:tcW w:w="907" w:type="pct"/>
                  <w:tcBorders>
                    <w:tl2br w:val="nil"/>
                    <w:tr2bl w:val="nil"/>
                  </w:tcBorders>
                  <w:vAlign w:val="center"/>
                </w:tcPr>
                <w:p w14:paraId="4E0F96AA">
                  <w:pPr>
                    <w:pStyle w:val="55"/>
                    <w:snapToGrid w:val="0"/>
                    <w:spacing w:line="240" w:lineRule="auto"/>
                    <w:rPr>
                      <w:rFonts w:ascii="Times New Roman" w:hAnsi="Times New Roman"/>
                      <w:color w:val="auto"/>
                      <w:szCs w:val="21"/>
                    </w:rPr>
                  </w:pPr>
                  <w:r>
                    <w:rPr>
                      <w:rFonts w:ascii="Times New Roman" w:hAnsi="Times New Roman"/>
                      <w:color w:val="auto"/>
                      <w:szCs w:val="21"/>
                    </w:rPr>
                    <w:t>开发后</w:t>
                  </w:r>
                </w:p>
              </w:tc>
              <w:tc>
                <w:tcPr>
                  <w:tcW w:w="1054" w:type="pct"/>
                  <w:tcBorders>
                    <w:tl2br w:val="nil"/>
                    <w:tr2bl w:val="nil"/>
                  </w:tcBorders>
                  <w:vAlign w:val="center"/>
                </w:tcPr>
                <w:p w14:paraId="4713E441">
                  <w:pPr>
                    <w:pStyle w:val="55"/>
                    <w:snapToGrid w:val="0"/>
                    <w:spacing w:line="240" w:lineRule="auto"/>
                    <w:rPr>
                      <w:rFonts w:ascii="Times New Roman" w:hAnsi="Times New Roman"/>
                      <w:color w:val="auto"/>
                      <w:szCs w:val="21"/>
                    </w:rPr>
                  </w:pPr>
                  <w:r>
                    <w:rPr>
                      <w:rFonts w:ascii="Times New Roman" w:hAnsi="Times New Roman"/>
                      <w:color w:val="auto"/>
                      <w:szCs w:val="21"/>
                    </w:rPr>
                    <w:t>备注</w:t>
                  </w:r>
                </w:p>
              </w:tc>
            </w:tr>
            <w:tr w14:paraId="3EBAB6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7" w:type="pct"/>
                  <w:tcBorders>
                    <w:tl2br w:val="nil"/>
                    <w:tr2bl w:val="nil"/>
                  </w:tcBorders>
                  <w:vAlign w:val="center"/>
                </w:tcPr>
                <w:p w14:paraId="66C611C7">
                  <w:pPr>
                    <w:pStyle w:val="55"/>
                    <w:snapToGrid w:val="0"/>
                    <w:spacing w:line="240" w:lineRule="auto"/>
                    <w:rPr>
                      <w:rFonts w:ascii="Times New Roman" w:hAnsi="Times New Roman"/>
                      <w:color w:val="auto"/>
                      <w:szCs w:val="21"/>
                    </w:rPr>
                  </w:pPr>
                  <w:r>
                    <w:rPr>
                      <w:rFonts w:ascii="Times New Roman" w:hAnsi="Times New Roman"/>
                      <w:color w:val="auto"/>
                      <w:szCs w:val="21"/>
                    </w:rPr>
                    <w:t>Shannon-Weaver多样性指数</w:t>
                  </w:r>
                </w:p>
              </w:tc>
              <w:tc>
                <w:tcPr>
                  <w:tcW w:w="1020" w:type="pct"/>
                  <w:tcBorders>
                    <w:tl2br w:val="nil"/>
                    <w:tr2bl w:val="nil"/>
                  </w:tcBorders>
                  <w:vAlign w:val="center"/>
                </w:tcPr>
                <w:p w14:paraId="57A4DE13">
                  <w:pPr>
                    <w:pStyle w:val="55"/>
                    <w:snapToGrid w:val="0"/>
                    <w:spacing w:line="240" w:lineRule="auto"/>
                    <w:rPr>
                      <w:rFonts w:ascii="Times New Roman" w:hAnsi="Times New Roman"/>
                      <w:color w:val="auto"/>
                      <w:szCs w:val="21"/>
                    </w:rPr>
                  </w:pPr>
                  <w:r>
                    <w:rPr>
                      <w:rFonts w:ascii="Times New Roman" w:hAnsi="Times New Roman"/>
                      <w:color w:val="auto"/>
                      <w:szCs w:val="21"/>
                    </w:rPr>
                    <w:t>1.4020</w:t>
                  </w:r>
                </w:p>
              </w:tc>
              <w:tc>
                <w:tcPr>
                  <w:tcW w:w="907" w:type="pct"/>
                  <w:tcBorders>
                    <w:tl2br w:val="nil"/>
                    <w:tr2bl w:val="nil"/>
                  </w:tcBorders>
                  <w:vAlign w:val="center"/>
                </w:tcPr>
                <w:p w14:paraId="6AE8767C">
                  <w:pPr>
                    <w:pStyle w:val="55"/>
                    <w:snapToGrid w:val="0"/>
                    <w:spacing w:line="240" w:lineRule="auto"/>
                    <w:rPr>
                      <w:rFonts w:ascii="Times New Roman" w:hAnsi="Times New Roman"/>
                      <w:color w:val="auto"/>
                      <w:szCs w:val="21"/>
                    </w:rPr>
                  </w:pPr>
                  <w:r>
                    <w:rPr>
                      <w:rFonts w:ascii="Times New Roman" w:hAnsi="Times New Roman"/>
                      <w:color w:val="auto"/>
                      <w:szCs w:val="21"/>
                    </w:rPr>
                    <w:t>1.4015</w:t>
                  </w:r>
                </w:p>
              </w:tc>
              <w:tc>
                <w:tcPr>
                  <w:tcW w:w="1054" w:type="pct"/>
                  <w:tcBorders>
                    <w:tl2br w:val="nil"/>
                    <w:tr2bl w:val="nil"/>
                  </w:tcBorders>
                  <w:vAlign w:val="center"/>
                </w:tcPr>
                <w:p w14:paraId="73166F5A">
                  <w:pPr>
                    <w:pStyle w:val="55"/>
                    <w:snapToGrid w:val="0"/>
                    <w:spacing w:line="240" w:lineRule="auto"/>
                    <w:rPr>
                      <w:rFonts w:ascii="Times New Roman" w:hAnsi="Times New Roman"/>
                      <w:color w:val="auto"/>
                      <w:szCs w:val="21"/>
                    </w:rPr>
                  </w:pPr>
                </w:p>
              </w:tc>
            </w:tr>
            <w:tr w14:paraId="55B85B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7" w:type="pct"/>
                  <w:tcBorders>
                    <w:tl2br w:val="nil"/>
                    <w:tr2bl w:val="nil"/>
                  </w:tcBorders>
                  <w:vAlign w:val="center"/>
                </w:tcPr>
                <w:p w14:paraId="1C00A7C2">
                  <w:pPr>
                    <w:pStyle w:val="55"/>
                    <w:snapToGrid w:val="0"/>
                    <w:spacing w:line="240" w:lineRule="auto"/>
                    <w:rPr>
                      <w:rFonts w:ascii="Times New Roman" w:hAnsi="Times New Roman"/>
                      <w:color w:val="auto"/>
                      <w:szCs w:val="21"/>
                    </w:rPr>
                  </w:pPr>
                  <w:r>
                    <w:rPr>
                      <w:rFonts w:ascii="Times New Roman" w:hAnsi="Times New Roman"/>
                      <w:color w:val="auto"/>
                      <w:szCs w:val="21"/>
                    </w:rPr>
                    <w:t>香农均匀度指数</w:t>
                  </w:r>
                </w:p>
              </w:tc>
              <w:tc>
                <w:tcPr>
                  <w:tcW w:w="1020" w:type="pct"/>
                  <w:tcBorders>
                    <w:tl2br w:val="nil"/>
                    <w:tr2bl w:val="nil"/>
                  </w:tcBorders>
                  <w:vAlign w:val="center"/>
                </w:tcPr>
                <w:p w14:paraId="60307B11">
                  <w:pPr>
                    <w:pStyle w:val="55"/>
                    <w:snapToGrid w:val="0"/>
                    <w:spacing w:line="240" w:lineRule="auto"/>
                    <w:rPr>
                      <w:rFonts w:ascii="Times New Roman" w:hAnsi="Times New Roman"/>
                      <w:color w:val="auto"/>
                      <w:szCs w:val="21"/>
                    </w:rPr>
                  </w:pPr>
                  <w:r>
                    <w:rPr>
                      <w:rFonts w:ascii="Times New Roman" w:hAnsi="Times New Roman"/>
                      <w:color w:val="auto"/>
                      <w:szCs w:val="21"/>
                    </w:rPr>
                    <w:t>0.6089</w:t>
                  </w:r>
                </w:p>
              </w:tc>
              <w:tc>
                <w:tcPr>
                  <w:tcW w:w="907" w:type="pct"/>
                  <w:tcBorders>
                    <w:tl2br w:val="nil"/>
                    <w:tr2bl w:val="nil"/>
                  </w:tcBorders>
                  <w:vAlign w:val="center"/>
                </w:tcPr>
                <w:p w14:paraId="3EEE20DB">
                  <w:pPr>
                    <w:pStyle w:val="55"/>
                    <w:snapToGrid w:val="0"/>
                    <w:spacing w:line="240" w:lineRule="auto"/>
                    <w:rPr>
                      <w:rFonts w:ascii="Times New Roman" w:hAnsi="Times New Roman"/>
                      <w:color w:val="auto"/>
                      <w:szCs w:val="21"/>
                    </w:rPr>
                  </w:pPr>
                  <w:r>
                    <w:rPr>
                      <w:rFonts w:ascii="Times New Roman" w:hAnsi="Times New Roman"/>
                      <w:color w:val="auto"/>
                      <w:szCs w:val="21"/>
                    </w:rPr>
                    <w:t>0.6072</w:t>
                  </w:r>
                </w:p>
              </w:tc>
              <w:tc>
                <w:tcPr>
                  <w:tcW w:w="1054" w:type="pct"/>
                  <w:tcBorders>
                    <w:tl2br w:val="nil"/>
                    <w:tr2bl w:val="nil"/>
                  </w:tcBorders>
                  <w:vAlign w:val="center"/>
                </w:tcPr>
                <w:p w14:paraId="506F37B1">
                  <w:pPr>
                    <w:pStyle w:val="55"/>
                    <w:snapToGrid w:val="0"/>
                    <w:spacing w:line="240" w:lineRule="auto"/>
                    <w:rPr>
                      <w:rFonts w:ascii="Times New Roman" w:hAnsi="Times New Roman"/>
                      <w:color w:val="auto"/>
                      <w:szCs w:val="21"/>
                    </w:rPr>
                  </w:pPr>
                </w:p>
              </w:tc>
            </w:tr>
            <w:tr w14:paraId="75A0D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7" w:type="pct"/>
                  <w:tcBorders>
                    <w:tl2br w:val="nil"/>
                    <w:tr2bl w:val="nil"/>
                  </w:tcBorders>
                  <w:vAlign w:val="center"/>
                </w:tcPr>
                <w:p w14:paraId="1CA444B8">
                  <w:pPr>
                    <w:pStyle w:val="55"/>
                    <w:snapToGrid w:val="0"/>
                    <w:spacing w:line="240" w:lineRule="auto"/>
                    <w:rPr>
                      <w:rFonts w:ascii="Times New Roman" w:hAnsi="Times New Roman"/>
                      <w:color w:val="auto"/>
                      <w:szCs w:val="21"/>
                    </w:rPr>
                  </w:pPr>
                  <w:r>
                    <w:rPr>
                      <w:rFonts w:ascii="Times New Roman" w:hAnsi="Times New Roman"/>
                      <w:color w:val="auto"/>
                      <w:szCs w:val="21"/>
                    </w:rPr>
                    <w:t>Simpson多样性指数</w:t>
                  </w:r>
                </w:p>
              </w:tc>
              <w:tc>
                <w:tcPr>
                  <w:tcW w:w="1020" w:type="pct"/>
                  <w:tcBorders>
                    <w:tl2br w:val="nil"/>
                    <w:tr2bl w:val="nil"/>
                  </w:tcBorders>
                  <w:vAlign w:val="center"/>
                </w:tcPr>
                <w:p w14:paraId="64ECFF43">
                  <w:pPr>
                    <w:pStyle w:val="55"/>
                    <w:snapToGrid w:val="0"/>
                    <w:spacing w:line="240" w:lineRule="auto"/>
                    <w:rPr>
                      <w:rFonts w:ascii="Times New Roman" w:hAnsi="Times New Roman"/>
                      <w:color w:val="auto"/>
                      <w:szCs w:val="21"/>
                    </w:rPr>
                  </w:pPr>
                  <w:r>
                    <w:rPr>
                      <w:rFonts w:ascii="Times New Roman" w:hAnsi="Times New Roman"/>
                      <w:color w:val="auto"/>
                      <w:szCs w:val="21"/>
                    </w:rPr>
                    <w:t>0.7070</w:t>
                  </w:r>
                </w:p>
              </w:tc>
              <w:tc>
                <w:tcPr>
                  <w:tcW w:w="907" w:type="pct"/>
                  <w:tcBorders>
                    <w:tl2br w:val="nil"/>
                    <w:tr2bl w:val="nil"/>
                  </w:tcBorders>
                  <w:vAlign w:val="center"/>
                </w:tcPr>
                <w:p w14:paraId="7309A4EC">
                  <w:pPr>
                    <w:pStyle w:val="55"/>
                    <w:snapToGrid w:val="0"/>
                    <w:spacing w:line="240" w:lineRule="auto"/>
                    <w:rPr>
                      <w:rFonts w:ascii="Times New Roman" w:hAnsi="Times New Roman"/>
                      <w:color w:val="auto"/>
                      <w:szCs w:val="21"/>
                    </w:rPr>
                  </w:pPr>
                  <w:r>
                    <w:rPr>
                      <w:rFonts w:ascii="Times New Roman" w:hAnsi="Times New Roman"/>
                      <w:color w:val="auto"/>
                      <w:szCs w:val="21"/>
                    </w:rPr>
                    <w:t>0.7068</w:t>
                  </w:r>
                </w:p>
              </w:tc>
              <w:tc>
                <w:tcPr>
                  <w:tcW w:w="1054" w:type="pct"/>
                  <w:tcBorders>
                    <w:tl2br w:val="nil"/>
                    <w:tr2bl w:val="nil"/>
                  </w:tcBorders>
                  <w:vAlign w:val="center"/>
                </w:tcPr>
                <w:p w14:paraId="5408EE0A">
                  <w:pPr>
                    <w:pStyle w:val="55"/>
                    <w:snapToGrid w:val="0"/>
                    <w:spacing w:line="240" w:lineRule="auto"/>
                    <w:rPr>
                      <w:rFonts w:ascii="Times New Roman" w:hAnsi="Times New Roman"/>
                      <w:color w:val="auto"/>
                      <w:szCs w:val="21"/>
                    </w:rPr>
                  </w:pPr>
                </w:p>
              </w:tc>
            </w:tr>
            <w:tr w14:paraId="65BD8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7" w:type="pct"/>
                  <w:tcBorders>
                    <w:tl2br w:val="nil"/>
                    <w:tr2bl w:val="nil"/>
                  </w:tcBorders>
                  <w:vAlign w:val="center"/>
                </w:tcPr>
                <w:p w14:paraId="373E0FDE">
                  <w:pPr>
                    <w:pStyle w:val="55"/>
                    <w:snapToGrid w:val="0"/>
                    <w:spacing w:line="240" w:lineRule="auto"/>
                    <w:rPr>
                      <w:rFonts w:ascii="Times New Roman" w:hAnsi="Times New Roman"/>
                      <w:color w:val="auto"/>
                      <w:szCs w:val="21"/>
                    </w:rPr>
                  </w:pPr>
                  <w:r>
                    <w:rPr>
                      <w:rFonts w:ascii="Times New Roman" w:hAnsi="Times New Roman"/>
                      <w:color w:val="auto"/>
                      <w:szCs w:val="21"/>
                    </w:rPr>
                    <w:t>优势度指数</w:t>
                  </w:r>
                </w:p>
              </w:tc>
              <w:tc>
                <w:tcPr>
                  <w:tcW w:w="1020" w:type="pct"/>
                  <w:tcBorders>
                    <w:tl2br w:val="nil"/>
                    <w:tr2bl w:val="nil"/>
                  </w:tcBorders>
                  <w:vAlign w:val="center"/>
                </w:tcPr>
                <w:p w14:paraId="62F394C8">
                  <w:pPr>
                    <w:pStyle w:val="55"/>
                    <w:snapToGrid w:val="0"/>
                    <w:spacing w:line="240" w:lineRule="auto"/>
                    <w:rPr>
                      <w:rFonts w:ascii="Times New Roman" w:hAnsi="Times New Roman"/>
                      <w:color w:val="auto"/>
                      <w:szCs w:val="21"/>
                    </w:rPr>
                  </w:pPr>
                  <w:r>
                    <w:rPr>
                      <w:rFonts w:ascii="Times New Roman" w:hAnsi="Times New Roman"/>
                      <w:color w:val="auto"/>
                      <w:szCs w:val="21"/>
                    </w:rPr>
                    <w:t>0.6089</w:t>
                  </w:r>
                </w:p>
              </w:tc>
              <w:tc>
                <w:tcPr>
                  <w:tcW w:w="907" w:type="pct"/>
                  <w:tcBorders>
                    <w:tl2br w:val="nil"/>
                    <w:tr2bl w:val="nil"/>
                  </w:tcBorders>
                  <w:vAlign w:val="center"/>
                </w:tcPr>
                <w:p w14:paraId="359FB465">
                  <w:pPr>
                    <w:pStyle w:val="55"/>
                    <w:snapToGrid w:val="0"/>
                    <w:spacing w:line="240" w:lineRule="auto"/>
                    <w:rPr>
                      <w:rFonts w:ascii="Times New Roman" w:hAnsi="Times New Roman"/>
                      <w:color w:val="auto"/>
                      <w:szCs w:val="21"/>
                    </w:rPr>
                  </w:pPr>
                  <w:r>
                    <w:rPr>
                      <w:rFonts w:ascii="Times New Roman" w:hAnsi="Times New Roman"/>
                      <w:color w:val="auto"/>
                      <w:szCs w:val="21"/>
                    </w:rPr>
                    <w:t>0.6089</w:t>
                  </w:r>
                </w:p>
              </w:tc>
              <w:tc>
                <w:tcPr>
                  <w:tcW w:w="1054" w:type="pct"/>
                  <w:tcBorders>
                    <w:tl2br w:val="nil"/>
                    <w:tr2bl w:val="nil"/>
                  </w:tcBorders>
                  <w:vAlign w:val="center"/>
                </w:tcPr>
                <w:p w14:paraId="4AD84435">
                  <w:pPr>
                    <w:pStyle w:val="55"/>
                    <w:snapToGrid w:val="0"/>
                    <w:spacing w:line="240" w:lineRule="auto"/>
                    <w:rPr>
                      <w:rFonts w:ascii="Times New Roman" w:hAnsi="Times New Roman"/>
                      <w:color w:val="auto"/>
                      <w:szCs w:val="21"/>
                    </w:rPr>
                  </w:pPr>
                </w:p>
              </w:tc>
            </w:tr>
          </w:tbl>
          <w:p w14:paraId="327C64FC">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从评价区景观多样性指数变化特征来看，项目开发建设后，Shannon-Weaver多样性指数由1.4020降至1.4015、香农均匀度指数由0.6089降至0.6072、Simpson多样性指数由0.7070降至0.7068，三项核心指数均呈现小幅轻微下降；优势度指数开发前后数值保持0.6089恒定不变，无明显变化。</w:t>
            </w:r>
          </w:p>
          <w:p w14:paraId="693AF19C">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指数细微变化表明，本项目建设后评价区景观多样程度、景观类型分布均匀性出现轻微减弱，区域原有景观优势类型的主导地位未发生改变、保持稳定。工程施工及建设过程对原有景观格局造成一定扰动，加剧了评价区景观边缘化、孤岛化现象，一定程度上提升了景观破碎化程度。</w:t>
            </w:r>
          </w:p>
          <w:p w14:paraId="1553D440">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整体来看，各项景观多样性指数开发前后数值差异极小，整体波动幅度极低，未对区域景观生态格局、景观结构体系造成颠覆性、不可逆的负面影响。综合判定，本项目建设对评价区景观生态结构与景观多样性的整体影响较小，景观生态体系可维持原有稳定状态，该影响处于生态可接受范围。</w:t>
            </w:r>
          </w:p>
          <w:p w14:paraId="4C026847">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hint="eastAsia" w:ascii="Times New Roman" w:hAnsi="Times New Roman" w:cs="Times New Roman"/>
                <w:bCs/>
                <w:color w:val="auto"/>
                <w:sz w:val="24"/>
                <w:szCs w:val="24"/>
              </w:rPr>
              <w:t>3</w:t>
            </w:r>
            <w:r>
              <w:rPr>
                <w:rFonts w:ascii="Times New Roman" w:hAnsi="Times New Roman" w:cs="Times New Roman"/>
                <w:bCs/>
                <w:color w:val="auto"/>
                <w:sz w:val="24"/>
                <w:szCs w:val="24"/>
              </w:rPr>
              <w:t>）对景观空间特征的影响</w:t>
            </w:r>
          </w:p>
          <w:p w14:paraId="13673B25">
            <w:pPr>
              <w:jc w:val="center"/>
              <w:rPr>
                <w:rFonts w:ascii="Times New Roman" w:hAnsi="Times New Roman"/>
                <w:b/>
                <w:color w:val="auto"/>
                <w:sz w:val="24"/>
                <w:szCs w:val="28"/>
              </w:rPr>
            </w:pPr>
            <w:r>
              <w:rPr>
                <w:rFonts w:hint="eastAsia" w:ascii="Times New Roman" w:hAnsi="Times New Roman"/>
                <w:b/>
                <w:color w:val="auto"/>
                <w:sz w:val="24"/>
                <w:szCs w:val="28"/>
              </w:rPr>
              <w:t>表4-8  对评价区景观空间特征指数的影响</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5"/>
              <w:gridCol w:w="2018"/>
              <w:gridCol w:w="2469"/>
              <w:gridCol w:w="1777"/>
            </w:tblGrid>
            <w:tr w14:paraId="779036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84" w:type="pct"/>
                  <w:tcBorders>
                    <w:tl2br w:val="nil"/>
                    <w:tr2bl w:val="nil"/>
                  </w:tcBorders>
                  <w:vAlign w:val="center"/>
                </w:tcPr>
                <w:p w14:paraId="7A54BBA0">
                  <w:pPr>
                    <w:pStyle w:val="55"/>
                    <w:rPr>
                      <w:rFonts w:ascii="Times New Roman" w:hAnsi="Times New Roman"/>
                      <w:b/>
                      <w:bCs/>
                      <w:color w:val="auto"/>
                    </w:rPr>
                  </w:pPr>
                </w:p>
              </w:tc>
              <w:tc>
                <w:tcPr>
                  <w:tcW w:w="1197" w:type="pct"/>
                  <w:tcBorders>
                    <w:tl2br w:val="nil"/>
                    <w:tr2bl w:val="nil"/>
                  </w:tcBorders>
                  <w:vAlign w:val="center"/>
                </w:tcPr>
                <w:p w14:paraId="1FAEEA61">
                  <w:pPr>
                    <w:pStyle w:val="55"/>
                    <w:rPr>
                      <w:rFonts w:ascii="Times New Roman" w:hAnsi="Times New Roman"/>
                      <w:b/>
                      <w:bCs/>
                      <w:color w:val="auto"/>
                    </w:rPr>
                  </w:pPr>
                  <w:r>
                    <w:rPr>
                      <w:rFonts w:ascii="Times New Roman" w:hAnsi="Times New Roman"/>
                      <w:b/>
                      <w:bCs/>
                      <w:color w:val="auto"/>
                    </w:rPr>
                    <w:t>开发前</w:t>
                  </w:r>
                </w:p>
              </w:tc>
              <w:tc>
                <w:tcPr>
                  <w:tcW w:w="1464" w:type="pct"/>
                  <w:tcBorders>
                    <w:tl2br w:val="nil"/>
                    <w:tr2bl w:val="nil"/>
                  </w:tcBorders>
                  <w:vAlign w:val="center"/>
                </w:tcPr>
                <w:p w14:paraId="14624B74">
                  <w:pPr>
                    <w:pStyle w:val="55"/>
                    <w:rPr>
                      <w:rFonts w:ascii="Times New Roman" w:hAnsi="Times New Roman"/>
                      <w:b/>
                      <w:bCs/>
                      <w:color w:val="auto"/>
                    </w:rPr>
                  </w:pPr>
                  <w:r>
                    <w:rPr>
                      <w:rFonts w:ascii="Times New Roman" w:hAnsi="Times New Roman"/>
                      <w:b/>
                      <w:bCs/>
                      <w:color w:val="auto"/>
                    </w:rPr>
                    <w:t>开发后</w:t>
                  </w:r>
                </w:p>
              </w:tc>
              <w:tc>
                <w:tcPr>
                  <w:tcW w:w="1054" w:type="pct"/>
                  <w:tcBorders>
                    <w:tl2br w:val="nil"/>
                    <w:tr2bl w:val="nil"/>
                  </w:tcBorders>
                  <w:vAlign w:val="center"/>
                </w:tcPr>
                <w:p w14:paraId="19F56E2B">
                  <w:pPr>
                    <w:pStyle w:val="55"/>
                    <w:rPr>
                      <w:rFonts w:ascii="Times New Roman" w:hAnsi="Times New Roman"/>
                      <w:b/>
                      <w:bCs/>
                      <w:color w:val="auto"/>
                    </w:rPr>
                  </w:pPr>
                  <w:r>
                    <w:rPr>
                      <w:rFonts w:ascii="Times New Roman" w:hAnsi="Times New Roman"/>
                      <w:b/>
                      <w:bCs/>
                      <w:color w:val="auto"/>
                    </w:rPr>
                    <w:t>备注</w:t>
                  </w:r>
                </w:p>
              </w:tc>
            </w:tr>
            <w:tr w14:paraId="4F21A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84" w:type="pct"/>
                  <w:tcBorders>
                    <w:tl2br w:val="nil"/>
                    <w:tr2bl w:val="nil"/>
                  </w:tcBorders>
                  <w:vAlign w:val="center"/>
                </w:tcPr>
                <w:p w14:paraId="7299AFA4">
                  <w:pPr>
                    <w:pStyle w:val="55"/>
                    <w:rPr>
                      <w:rFonts w:ascii="Times New Roman" w:hAnsi="Times New Roman"/>
                      <w:color w:val="auto"/>
                    </w:rPr>
                  </w:pPr>
                  <w:r>
                    <w:rPr>
                      <w:rFonts w:ascii="Times New Roman" w:hAnsi="Times New Roman"/>
                      <w:color w:val="auto"/>
                    </w:rPr>
                    <w:t>蔓延度</w:t>
                  </w:r>
                </w:p>
              </w:tc>
              <w:tc>
                <w:tcPr>
                  <w:tcW w:w="1197" w:type="pct"/>
                  <w:tcBorders>
                    <w:tl2br w:val="nil"/>
                    <w:tr2bl w:val="nil"/>
                  </w:tcBorders>
                  <w:shd w:val="clear" w:color="auto" w:fill="auto"/>
                  <w:vAlign w:val="center"/>
                </w:tcPr>
                <w:p w14:paraId="0CF427FC">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50.5284</w:t>
                  </w:r>
                </w:p>
              </w:tc>
              <w:tc>
                <w:tcPr>
                  <w:tcW w:w="1464" w:type="pct"/>
                  <w:tcBorders>
                    <w:tl2br w:val="nil"/>
                    <w:tr2bl w:val="nil"/>
                  </w:tcBorders>
                  <w:shd w:val="clear" w:color="auto" w:fill="auto"/>
                  <w:vAlign w:val="center"/>
                </w:tcPr>
                <w:p w14:paraId="0DAE9656">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50.5267</w:t>
                  </w:r>
                </w:p>
              </w:tc>
              <w:tc>
                <w:tcPr>
                  <w:tcW w:w="1054" w:type="pct"/>
                  <w:tcBorders>
                    <w:tl2br w:val="nil"/>
                    <w:tr2bl w:val="nil"/>
                  </w:tcBorders>
                  <w:shd w:val="clear" w:color="auto" w:fill="auto"/>
                  <w:vAlign w:val="bottom"/>
                </w:tcPr>
                <w:p w14:paraId="7DCA2606">
                  <w:pPr>
                    <w:keepNext w:val="0"/>
                    <w:keepLines w:val="0"/>
                    <w:widowControl/>
                    <w:suppressLineNumbers w:val="0"/>
                    <w:jc w:val="center"/>
                    <w:textAlignment w:val="bottom"/>
                    <w:rPr>
                      <w:rFonts w:ascii="Times New Roman" w:hAnsi="Times New Roman" w:eastAsia="宋体" w:cs="Times New Roman"/>
                      <w:color w:val="auto"/>
                      <w:kern w:val="0"/>
                      <w:sz w:val="21"/>
                      <w:szCs w:val="20"/>
                      <w:lang w:val="en-US" w:eastAsia="zh-CN" w:bidi="ar-SA"/>
                    </w:rPr>
                  </w:pPr>
                  <w:r>
                    <w:rPr>
                      <w:rFonts w:hint="eastAsia"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0.0017</w:t>
                  </w:r>
                </w:p>
              </w:tc>
            </w:tr>
            <w:tr w14:paraId="1F56C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84" w:type="pct"/>
                  <w:tcBorders>
                    <w:tl2br w:val="nil"/>
                    <w:tr2bl w:val="nil"/>
                  </w:tcBorders>
                  <w:vAlign w:val="center"/>
                </w:tcPr>
                <w:p w14:paraId="599C3629">
                  <w:pPr>
                    <w:pStyle w:val="55"/>
                    <w:rPr>
                      <w:rFonts w:ascii="Times New Roman" w:hAnsi="Times New Roman"/>
                      <w:color w:val="auto"/>
                    </w:rPr>
                  </w:pPr>
                  <w:r>
                    <w:rPr>
                      <w:rFonts w:ascii="Times New Roman" w:hAnsi="Times New Roman"/>
                      <w:color w:val="auto"/>
                    </w:rPr>
                    <w:t>聚集度</w:t>
                  </w:r>
                </w:p>
              </w:tc>
              <w:tc>
                <w:tcPr>
                  <w:tcW w:w="1197" w:type="pct"/>
                  <w:tcBorders>
                    <w:tl2br w:val="nil"/>
                    <w:tr2bl w:val="nil"/>
                  </w:tcBorders>
                  <w:shd w:val="clear" w:color="auto" w:fill="auto"/>
                  <w:vAlign w:val="center"/>
                </w:tcPr>
                <w:p w14:paraId="58D6A1E7">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73.3895</w:t>
                  </w:r>
                </w:p>
              </w:tc>
              <w:tc>
                <w:tcPr>
                  <w:tcW w:w="1464" w:type="pct"/>
                  <w:tcBorders>
                    <w:tl2br w:val="nil"/>
                    <w:tr2bl w:val="nil"/>
                  </w:tcBorders>
                  <w:shd w:val="clear" w:color="auto" w:fill="auto"/>
                  <w:vAlign w:val="center"/>
                </w:tcPr>
                <w:p w14:paraId="3D0E010C">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73.3895</w:t>
                  </w:r>
                </w:p>
              </w:tc>
              <w:tc>
                <w:tcPr>
                  <w:tcW w:w="1054" w:type="pct"/>
                  <w:tcBorders>
                    <w:tl2br w:val="nil"/>
                    <w:tr2bl w:val="nil"/>
                  </w:tcBorders>
                  <w:shd w:val="clear" w:color="auto" w:fill="auto"/>
                  <w:vAlign w:val="bottom"/>
                </w:tcPr>
                <w:p w14:paraId="5D4AF2F0">
                  <w:pPr>
                    <w:keepNext w:val="0"/>
                    <w:keepLines w:val="0"/>
                    <w:widowControl/>
                    <w:suppressLineNumbers w:val="0"/>
                    <w:jc w:val="center"/>
                    <w:textAlignment w:val="bottom"/>
                    <w:rPr>
                      <w:rFonts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w:t>
                  </w:r>
                </w:p>
              </w:tc>
            </w:tr>
            <w:tr w14:paraId="33ADA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84" w:type="pct"/>
                  <w:tcBorders>
                    <w:tl2br w:val="nil"/>
                    <w:tr2bl w:val="nil"/>
                  </w:tcBorders>
                  <w:vAlign w:val="center"/>
                </w:tcPr>
                <w:p w14:paraId="5F73F4A4">
                  <w:pPr>
                    <w:pStyle w:val="55"/>
                    <w:rPr>
                      <w:rFonts w:ascii="Times New Roman" w:hAnsi="Times New Roman"/>
                      <w:color w:val="auto"/>
                    </w:rPr>
                  </w:pPr>
                  <w:r>
                    <w:rPr>
                      <w:rFonts w:ascii="Times New Roman" w:hAnsi="Times New Roman"/>
                      <w:color w:val="auto"/>
                    </w:rPr>
                    <w:t>连通度</w:t>
                  </w:r>
                </w:p>
              </w:tc>
              <w:tc>
                <w:tcPr>
                  <w:tcW w:w="1197" w:type="pct"/>
                  <w:tcBorders>
                    <w:tl2br w:val="nil"/>
                    <w:tr2bl w:val="nil"/>
                  </w:tcBorders>
                  <w:shd w:val="clear" w:color="auto" w:fill="auto"/>
                  <w:vAlign w:val="center"/>
                </w:tcPr>
                <w:p w14:paraId="7E7D2798">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91.7644</w:t>
                  </w:r>
                </w:p>
              </w:tc>
              <w:tc>
                <w:tcPr>
                  <w:tcW w:w="1464" w:type="pct"/>
                  <w:tcBorders>
                    <w:tl2br w:val="nil"/>
                    <w:tr2bl w:val="nil"/>
                  </w:tcBorders>
                  <w:shd w:val="clear" w:color="auto" w:fill="auto"/>
                  <w:vAlign w:val="center"/>
                </w:tcPr>
                <w:p w14:paraId="2264E144">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91.7625</w:t>
                  </w:r>
                </w:p>
              </w:tc>
              <w:tc>
                <w:tcPr>
                  <w:tcW w:w="1054" w:type="pct"/>
                  <w:tcBorders>
                    <w:tl2br w:val="nil"/>
                    <w:tr2bl w:val="nil"/>
                  </w:tcBorders>
                  <w:shd w:val="clear" w:color="auto" w:fill="auto"/>
                  <w:vAlign w:val="bottom"/>
                </w:tcPr>
                <w:p w14:paraId="1322A8AD">
                  <w:pPr>
                    <w:keepNext w:val="0"/>
                    <w:keepLines w:val="0"/>
                    <w:widowControl/>
                    <w:suppressLineNumbers w:val="0"/>
                    <w:jc w:val="center"/>
                    <w:textAlignment w:val="bottom"/>
                    <w:rPr>
                      <w:rFonts w:ascii="Times New Roman" w:hAnsi="Times New Roman" w:eastAsia="宋体" w:cs="Times New Roman"/>
                      <w:color w:val="auto"/>
                      <w:kern w:val="0"/>
                      <w:sz w:val="21"/>
                      <w:szCs w:val="20"/>
                      <w:lang w:val="en-US" w:eastAsia="zh-CN" w:bidi="ar-SA"/>
                    </w:rPr>
                  </w:pPr>
                  <w:r>
                    <w:rPr>
                      <w:rFonts w:hint="eastAsia"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0.0019</w:t>
                  </w:r>
                </w:p>
              </w:tc>
            </w:tr>
            <w:tr w14:paraId="262B3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284" w:type="pct"/>
                  <w:tcBorders>
                    <w:tl2br w:val="nil"/>
                    <w:tr2bl w:val="nil"/>
                  </w:tcBorders>
                  <w:vAlign w:val="center"/>
                </w:tcPr>
                <w:p w14:paraId="27D76D0F">
                  <w:pPr>
                    <w:pStyle w:val="55"/>
                    <w:rPr>
                      <w:rFonts w:ascii="Times New Roman" w:hAnsi="Times New Roman"/>
                      <w:color w:val="auto"/>
                    </w:rPr>
                  </w:pPr>
                  <w:r>
                    <w:rPr>
                      <w:rFonts w:ascii="Times New Roman" w:hAnsi="Times New Roman"/>
                      <w:color w:val="auto"/>
                    </w:rPr>
                    <w:t>分割度</w:t>
                  </w:r>
                </w:p>
              </w:tc>
              <w:tc>
                <w:tcPr>
                  <w:tcW w:w="1197" w:type="pct"/>
                  <w:tcBorders>
                    <w:tl2br w:val="nil"/>
                    <w:tr2bl w:val="nil"/>
                  </w:tcBorders>
                  <w:shd w:val="clear" w:color="auto" w:fill="auto"/>
                  <w:vAlign w:val="center"/>
                </w:tcPr>
                <w:p w14:paraId="0E7FA5C7">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0.976</w:t>
                  </w:r>
                </w:p>
              </w:tc>
              <w:tc>
                <w:tcPr>
                  <w:tcW w:w="1464" w:type="pct"/>
                  <w:tcBorders>
                    <w:tl2br w:val="nil"/>
                    <w:tr2bl w:val="nil"/>
                  </w:tcBorders>
                  <w:shd w:val="clear" w:color="auto" w:fill="auto"/>
                  <w:vAlign w:val="center"/>
                </w:tcPr>
                <w:p w14:paraId="52078827">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0.9698</w:t>
                  </w:r>
                </w:p>
              </w:tc>
              <w:tc>
                <w:tcPr>
                  <w:tcW w:w="1054" w:type="pct"/>
                  <w:tcBorders>
                    <w:tl2br w:val="nil"/>
                    <w:tr2bl w:val="nil"/>
                  </w:tcBorders>
                  <w:shd w:val="clear" w:color="auto" w:fill="auto"/>
                  <w:vAlign w:val="bottom"/>
                </w:tcPr>
                <w:p w14:paraId="05FF173D">
                  <w:pPr>
                    <w:keepNext w:val="0"/>
                    <w:keepLines w:val="0"/>
                    <w:widowControl/>
                    <w:suppressLineNumbers w:val="0"/>
                    <w:jc w:val="center"/>
                    <w:textAlignment w:val="bottom"/>
                    <w:rPr>
                      <w:rFonts w:ascii="Times New Roman" w:hAnsi="Times New Roman" w:eastAsia="宋体" w:cs="Times New Roman"/>
                      <w:color w:val="auto"/>
                      <w:kern w:val="0"/>
                      <w:sz w:val="21"/>
                      <w:szCs w:val="20"/>
                      <w:lang w:val="en-US" w:eastAsia="zh-CN" w:bidi="ar-SA"/>
                    </w:rPr>
                  </w:pPr>
                  <w:r>
                    <w:rPr>
                      <w:rFonts w:hint="eastAsia"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0.0062</w:t>
                  </w:r>
                </w:p>
              </w:tc>
            </w:tr>
            <w:tr w14:paraId="57E86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84" w:type="pct"/>
                  <w:tcBorders>
                    <w:tl2br w:val="nil"/>
                    <w:tr2bl w:val="nil"/>
                  </w:tcBorders>
                  <w:vAlign w:val="center"/>
                </w:tcPr>
                <w:p w14:paraId="62A4247D">
                  <w:pPr>
                    <w:pStyle w:val="55"/>
                    <w:rPr>
                      <w:rFonts w:ascii="Times New Roman" w:hAnsi="Times New Roman"/>
                      <w:color w:val="auto"/>
                    </w:rPr>
                  </w:pPr>
                  <w:r>
                    <w:rPr>
                      <w:rFonts w:ascii="Times New Roman" w:hAnsi="Times New Roman"/>
                      <w:color w:val="auto"/>
                    </w:rPr>
                    <w:t>破碎度</w:t>
                  </w:r>
                </w:p>
              </w:tc>
              <w:tc>
                <w:tcPr>
                  <w:tcW w:w="1197" w:type="pct"/>
                  <w:tcBorders>
                    <w:tl2br w:val="nil"/>
                    <w:tr2bl w:val="nil"/>
                  </w:tcBorders>
                  <w:shd w:val="clear" w:color="auto" w:fill="auto"/>
                  <w:vAlign w:val="center"/>
                </w:tcPr>
                <w:p w14:paraId="4E18B623">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41.6445</w:t>
                  </w:r>
                </w:p>
              </w:tc>
              <w:tc>
                <w:tcPr>
                  <w:tcW w:w="1464" w:type="pct"/>
                  <w:tcBorders>
                    <w:tl2br w:val="nil"/>
                    <w:tr2bl w:val="nil"/>
                  </w:tcBorders>
                  <w:shd w:val="clear" w:color="auto" w:fill="auto"/>
                  <w:vAlign w:val="center"/>
                </w:tcPr>
                <w:p w14:paraId="251037AE">
                  <w:pPr>
                    <w:pStyle w:val="55"/>
                    <w:rPr>
                      <w:rFonts w:ascii="Times New Roman" w:hAnsi="Times New Roman" w:eastAsia="宋体" w:cs="Times New Roman"/>
                      <w:color w:val="auto"/>
                      <w:kern w:val="0"/>
                      <w:sz w:val="21"/>
                      <w:szCs w:val="20"/>
                      <w:lang w:val="en-US" w:eastAsia="zh-CN" w:bidi="ar-SA"/>
                    </w:rPr>
                  </w:pPr>
                  <w:r>
                    <w:rPr>
                      <w:rFonts w:ascii="Times New Roman" w:hAnsi="Times New Roman"/>
                      <w:color w:val="auto"/>
                    </w:rPr>
                    <w:t>41.6387</w:t>
                  </w:r>
                </w:p>
              </w:tc>
              <w:tc>
                <w:tcPr>
                  <w:tcW w:w="1054" w:type="pct"/>
                  <w:tcBorders>
                    <w:tl2br w:val="nil"/>
                    <w:tr2bl w:val="nil"/>
                  </w:tcBorders>
                  <w:shd w:val="clear" w:color="auto" w:fill="auto"/>
                  <w:vAlign w:val="bottom"/>
                </w:tcPr>
                <w:p w14:paraId="7A34D551">
                  <w:pPr>
                    <w:keepNext w:val="0"/>
                    <w:keepLines w:val="0"/>
                    <w:widowControl/>
                    <w:suppressLineNumbers w:val="0"/>
                    <w:jc w:val="center"/>
                    <w:textAlignment w:val="bottom"/>
                    <w:rPr>
                      <w:rFonts w:ascii="Times New Roman" w:hAnsi="Times New Roman" w:eastAsia="宋体" w:cs="Times New Roman"/>
                      <w:color w:val="auto"/>
                      <w:kern w:val="0"/>
                      <w:sz w:val="21"/>
                      <w:szCs w:val="20"/>
                      <w:lang w:val="en-US" w:eastAsia="zh-CN" w:bidi="ar-SA"/>
                    </w:rPr>
                  </w:pPr>
                  <w:r>
                    <w:rPr>
                      <w:rFonts w:hint="eastAsia"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0.0058</w:t>
                  </w:r>
                </w:p>
              </w:tc>
            </w:tr>
          </w:tbl>
          <w:p w14:paraId="0A9FEF6B">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从格局变化规律分析，项目建设占用了部分原有景观用地，对区域连续的景观格局形成切割与分隔作用，直接导致景观分割度、破碎度小幅</w:t>
            </w:r>
            <w:r>
              <w:rPr>
                <w:rFonts w:hint="eastAsia" w:ascii="Times New Roman" w:hAnsi="Times New Roman" w:cs="Times New Roman"/>
                <w:bCs/>
                <w:color w:val="auto"/>
                <w:sz w:val="24"/>
                <w:szCs w:val="24"/>
                <w:lang w:val="en-US" w:eastAsia="zh-CN"/>
              </w:rPr>
              <w:t>减小</w:t>
            </w:r>
            <w:r>
              <w:rPr>
                <w:rFonts w:ascii="Times New Roman" w:hAnsi="Times New Roman" w:cs="Times New Roman"/>
                <w:bCs/>
                <w:color w:val="auto"/>
                <w:sz w:val="24"/>
                <w:szCs w:val="24"/>
              </w:rPr>
              <w:t>，景观完整性与连通性略有降低，景观空间蔓延延展能力轻微减弱。但由于本项目占地面积规模较小，工程扰动范围有限，对区域景观空间格局的切割、破碎化干扰程度较低，开发前后各项景观空间特征指数差值均较小，无显著突变情况。总体来看，项目建设对评价区景观空间结构、连通性及整体格局的影响轻微，未破坏区域景观空间体系的稳定性。</w:t>
            </w:r>
            <w:r>
              <w:rPr>
                <w:rFonts w:hint="eastAsia" w:ascii="Times New Roman" w:hAnsi="Times New Roman" w:cs="Times New Roman"/>
                <w:bCs/>
                <w:color w:val="auto"/>
                <w:sz w:val="24"/>
                <w:szCs w:val="24"/>
              </w:rPr>
              <w:t>且</w:t>
            </w:r>
            <w:r>
              <w:rPr>
                <w:rFonts w:ascii="Times New Roman" w:hAnsi="Times New Roman" w:cs="Times New Roman"/>
                <w:bCs/>
                <w:color w:val="auto"/>
                <w:sz w:val="24"/>
                <w:szCs w:val="24"/>
              </w:rPr>
              <w:t>项目占地面积较小，对景观分割有限，开发前后各空间特征指数变化不大。</w:t>
            </w:r>
          </w:p>
          <w:p w14:paraId="34B0992A">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（8）</w:t>
            </w:r>
            <w:r>
              <w:rPr>
                <w:rFonts w:ascii="Times New Roman" w:hAnsi="Times New Roman"/>
                <w:b/>
                <w:color w:val="auto"/>
                <w:sz w:val="24"/>
                <w:szCs w:val="24"/>
              </w:rPr>
              <w:t>生物多样性影响分析</w:t>
            </w:r>
          </w:p>
          <w:p w14:paraId="75F0AA0F">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1）生态系统多样性影响</w:t>
            </w:r>
          </w:p>
          <w:p w14:paraId="2CB8FE6E">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工程建设前评价区内共分布</w:t>
            </w:r>
            <w:r>
              <w:rPr>
                <w:rFonts w:hint="eastAsia" w:ascii="Times New Roman" w:hAnsi="Times New Roman" w:cs="Times New Roman"/>
                <w:bCs/>
                <w:color w:val="auto"/>
                <w:sz w:val="24"/>
                <w:szCs w:val="24"/>
                <w:lang w:val="en-US" w:eastAsia="zh-CN"/>
              </w:rPr>
              <w:t>6</w:t>
            </w:r>
            <w:r>
              <w:rPr>
                <w:rFonts w:ascii="Times New Roman" w:hAnsi="Times New Roman" w:cs="Times New Roman"/>
                <w:bCs/>
                <w:color w:val="auto"/>
                <w:sz w:val="24"/>
                <w:szCs w:val="24"/>
              </w:rPr>
              <w:t>种生态系统类型，较为多样</w:t>
            </w:r>
            <w:r>
              <w:rPr>
                <w:rFonts w:hint="eastAsia" w:ascii="Times New Roman" w:hAnsi="Times New Roman" w:cs="Times New Roman"/>
                <w:bCs/>
                <w:color w:val="auto"/>
                <w:sz w:val="24"/>
                <w:szCs w:val="24"/>
              </w:rPr>
              <w:t>。</w:t>
            </w:r>
            <w:r>
              <w:rPr>
                <w:rFonts w:ascii="Times New Roman" w:hAnsi="Times New Roman" w:cs="Times New Roman"/>
                <w:bCs/>
                <w:color w:val="auto"/>
                <w:sz w:val="24"/>
                <w:szCs w:val="24"/>
              </w:rPr>
              <w:t>工程建设后，评价区内生态系统类型数量保持不变，影响较小。</w:t>
            </w:r>
          </w:p>
          <w:p w14:paraId="50059AE6">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2）物种丰富度影响</w:t>
            </w:r>
          </w:p>
          <w:p w14:paraId="02145AB3">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本项目建设不会造成任何一种物种的消失，评价等级仍然为丰富，物种较为丰富，因此工程建设对物种丰富度影响较小。</w:t>
            </w:r>
          </w:p>
          <w:p w14:paraId="61E84324">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3）生物群落多样性影响</w:t>
            </w:r>
          </w:p>
          <w:p w14:paraId="2664AC2D">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评价区内生态系统天然植物群落分布有3个群落，主要有云南松群落、云南松、苦刺花</w:t>
            </w:r>
            <w:r>
              <w:rPr>
                <w:rFonts w:ascii="Times New Roman" w:hAnsi="Times New Roman" w:cs="Times New Roman"/>
                <w:bCs/>
                <w:color w:val="auto"/>
                <w:sz w:val="24"/>
                <w:szCs w:val="24"/>
                <w:lang w:val="zh-CN"/>
              </w:rPr>
              <w:t>、</w:t>
            </w:r>
            <w:r>
              <w:rPr>
                <w:rFonts w:ascii="Times New Roman" w:hAnsi="Times New Roman" w:cs="Times New Roman"/>
                <w:bCs/>
                <w:color w:val="auto"/>
                <w:sz w:val="24"/>
                <w:szCs w:val="24"/>
              </w:rPr>
              <w:t>刺芒野古草群落及</w:t>
            </w:r>
            <w:r>
              <w:rPr>
                <w:rFonts w:hint="eastAsia" w:ascii="Times New Roman" w:hAnsi="Times New Roman" w:cs="Times New Roman"/>
                <w:bCs/>
                <w:color w:val="auto"/>
                <w:sz w:val="24"/>
                <w:szCs w:val="24"/>
              </w:rPr>
              <w:t>黑面神、马桑、茅叶荩草</w:t>
            </w:r>
            <w:r>
              <w:rPr>
                <w:rFonts w:ascii="Times New Roman" w:hAnsi="Times New Roman" w:cs="Times New Roman"/>
                <w:bCs/>
                <w:color w:val="auto"/>
                <w:sz w:val="24"/>
                <w:szCs w:val="24"/>
              </w:rPr>
              <w:t>群落，本项目建设不会造成任何一种生物群落的消失，对生物群落多样性影响较小。</w:t>
            </w:r>
          </w:p>
          <w:p w14:paraId="7F2DFAA2">
            <w:pPr>
              <w:pStyle w:val="51"/>
              <w:adjustRightInd w:val="0"/>
              <w:snapToGrid w:val="0"/>
              <w:spacing w:line="440" w:lineRule="exact"/>
              <w:ind w:firstLine="480" w:firstLineChars="200"/>
              <w:jc w:val="both"/>
              <w:rPr>
                <w:rFonts w:ascii="Times New Roman" w:hAnsi="Times New Roman" w:cs="Times New Roman"/>
                <w:bCs/>
                <w:color w:val="auto"/>
                <w:sz w:val="24"/>
                <w:szCs w:val="24"/>
              </w:rPr>
            </w:pPr>
            <w:r>
              <w:rPr>
                <w:rFonts w:ascii="Times New Roman" w:hAnsi="Times New Roman" w:cs="Times New Roman"/>
                <w:bCs/>
                <w:color w:val="auto"/>
                <w:sz w:val="24"/>
                <w:szCs w:val="24"/>
              </w:rPr>
              <w:t>4）对遗传多样性影响</w:t>
            </w:r>
          </w:p>
          <w:p w14:paraId="21F5133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本项目占地范围内清除的主要植物资源</w:t>
            </w:r>
            <w:r>
              <w:rPr>
                <w:rFonts w:hint="eastAsia" w:ascii="Times New Roman" w:hAnsi="Times New Roman"/>
                <w:color w:val="auto"/>
                <w:sz w:val="24"/>
                <w:szCs w:val="24"/>
              </w:rPr>
              <w:t>为</w:t>
            </w:r>
            <w:r>
              <w:rPr>
                <w:rFonts w:ascii="Times New Roman" w:hAnsi="Times New Roman"/>
                <w:color w:val="auto"/>
                <w:sz w:val="24"/>
                <w:szCs w:val="24"/>
              </w:rPr>
              <w:t>当地常见种、广布种，如</w:t>
            </w:r>
            <w:r>
              <w:rPr>
                <w:rFonts w:ascii="Times New Roman" w:hAnsi="Times New Roman"/>
                <w:color w:val="auto"/>
                <w:kern w:val="0"/>
                <w:sz w:val="24"/>
                <w:szCs w:val="24"/>
              </w:rPr>
              <w:t>云南松</w:t>
            </w:r>
            <w:r>
              <w:rPr>
                <w:rFonts w:ascii="Times New Roman" w:hAnsi="Times New Roman"/>
                <w:i/>
                <w:color w:val="auto"/>
                <w:kern w:val="0"/>
                <w:sz w:val="24"/>
                <w:szCs w:val="24"/>
              </w:rPr>
              <w:t>Pinus yunnanensis</w:t>
            </w:r>
            <w:r>
              <w:rPr>
                <w:rFonts w:ascii="Times New Roman" w:hAnsi="Times New Roman"/>
                <w:color w:val="auto"/>
                <w:kern w:val="0"/>
                <w:sz w:val="24"/>
                <w:szCs w:val="24"/>
              </w:rPr>
              <w:t>、</w:t>
            </w:r>
            <w:r>
              <w:rPr>
                <w:rFonts w:ascii="Times New Roman" w:hAnsi="Times New Roman"/>
                <w:color w:val="auto"/>
                <w:sz w:val="24"/>
                <w:szCs w:val="24"/>
              </w:rPr>
              <w:t>大叶栎</w:t>
            </w:r>
            <w:r>
              <w:rPr>
                <w:rFonts w:ascii="Times New Roman" w:hAnsi="Times New Roman"/>
                <w:i/>
                <w:iCs/>
                <w:color w:val="auto"/>
                <w:sz w:val="24"/>
                <w:szCs w:val="24"/>
              </w:rPr>
              <w:t>Quercus griffithii</w:t>
            </w:r>
            <w:r>
              <w:rPr>
                <w:rFonts w:ascii="Times New Roman" w:hAnsi="Times New Roman"/>
                <w:color w:val="auto"/>
                <w:sz w:val="24"/>
                <w:szCs w:val="24"/>
              </w:rPr>
              <w:t>、滇石栎</w:t>
            </w:r>
            <w:r>
              <w:rPr>
                <w:rFonts w:ascii="Times New Roman" w:hAnsi="Times New Roman"/>
                <w:i/>
                <w:iCs/>
                <w:color w:val="auto"/>
                <w:sz w:val="24"/>
                <w:szCs w:val="24"/>
              </w:rPr>
              <w:t>Lithocarpus dealbatus</w:t>
            </w:r>
            <w:r>
              <w:rPr>
                <w:rFonts w:ascii="Times New Roman" w:hAnsi="Times New Roman"/>
                <w:color w:val="auto"/>
                <w:sz w:val="24"/>
                <w:szCs w:val="24"/>
              </w:rPr>
              <w:t>、滇青冈</w:t>
            </w:r>
            <w:r>
              <w:rPr>
                <w:rFonts w:ascii="Times New Roman" w:hAnsi="Times New Roman"/>
                <w:i/>
                <w:iCs/>
                <w:color w:val="auto"/>
                <w:sz w:val="24"/>
                <w:szCs w:val="24"/>
              </w:rPr>
              <w:t>Quercus glaucoides</w:t>
            </w:r>
            <w:r>
              <w:rPr>
                <w:rFonts w:ascii="Times New Roman" w:hAnsi="Times New Roman"/>
                <w:color w:val="auto"/>
                <w:sz w:val="24"/>
                <w:szCs w:val="24"/>
              </w:rPr>
              <w:t>、厚皮香</w:t>
            </w:r>
            <w:r>
              <w:rPr>
                <w:rFonts w:ascii="Times New Roman" w:hAnsi="Times New Roman"/>
                <w:i/>
                <w:iCs/>
                <w:color w:val="auto"/>
                <w:sz w:val="24"/>
                <w:szCs w:val="24"/>
              </w:rPr>
              <w:t>Ternstroemia gymnanthera</w:t>
            </w:r>
            <w:r>
              <w:rPr>
                <w:rFonts w:ascii="Times New Roman" w:hAnsi="Times New Roman"/>
                <w:color w:val="auto"/>
                <w:sz w:val="24"/>
                <w:szCs w:val="24"/>
              </w:rPr>
              <w:t>、高山栲</w:t>
            </w:r>
            <w:r>
              <w:rPr>
                <w:rFonts w:ascii="Times New Roman" w:hAnsi="Times New Roman"/>
                <w:i/>
                <w:color w:val="auto"/>
                <w:sz w:val="24"/>
                <w:szCs w:val="24"/>
              </w:rPr>
              <w:t>Castanopsis delavayi</w:t>
            </w:r>
            <w:r>
              <w:rPr>
                <w:rFonts w:ascii="Times New Roman" w:hAnsi="Times New Roman"/>
                <w:color w:val="auto"/>
                <w:kern w:val="0"/>
                <w:sz w:val="24"/>
                <w:szCs w:val="24"/>
              </w:rPr>
              <w:t>等</w:t>
            </w:r>
            <w:r>
              <w:rPr>
                <w:rFonts w:ascii="Times New Roman" w:hAnsi="Times New Roman"/>
                <w:color w:val="auto"/>
                <w:sz w:val="24"/>
                <w:szCs w:val="24"/>
              </w:rPr>
              <w:t>，且由于项目占地面积相对较小，占用的植物资源量小，工程加强管理的情况下对区域内动物的影响也很小，因此工程建设不会造成评价区内各物种有效种群大小的大量下降，也不会影响种群性别比例，线路电压等级较低，且采用架空的布设形式，对生境分割有限，电磁辐射影响也较小，因此工程建设不会对种群遗传产生明显不利因素。</w:t>
            </w:r>
          </w:p>
          <w:p w14:paraId="51EEC9EB">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（9）</w:t>
            </w:r>
            <w:r>
              <w:rPr>
                <w:rFonts w:ascii="Times New Roman" w:hAnsi="Times New Roman"/>
                <w:b/>
                <w:color w:val="auto"/>
                <w:sz w:val="24"/>
                <w:szCs w:val="24"/>
              </w:rPr>
              <w:t>对公益林的影响</w:t>
            </w:r>
          </w:p>
          <w:p w14:paraId="4DFB47B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根据管理部门意见及林业调查数据结果，项目不涉及占用国家一级公益林和国家二级公益林。但线路涉及占用省级公益林</w:t>
            </w:r>
            <w:r>
              <w:rPr>
                <w:rFonts w:hint="eastAsia" w:ascii="Times New Roman" w:hAnsi="Times New Roman"/>
                <w:color w:val="auto"/>
                <w:sz w:val="24"/>
                <w:szCs w:val="24"/>
              </w:rPr>
              <w:t>0.1665</w:t>
            </w:r>
            <w:r>
              <w:rPr>
                <w:rFonts w:ascii="Times New Roman" w:hAnsi="Times New Roman"/>
                <w:color w:val="auto"/>
                <w:sz w:val="24"/>
                <w:szCs w:val="24"/>
              </w:rPr>
              <w:t>公顷，其中塔基永久占地</w:t>
            </w:r>
            <w:r>
              <w:rPr>
                <w:rFonts w:hint="eastAsia" w:ascii="Times New Roman" w:hAnsi="Times New Roman"/>
                <w:color w:val="auto"/>
                <w:sz w:val="24"/>
                <w:szCs w:val="24"/>
              </w:rPr>
              <w:t>0.02445</w:t>
            </w:r>
            <w:r>
              <w:rPr>
                <w:rFonts w:ascii="Times New Roman" w:hAnsi="Times New Roman"/>
                <w:color w:val="auto"/>
                <w:sz w:val="24"/>
                <w:szCs w:val="24"/>
              </w:rPr>
              <w:t>公顷，临时占地</w:t>
            </w:r>
            <w:r>
              <w:rPr>
                <w:rFonts w:hint="eastAsia" w:ascii="Times New Roman" w:hAnsi="Times New Roman"/>
                <w:color w:val="auto"/>
                <w:sz w:val="24"/>
                <w:szCs w:val="24"/>
              </w:rPr>
              <w:t>0.14205</w:t>
            </w:r>
            <w:r>
              <w:rPr>
                <w:rFonts w:ascii="Times New Roman" w:hAnsi="Times New Roman"/>
                <w:color w:val="auto"/>
                <w:sz w:val="24"/>
                <w:szCs w:val="24"/>
              </w:rPr>
              <w:t>公顷。其中塔基N19、N43、N44、N45、N46、N56共6个塔基占用省级公益林，面积约为</w:t>
            </w:r>
            <w:r>
              <w:rPr>
                <w:rFonts w:hint="eastAsia" w:ascii="Times New Roman" w:hAnsi="Times New Roman"/>
                <w:color w:val="auto"/>
                <w:sz w:val="24"/>
                <w:szCs w:val="24"/>
              </w:rPr>
              <w:t>0.02445</w:t>
            </w:r>
            <w:r>
              <w:rPr>
                <w:rFonts w:ascii="Times New Roman" w:hAnsi="Times New Roman"/>
                <w:color w:val="auto"/>
                <w:sz w:val="24"/>
                <w:szCs w:val="24"/>
              </w:rPr>
              <w:t>公顷，主要功能为水土保持。临时占地主要为施工便道、人抬道路等。</w:t>
            </w:r>
          </w:p>
          <w:p w14:paraId="3719A2F3">
            <w:pPr>
              <w:pStyle w:val="9"/>
              <w:widowControl w:val="0"/>
              <w:adjustRightInd w:val="0"/>
              <w:snapToGrid w:val="0"/>
              <w:spacing w:line="440" w:lineRule="exact"/>
              <w:ind w:firstLine="480" w:firstLineChars="200"/>
              <w:jc w:val="both"/>
              <w:rPr>
                <w:rFonts w:ascii="Times New Roman" w:hAnsi="Times New Roman"/>
                <w:color w:val="auto"/>
                <w:szCs w:val="24"/>
              </w:rPr>
            </w:pPr>
            <w:r>
              <w:rPr>
                <w:rFonts w:ascii="Times New Roman" w:hAnsi="Times New Roman"/>
                <w:color w:val="auto"/>
                <w:szCs w:val="24"/>
              </w:rPr>
              <w:t>公益林内项目临时占地为塔基施工区，不在公益林内</w:t>
            </w:r>
            <w:r>
              <w:rPr>
                <w:rFonts w:hint="eastAsia" w:ascii="Times New Roman" w:hAnsi="Times New Roman"/>
                <w:color w:val="auto"/>
                <w:szCs w:val="24"/>
              </w:rPr>
              <w:t>设置</w:t>
            </w:r>
            <w:r>
              <w:rPr>
                <w:rFonts w:ascii="Times New Roman" w:hAnsi="Times New Roman"/>
                <w:color w:val="auto"/>
                <w:szCs w:val="24"/>
              </w:rPr>
              <w:t>施工营地、取弃土场、材料站、牵张场等临时设施，占地需清除塔基施工区域地表植被，新建人抬道路一般选择林间空地或林分较差的林地行走运输，线路架设采用无人机展放线，施工临时占地对植被的破坏面积较小，施工结束后及时选择当地植物种类进行植被恢复，基本不影响区公益林内临时占地区的植物种类。</w:t>
            </w:r>
          </w:p>
          <w:p w14:paraId="6D8D168C">
            <w:pPr>
              <w:pStyle w:val="9"/>
              <w:widowControl w:val="0"/>
              <w:adjustRightInd w:val="0"/>
              <w:snapToGrid w:val="0"/>
              <w:spacing w:line="440" w:lineRule="exact"/>
              <w:ind w:firstLine="480" w:firstLineChars="200"/>
              <w:jc w:val="both"/>
              <w:rPr>
                <w:rFonts w:ascii="Times New Roman" w:hAnsi="Times New Roman"/>
                <w:color w:val="auto"/>
                <w:szCs w:val="24"/>
              </w:rPr>
            </w:pPr>
            <w:r>
              <w:rPr>
                <w:rFonts w:ascii="Times New Roman" w:hAnsi="Times New Roman"/>
                <w:color w:val="auto"/>
                <w:szCs w:val="24"/>
              </w:rPr>
              <w:t>因此，虽然项目临时占地会破坏部分植物，可能会对植物数量产生一定的影响，但是一般在施工结束后即可恢复，对公益林的影响很小。</w:t>
            </w:r>
          </w:p>
          <w:p w14:paraId="58A6E3A2">
            <w:pPr>
              <w:pStyle w:val="9"/>
              <w:widowControl w:val="0"/>
              <w:adjustRightInd w:val="0"/>
              <w:snapToGrid w:val="0"/>
              <w:spacing w:line="440" w:lineRule="exact"/>
              <w:ind w:firstLine="480" w:firstLineChars="200"/>
              <w:jc w:val="both"/>
              <w:rPr>
                <w:rFonts w:ascii="Times New Roman" w:hAnsi="Times New Roman"/>
                <w:color w:val="auto"/>
                <w:szCs w:val="24"/>
              </w:rPr>
            </w:pPr>
            <w:r>
              <w:rPr>
                <w:rFonts w:ascii="Times New Roman" w:hAnsi="Times New Roman"/>
                <w:color w:val="auto"/>
                <w:szCs w:val="24"/>
              </w:rPr>
              <w:t>项目涉及生态公益林的主要生态功能为水土保持，项目占用面积占会泽县生态公益林总面积比例均较小，不会损害公益林主导生态功能的持续发挥，对其整体生态服务能力影响不大，但需按林业部门管理要求，办理相关手续，按照《云南省公益林管理办法》（云林规〔2019〕2号）的相关规定，目前，建设单位正在办理林业手续，合法使用林地。因此，项目的建设符合现行国家和地方公益林管控要求，对区域</w:t>
            </w:r>
            <w:r>
              <w:rPr>
                <w:rFonts w:hint="eastAsia" w:ascii="Times New Roman" w:hAnsi="Times New Roman"/>
                <w:color w:val="auto"/>
                <w:szCs w:val="24"/>
              </w:rPr>
              <w:t>生</w:t>
            </w:r>
            <w:r>
              <w:rPr>
                <w:rFonts w:ascii="Times New Roman" w:hAnsi="Times New Roman"/>
                <w:color w:val="auto"/>
                <w:szCs w:val="24"/>
              </w:rPr>
              <w:t>态公益林需要采取补偿措施以降低影响。</w:t>
            </w:r>
          </w:p>
          <w:p w14:paraId="1577918D">
            <w:pPr>
              <w:pStyle w:val="4"/>
              <w:numPr>
                <w:ilvl w:val="1"/>
                <w:numId w:val="0"/>
              </w:numPr>
              <w:adjustRightInd w:val="0"/>
              <w:snapToGrid w:val="0"/>
              <w:spacing w:line="440" w:lineRule="exact"/>
              <w:ind w:firstLine="482" w:firstLineChars="200"/>
              <w:rPr>
                <w:rFonts w:ascii="Times New Roman" w:hAnsi="Times New Roman"/>
                <w:color w:val="auto"/>
              </w:rPr>
            </w:pPr>
            <w:r>
              <w:rPr>
                <w:rFonts w:hint="eastAsia" w:ascii="Times New Roman" w:hAnsi="Times New Roman"/>
                <w:color w:val="auto"/>
              </w:rPr>
              <w:t>（10）</w:t>
            </w:r>
            <w:r>
              <w:rPr>
                <w:rFonts w:ascii="Times New Roman" w:hAnsi="Times New Roman"/>
                <w:color w:val="auto"/>
              </w:rPr>
              <w:t>对永久基本农田影响</w:t>
            </w:r>
          </w:p>
          <w:p w14:paraId="27177D94">
            <w:pPr>
              <w:widowControl/>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根据会泽县自然资源局意见，</w:t>
            </w:r>
            <w:r>
              <w:rPr>
                <w:rFonts w:ascii="Times New Roman" w:hAnsi="Times New Roman"/>
                <w:color w:val="auto"/>
                <w:sz w:val="24"/>
                <w:szCs w:val="24"/>
              </w:rPr>
              <w:t>项目塔基N36、N58、N59涉及占用永久基本农田，</w:t>
            </w:r>
            <w:r>
              <w:rPr>
                <w:rFonts w:hint="eastAsia" w:ascii="Times New Roman" w:hAnsi="Times New Roman"/>
                <w:color w:val="auto"/>
                <w:sz w:val="24"/>
                <w:szCs w:val="24"/>
              </w:rPr>
              <w:t>占用面积237.56m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w:t>
            </w:r>
            <w:r>
              <w:rPr>
                <w:rFonts w:ascii="Times New Roman" w:hAnsi="Times New Roman"/>
                <w:color w:val="auto"/>
                <w:sz w:val="24"/>
                <w:szCs w:val="24"/>
              </w:rPr>
              <w:t>项目塔基N17-N18输电线路138m、N19-N20输电线路159m、N24-N25输电线路97m、N33-N34输电线路131m、N18-N19输电线路77m、N7-N8输电线路451m、N11-N12输电线路124m、N32-N33输电线路101m、N35-N36输电线路88m、N36-N37输电线路38m、N42-N43输电线路9m、N57-N61输电线路726m上跨永久基本农田。</w:t>
            </w:r>
          </w:p>
          <w:p w14:paraId="4B3968D0">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color w:val="auto"/>
                <w:sz w:val="24"/>
                <w:szCs w:val="24"/>
              </w:rPr>
              <w:t>本项目塔基施工时，设计施工方案为人员从永久基本农田区域外绕行至塔基位置实施掏挖基坑和组立铁塔，使用无人机架设牵引绳牵引导线、牵张工艺拉紧导线的施工工艺，不在永久基本农田范围内设置牵张场、施工营地、施工道路等施工场地，在永久基本农田内无人为活动，无临时占地和永久占地，项目建设和运营对评价区范围内的基本农田影响较小。</w:t>
            </w:r>
          </w:p>
          <w:p w14:paraId="7476C96D">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总之，从生态影响的角度看，本工程建设和运行对区域生态环境影响不大，在可以接受的范围内。</w:t>
            </w:r>
          </w:p>
          <w:p w14:paraId="0C1A60F3">
            <w:pPr>
              <w:pStyle w:val="51"/>
              <w:adjustRightInd w:val="0"/>
              <w:snapToGrid w:val="0"/>
              <w:spacing w:line="440" w:lineRule="exact"/>
              <w:jc w:val="both"/>
              <w:rPr>
                <w:rFonts w:ascii="Times New Roman" w:hAnsi="Times New Roman" w:cs="Times New Roman"/>
                <w:b/>
                <w:color w:val="auto"/>
                <w:sz w:val="24"/>
              </w:rPr>
            </w:pPr>
            <w:r>
              <w:rPr>
                <w:rFonts w:ascii="Times New Roman" w:hAnsi="Times New Roman" w:cs="Times New Roman"/>
                <w:b/>
                <w:color w:val="auto"/>
                <w:sz w:val="24"/>
              </w:rPr>
              <w:t>4.1.3环境空气影响分析</w:t>
            </w:r>
          </w:p>
          <w:p w14:paraId="6B05F19D">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施工扬尘主要</w:t>
            </w:r>
            <w:r>
              <w:rPr>
                <w:rFonts w:hint="eastAsia" w:ascii="Times New Roman" w:hAnsi="Times New Roman" w:cs="Times New Roman"/>
                <w:color w:val="auto"/>
                <w:sz w:val="24"/>
              </w:rPr>
              <w:t>来自</w:t>
            </w:r>
            <w:r>
              <w:rPr>
                <w:rFonts w:ascii="Times New Roman" w:hAnsi="Times New Roman" w:cs="Times New Roman"/>
                <w:color w:val="auto"/>
                <w:sz w:val="24"/>
              </w:rPr>
              <w:t>项目输电线路塔基在施工中的土方挖掘、建筑装修材料的运输装卸、施工现场内车辆行驶时道路扬尘、尾气等。扬尘产生量取决于施工强度、地面扬尘量和气象条件等因素，影响区</w:t>
            </w:r>
            <w:r>
              <w:rPr>
                <w:rFonts w:ascii="Times New Roman" w:hAnsi="Times New Roman" w:cs="Times New Roman"/>
                <w:color w:val="auto"/>
                <w:spacing w:val="-4"/>
                <w:sz w:val="24"/>
              </w:rPr>
              <w:t>域主要集中在施工区域周围</w:t>
            </w:r>
            <w:r>
              <w:rPr>
                <w:rFonts w:ascii="Times New Roman" w:hAnsi="Times New Roman" w:cs="Times New Roman"/>
                <w:color w:val="auto"/>
                <w:sz w:val="24"/>
              </w:rPr>
              <w:t>100m范围内，影响程度下风向大于上风向。</w:t>
            </w:r>
          </w:p>
          <w:p w14:paraId="5E12FBBC">
            <w:pPr>
              <w:pStyle w:val="51"/>
              <w:adjustRightInd w:val="0"/>
              <w:snapToGrid w:val="0"/>
              <w:spacing w:line="440" w:lineRule="exact"/>
              <w:ind w:firstLine="482" w:firstLineChars="200"/>
              <w:jc w:val="both"/>
              <w:rPr>
                <w:rFonts w:ascii="Times New Roman" w:hAnsi="Times New Roman" w:cs="Times New Roman"/>
                <w:b/>
                <w:bCs/>
                <w:color w:val="auto"/>
                <w:sz w:val="24"/>
              </w:rPr>
            </w:pPr>
            <w:r>
              <w:rPr>
                <w:rFonts w:ascii="Times New Roman" w:hAnsi="Times New Roman" w:cs="Times New Roman"/>
                <w:b/>
                <w:bCs/>
                <w:color w:val="auto"/>
                <w:sz w:val="24"/>
              </w:rPr>
              <w:t>（1）施工扬尘</w:t>
            </w:r>
          </w:p>
          <w:p w14:paraId="19504420">
            <w:pPr>
              <w:pStyle w:val="51"/>
              <w:adjustRightInd w:val="0"/>
              <w:snapToGrid w:val="0"/>
              <w:spacing w:line="440" w:lineRule="exact"/>
              <w:ind w:firstLine="480" w:firstLineChars="200"/>
              <w:jc w:val="both"/>
              <w:rPr>
                <w:rFonts w:ascii="Times New Roman" w:hAnsi="Times New Roman" w:cs="Times New Roman"/>
                <w:b/>
                <w:bCs/>
                <w:color w:val="auto"/>
                <w:sz w:val="24"/>
              </w:rPr>
            </w:pPr>
            <w:r>
              <w:rPr>
                <w:rFonts w:ascii="Times New Roman" w:hAnsi="Times New Roman" w:cs="Times New Roman"/>
                <w:color w:val="auto"/>
                <w:sz w:val="24"/>
              </w:rPr>
              <w:t>线路工程材料进场、杆塔基础开挖、土石方运输过程中产生的扬尘对线路周围及途经道路局部空气质量造成影响，线路塔基施工扬尘影响主要集中在塔基施工区，但由于线路施工时间较短，塔基施工点较为分散且土石方开挖量小，离居民区较远，通过拦挡、苫盖、洒水等施工管理措施可以有效减小线路施工产生的扬尘影响，对周围大气环境影响不大。</w:t>
            </w:r>
          </w:p>
          <w:p w14:paraId="37523786">
            <w:pPr>
              <w:pStyle w:val="51"/>
              <w:adjustRightInd w:val="0"/>
              <w:snapToGrid w:val="0"/>
              <w:spacing w:line="440" w:lineRule="exact"/>
              <w:ind w:firstLine="482" w:firstLineChars="200"/>
              <w:jc w:val="both"/>
              <w:rPr>
                <w:rFonts w:ascii="Times New Roman" w:hAnsi="Times New Roman" w:cs="Times New Roman"/>
                <w:b/>
                <w:bCs/>
                <w:color w:val="auto"/>
                <w:sz w:val="24"/>
              </w:rPr>
            </w:pPr>
            <w:r>
              <w:rPr>
                <w:rFonts w:hint="eastAsia" w:ascii="Times New Roman" w:hAnsi="Times New Roman" w:cs="Times New Roman"/>
                <w:b/>
                <w:bCs/>
                <w:color w:val="auto"/>
                <w:sz w:val="24"/>
              </w:rPr>
              <w:t>（2）运输车辆、施工机械产生的废气</w:t>
            </w:r>
          </w:p>
          <w:p w14:paraId="6828D67C">
            <w:pPr>
              <w:pStyle w:val="51"/>
              <w:adjustRightInd w:val="0"/>
              <w:snapToGrid w:val="0"/>
              <w:spacing w:line="440" w:lineRule="exact"/>
              <w:ind w:firstLine="480" w:firstLineChars="200"/>
              <w:jc w:val="both"/>
              <w:rPr>
                <w:rFonts w:ascii="Times New Roman" w:hAnsi="Times New Roman" w:cs="Times New Roman"/>
                <w:color w:val="auto"/>
                <w:sz w:val="24"/>
              </w:rPr>
            </w:pPr>
            <w:r>
              <w:rPr>
                <w:rFonts w:hint="eastAsia" w:ascii="Times New Roman" w:hAnsi="Times New Roman" w:cs="Times New Roman"/>
                <w:color w:val="auto"/>
                <w:sz w:val="24"/>
              </w:rPr>
              <w:t>运输车辆、施工机械产生的废气主要来源于运输车辆及其它燃油机械施工时产生的尾气，其中的污染物主要有NOx、CO及CHx等。施工期间的废气为无组织间断排放，会对环境空气造成一定影响。</w:t>
            </w:r>
          </w:p>
          <w:p w14:paraId="01B945D7">
            <w:pPr>
              <w:pStyle w:val="51"/>
              <w:adjustRightInd w:val="0"/>
              <w:snapToGrid w:val="0"/>
              <w:spacing w:line="440" w:lineRule="exact"/>
              <w:ind w:firstLine="480" w:firstLineChars="200"/>
              <w:jc w:val="both"/>
              <w:rPr>
                <w:rFonts w:ascii="Times New Roman" w:hAnsi="Times New Roman" w:cs="Times New Roman"/>
                <w:color w:val="auto"/>
                <w:sz w:val="24"/>
              </w:rPr>
            </w:pPr>
            <w:r>
              <w:rPr>
                <w:rFonts w:hint="eastAsia" w:ascii="Times New Roman" w:hAnsi="Times New Roman" w:cs="Times New Roman"/>
                <w:color w:val="auto"/>
                <w:sz w:val="24"/>
              </w:rPr>
              <w:t>施工期对空气环境的影响和施工活动紧密相关，施工活动结束后影响就不再延续，属于短期和非连续性的影响，且其影响不具有累积性。</w:t>
            </w:r>
          </w:p>
          <w:p w14:paraId="3BB90712">
            <w:pPr>
              <w:pStyle w:val="51"/>
              <w:adjustRightInd w:val="0"/>
              <w:snapToGrid w:val="0"/>
              <w:spacing w:line="440" w:lineRule="exact"/>
              <w:jc w:val="both"/>
              <w:rPr>
                <w:rFonts w:ascii="Times New Roman" w:hAnsi="Times New Roman" w:cs="Times New Roman"/>
                <w:b/>
                <w:color w:val="auto"/>
                <w:sz w:val="24"/>
              </w:rPr>
            </w:pPr>
            <w:r>
              <w:rPr>
                <w:rFonts w:ascii="Times New Roman" w:hAnsi="Times New Roman" w:cs="Times New Roman"/>
                <w:b/>
                <w:color w:val="auto"/>
                <w:sz w:val="24"/>
              </w:rPr>
              <w:t>4.1.4</w:t>
            </w:r>
            <w:r>
              <w:rPr>
                <w:rFonts w:hint="eastAsia" w:ascii="Times New Roman" w:hAnsi="Times New Roman" w:cs="Times New Roman"/>
                <w:b/>
                <w:color w:val="auto"/>
                <w:sz w:val="24"/>
              </w:rPr>
              <w:t xml:space="preserve"> </w:t>
            </w:r>
            <w:r>
              <w:rPr>
                <w:rFonts w:ascii="Times New Roman" w:hAnsi="Times New Roman" w:cs="Times New Roman"/>
                <w:b/>
                <w:color w:val="auto"/>
                <w:sz w:val="24"/>
              </w:rPr>
              <w:t>施工废水影响分析</w:t>
            </w:r>
          </w:p>
          <w:p w14:paraId="44511FB3">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项目废水主要来源于施工人员日常生活产生的污水及施工废水。施工废水主要为雨水冲刷施工场地形成的高浊度雨水；因施工时间较短，土石方工程量小，施工机械设备不需清洗，无清洗废水</w:t>
            </w:r>
            <w:r>
              <w:rPr>
                <w:rFonts w:hint="eastAsia" w:ascii="Times New Roman" w:hAnsi="Times New Roman" w:cs="Times New Roman"/>
                <w:color w:val="auto"/>
                <w:sz w:val="24"/>
              </w:rPr>
              <w:t>产生</w:t>
            </w:r>
            <w:r>
              <w:rPr>
                <w:rFonts w:ascii="Times New Roman" w:hAnsi="Times New Roman" w:cs="Times New Roman"/>
                <w:color w:val="auto"/>
                <w:sz w:val="24"/>
              </w:rPr>
              <w:t>；工程所需混凝土</w:t>
            </w:r>
            <w:r>
              <w:rPr>
                <w:rFonts w:hint="eastAsia" w:ascii="Times New Roman" w:hAnsi="Times New Roman" w:cs="Times New Roman"/>
                <w:color w:val="auto"/>
                <w:sz w:val="24"/>
              </w:rPr>
              <w:t>主要</w:t>
            </w:r>
            <w:r>
              <w:rPr>
                <w:rFonts w:ascii="Times New Roman" w:hAnsi="Times New Roman" w:cs="Times New Roman"/>
                <w:color w:val="auto"/>
                <w:sz w:val="24"/>
              </w:rPr>
              <w:t>采用外购商品混凝土和部分塔基现场人工拌和，基本不产生混凝土拌和废水</w:t>
            </w:r>
            <w:r>
              <w:rPr>
                <w:rFonts w:hint="eastAsia" w:ascii="Times New Roman" w:hAnsi="Times New Roman" w:cs="Times New Roman"/>
                <w:color w:val="auto"/>
                <w:sz w:val="24"/>
              </w:rPr>
              <w:t>，有少量养护废水</w:t>
            </w:r>
            <w:r>
              <w:rPr>
                <w:rFonts w:ascii="Times New Roman" w:hAnsi="Times New Roman" w:cs="Times New Roman"/>
                <w:color w:val="auto"/>
                <w:sz w:val="24"/>
              </w:rPr>
              <w:t>。</w:t>
            </w:r>
          </w:p>
          <w:p w14:paraId="7739DE8E">
            <w:pPr>
              <w:pStyle w:val="51"/>
              <w:adjustRightInd w:val="0"/>
              <w:snapToGrid w:val="0"/>
              <w:spacing w:line="440" w:lineRule="exact"/>
              <w:ind w:firstLine="482" w:firstLineChars="200"/>
              <w:jc w:val="both"/>
              <w:rPr>
                <w:rFonts w:ascii="Times New Roman" w:hAnsi="Times New Roman" w:cs="Times New Roman"/>
                <w:b/>
                <w:bCs/>
                <w:color w:val="auto"/>
                <w:spacing w:val="-9"/>
                <w:sz w:val="24"/>
              </w:rPr>
            </w:pPr>
            <w:r>
              <w:rPr>
                <w:rFonts w:ascii="Times New Roman" w:hAnsi="Times New Roman" w:cs="Times New Roman"/>
                <w:b/>
                <w:bCs/>
                <w:color w:val="auto"/>
                <w:sz w:val="24"/>
              </w:rPr>
              <w:t>（1）</w:t>
            </w:r>
            <w:r>
              <w:rPr>
                <w:rFonts w:ascii="Times New Roman" w:hAnsi="Times New Roman" w:cs="Times New Roman"/>
                <w:b/>
                <w:bCs/>
                <w:color w:val="auto"/>
                <w:spacing w:val="-9"/>
                <w:sz w:val="24"/>
              </w:rPr>
              <w:t>施工生活废水影响分析</w:t>
            </w:r>
          </w:p>
          <w:p w14:paraId="021BE733">
            <w:pPr>
              <w:pStyle w:val="51"/>
              <w:adjustRightInd w:val="0"/>
              <w:snapToGrid w:val="0"/>
              <w:spacing w:line="440" w:lineRule="exact"/>
              <w:ind w:firstLine="464" w:firstLineChars="200"/>
              <w:jc w:val="both"/>
              <w:rPr>
                <w:rFonts w:ascii="Times New Roman" w:hAnsi="Times New Roman" w:cs="Times New Roman"/>
                <w:color w:val="auto"/>
                <w:sz w:val="24"/>
              </w:rPr>
            </w:pPr>
            <w:r>
              <w:rPr>
                <w:rFonts w:ascii="Times New Roman" w:hAnsi="Times New Roman" w:cs="Times New Roman"/>
                <w:color w:val="auto"/>
                <w:spacing w:val="-4"/>
                <w:sz w:val="24"/>
              </w:rPr>
              <w:t>输电线路平均每天安排施工人员</w:t>
            </w:r>
            <w:r>
              <w:rPr>
                <w:rFonts w:hint="eastAsia" w:ascii="Times New Roman" w:hAnsi="Times New Roman" w:cs="Times New Roman"/>
                <w:color w:val="auto"/>
                <w:spacing w:val="-4"/>
                <w:sz w:val="24"/>
              </w:rPr>
              <w:t>3</w:t>
            </w:r>
            <w:r>
              <w:rPr>
                <w:rFonts w:hint="eastAsia" w:ascii="Times New Roman" w:hAnsi="Times New Roman" w:cs="Times New Roman"/>
                <w:color w:val="auto"/>
                <w:sz w:val="24"/>
              </w:rPr>
              <w:t>0</w:t>
            </w:r>
            <w:r>
              <w:rPr>
                <w:rFonts w:ascii="Times New Roman" w:hAnsi="Times New Roman" w:cs="Times New Roman"/>
                <w:color w:val="auto"/>
                <w:spacing w:val="-11"/>
                <w:sz w:val="24"/>
              </w:rPr>
              <w:t>人，不设施工营地。施工人员产生的</w:t>
            </w:r>
            <w:r>
              <w:rPr>
                <w:rFonts w:ascii="Times New Roman" w:hAnsi="Times New Roman" w:cs="Times New Roman"/>
                <w:color w:val="auto"/>
                <w:sz w:val="24"/>
              </w:rPr>
              <w:t>生活污水呈点状分布不集中，产生量很小，依托附近村庄居民生活污水设施处理，</w:t>
            </w:r>
            <w:r>
              <w:rPr>
                <w:rFonts w:ascii="Times New Roman" w:hAnsi="Times New Roman" w:cs="Times New Roman"/>
                <w:color w:val="auto"/>
                <w:sz w:val="24"/>
                <w:szCs w:val="24"/>
              </w:rPr>
              <w:t>不会对项目周围地表水构成污染影响。</w:t>
            </w:r>
            <w:r>
              <w:rPr>
                <w:rFonts w:ascii="Times New Roman" w:hAnsi="Times New Roman" w:cs="Times New Roman"/>
                <w:color w:val="auto"/>
                <w:sz w:val="24"/>
              </w:rPr>
              <w:t>施工废污水随着施工的结束而结束，对周</w:t>
            </w:r>
            <w:r>
              <w:rPr>
                <w:rFonts w:hint="eastAsia" w:ascii="Times New Roman" w:hAnsi="Times New Roman" w:cs="Times New Roman"/>
                <w:color w:val="auto"/>
                <w:sz w:val="24"/>
              </w:rPr>
              <w:t>边影</w:t>
            </w:r>
            <w:r>
              <w:rPr>
                <w:rFonts w:ascii="Times New Roman" w:hAnsi="Times New Roman" w:cs="Times New Roman"/>
                <w:color w:val="auto"/>
                <w:sz w:val="24"/>
              </w:rPr>
              <w:t>响较小且较为短暂。</w:t>
            </w:r>
          </w:p>
          <w:p w14:paraId="03813B84">
            <w:pPr>
              <w:pStyle w:val="51"/>
              <w:adjustRightInd w:val="0"/>
              <w:snapToGrid w:val="0"/>
              <w:spacing w:line="440" w:lineRule="exact"/>
              <w:ind w:firstLine="482" w:firstLineChars="200"/>
              <w:jc w:val="both"/>
              <w:rPr>
                <w:rFonts w:ascii="Times New Roman" w:hAnsi="Times New Roman" w:cs="Times New Roman"/>
                <w:b/>
                <w:bCs/>
                <w:color w:val="auto"/>
                <w:sz w:val="24"/>
              </w:rPr>
            </w:pPr>
            <w:r>
              <w:rPr>
                <w:rFonts w:ascii="Times New Roman" w:hAnsi="Times New Roman" w:cs="Times New Roman"/>
                <w:b/>
                <w:bCs/>
                <w:color w:val="auto"/>
                <w:sz w:val="24"/>
              </w:rPr>
              <w:t>（2）施工废水影响分析</w:t>
            </w:r>
          </w:p>
          <w:p w14:paraId="0FD4DBF9">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新建线路坡地塔基施工前修建挡土墙、护坡、临时截排水沟及临时沉砂池，平地塔基施工前修建临时截排水沟和临时沉砂池，处理场地平整、雨水冲刷</w:t>
            </w:r>
            <w:r>
              <w:rPr>
                <w:rFonts w:hint="eastAsia" w:ascii="Times New Roman" w:hAnsi="Times New Roman" w:cs="Times New Roman"/>
                <w:color w:val="auto"/>
                <w:sz w:val="24"/>
              </w:rPr>
              <w:t>、混凝土养护</w:t>
            </w:r>
            <w:r>
              <w:rPr>
                <w:rFonts w:ascii="Times New Roman" w:hAnsi="Times New Roman" w:cs="Times New Roman"/>
                <w:color w:val="auto"/>
                <w:sz w:val="24"/>
              </w:rPr>
              <w:t>形成的废水。项目新建线路杆塔处采用现场人工拌和混凝土，基本上无生产废水产生</w:t>
            </w:r>
            <w:r>
              <w:rPr>
                <w:rFonts w:hint="eastAsia" w:ascii="Times New Roman" w:hAnsi="Times New Roman" w:cs="Times New Roman"/>
                <w:color w:val="auto"/>
                <w:sz w:val="24"/>
              </w:rPr>
              <w:t>，有少量养护废水，</w:t>
            </w:r>
            <w:r>
              <w:rPr>
                <w:rFonts w:ascii="Times New Roman" w:hAnsi="Times New Roman" w:cs="Times New Roman"/>
                <w:color w:val="auto"/>
                <w:sz w:val="24"/>
              </w:rPr>
              <w:t>施工废水污染物为泥沙、水泥等悬浮物，浓度一般为500～2000mg/L。施工废水</w:t>
            </w:r>
            <w:r>
              <w:rPr>
                <w:rFonts w:hint="eastAsia" w:ascii="Times New Roman" w:hAnsi="Times New Roman" w:cs="Times New Roman"/>
                <w:color w:val="auto"/>
                <w:sz w:val="24"/>
              </w:rPr>
              <w:t>经临时沉砂池处理后</w:t>
            </w:r>
            <w:r>
              <w:rPr>
                <w:rFonts w:ascii="Times New Roman" w:hAnsi="Times New Roman" w:cs="Times New Roman"/>
                <w:color w:val="auto"/>
                <w:sz w:val="24"/>
              </w:rPr>
              <w:t>直接回用于场内施工过程、场地洒水降尘等施工环节，不外排。</w:t>
            </w:r>
          </w:p>
          <w:p w14:paraId="74079F95">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线路施工人员可租赁周边居民空闲房屋，其生活污水可利用租赁户家中的旱厕或化粪池进行处理后用于堆肥或纳入当地污水处理系统。施工废污水随着施工的结束而结束，对周边</w:t>
            </w:r>
            <w:r>
              <w:rPr>
                <w:rFonts w:hint="eastAsia" w:ascii="Times New Roman" w:hAnsi="Times New Roman" w:cs="Times New Roman"/>
                <w:color w:val="auto"/>
                <w:sz w:val="24"/>
              </w:rPr>
              <w:t>影响</w:t>
            </w:r>
            <w:r>
              <w:rPr>
                <w:rFonts w:ascii="Times New Roman" w:hAnsi="Times New Roman" w:cs="Times New Roman"/>
                <w:color w:val="auto"/>
                <w:sz w:val="24"/>
              </w:rPr>
              <w:t>较小且较为短暂。</w:t>
            </w:r>
          </w:p>
          <w:p w14:paraId="63821AA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rPr>
              <w:t>另外，</w:t>
            </w:r>
            <w:r>
              <w:rPr>
                <w:rFonts w:ascii="Times New Roman" w:hAnsi="Times New Roman"/>
                <w:color w:val="auto"/>
                <w:sz w:val="24"/>
                <w:szCs w:val="24"/>
              </w:rPr>
              <w:t>输电线路跨越</w:t>
            </w:r>
            <w:r>
              <w:rPr>
                <w:rFonts w:hint="eastAsia" w:ascii="Times New Roman" w:hAnsi="Times New Roman"/>
                <w:color w:val="auto"/>
                <w:sz w:val="24"/>
                <w:szCs w:val="24"/>
              </w:rPr>
              <w:t>地表河流</w:t>
            </w:r>
            <w:r>
              <w:rPr>
                <w:rFonts w:ascii="Times New Roman" w:hAnsi="Times New Roman"/>
                <w:color w:val="auto"/>
                <w:sz w:val="24"/>
                <w:szCs w:val="24"/>
              </w:rPr>
              <w:t>。为保护沿线水体水质，在河沿线不设施工营地，文明施工，不乱捕捞，强化施工队伍管理，施工废水需经沉淀处理后回用，严禁随意排放。</w:t>
            </w:r>
          </w:p>
          <w:p w14:paraId="1145D3D6">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综上，在采取措施后，</w:t>
            </w:r>
            <w:r>
              <w:rPr>
                <w:rFonts w:ascii="Times New Roman" w:hAnsi="Times New Roman"/>
                <w:color w:val="auto"/>
                <w:sz w:val="24"/>
                <w:szCs w:val="24"/>
              </w:rPr>
              <w:t>项目施工对地表水</w:t>
            </w:r>
            <w:r>
              <w:rPr>
                <w:rFonts w:hint="eastAsia" w:ascii="Times New Roman" w:hAnsi="Times New Roman"/>
                <w:color w:val="auto"/>
                <w:sz w:val="24"/>
                <w:szCs w:val="24"/>
              </w:rPr>
              <w:t>环境</w:t>
            </w:r>
            <w:r>
              <w:rPr>
                <w:rFonts w:ascii="Times New Roman" w:hAnsi="Times New Roman"/>
                <w:color w:val="auto"/>
                <w:sz w:val="24"/>
                <w:szCs w:val="24"/>
              </w:rPr>
              <w:t>的影响</w:t>
            </w:r>
            <w:r>
              <w:rPr>
                <w:rFonts w:hint="eastAsia" w:ascii="Times New Roman" w:hAnsi="Times New Roman"/>
                <w:color w:val="auto"/>
                <w:sz w:val="24"/>
                <w:szCs w:val="24"/>
              </w:rPr>
              <w:t>可接受</w:t>
            </w:r>
            <w:r>
              <w:rPr>
                <w:rFonts w:ascii="Times New Roman" w:hAnsi="Times New Roman"/>
                <w:color w:val="auto"/>
                <w:sz w:val="24"/>
                <w:szCs w:val="24"/>
              </w:rPr>
              <w:t>。</w:t>
            </w:r>
          </w:p>
          <w:p w14:paraId="3EDC77AF">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4.1.5固体废物影响分析</w:t>
            </w:r>
          </w:p>
          <w:p w14:paraId="2AE83E3B">
            <w:pPr>
              <w:pStyle w:val="51"/>
              <w:adjustRightInd w:val="0"/>
              <w:snapToGrid w:val="0"/>
              <w:spacing w:line="440" w:lineRule="exact"/>
              <w:ind w:firstLine="464" w:firstLineChars="200"/>
              <w:jc w:val="both"/>
              <w:rPr>
                <w:rFonts w:ascii="Times New Roman" w:hAnsi="Times New Roman" w:cs="Times New Roman"/>
                <w:color w:val="auto"/>
                <w:spacing w:val="-4"/>
                <w:sz w:val="24"/>
              </w:rPr>
            </w:pPr>
            <w:r>
              <w:rPr>
                <w:rFonts w:ascii="Times New Roman" w:hAnsi="Times New Roman" w:cs="Times New Roman"/>
                <w:color w:val="auto"/>
                <w:spacing w:val="-4"/>
                <w:sz w:val="24"/>
              </w:rPr>
              <w:t>施工期产生的固体废弃物主要为建设过程中产生的建筑垃圾、施工弃土、生活垃圾等。</w:t>
            </w:r>
          </w:p>
          <w:p w14:paraId="2AA8261E">
            <w:pPr>
              <w:pStyle w:val="51"/>
              <w:adjustRightInd w:val="0"/>
              <w:snapToGrid w:val="0"/>
              <w:spacing w:line="440" w:lineRule="exact"/>
              <w:ind w:firstLine="464" w:firstLineChars="200"/>
              <w:jc w:val="both"/>
              <w:rPr>
                <w:rFonts w:ascii="Times New Roman" w:hAnsi="Times New Roman" w:cs="Times New Roman"/>
                <w:color w:val="auto"/>
                <w:spacing w:val="-4"/>
                <w:sz w:val="24"/>
              </w:rPr>
            </w:pPr>
            <w:r>
              <w:rPr>
                <w:rFonts w:ascii="Times New Roman" w:hAnsi="Times New Roman" w:cs="Times New Roman"/>
                <w:color w:val="auto"/>
                <w:spacing w:val="-4"/>
                <w:sz w:val="24"/>
              </w:rPr>
              <w:t>（1）施工废弃土石方</w:t>
            </w:r>
          </w:p>
          <w:p w14:paraId="0FCB07B8">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根据《</w:t>
            </w:r>
            <w:r>
              <w:rPr>
                <w:rFonts w:hint="eastAsia" w:ascii="Times New Roman" w:hAnsi="Times New Roman" w:cs="Times New Roman"/>
                <w:color w:val="auto"/>
                <w:sz w:val="24"/>
                <w:szCs w:val="24"/>
              </w:rPr>
              <w:t>六合一至乐业变220kV送出线路工程</w:t>
            </w:r>
            <w:r>
              <w:rPr>
                <w:rFonts w:ascii="Times New Roman" w:hAnsi="Times New Roman" w:cs="Times New Roman"/>
                <w:color w:val="auto"/>
                <w:sz w:val="24"/>
                <w:szCs w:val="24"/>
              </w:rPr>
              <w:t>水土保持方案报告表》，本项目共产生土石方量为10480m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（其中土石方开挖8885m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，表土剥离1595m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），回填土石方量为10480m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（含绿化覆土1595m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），项目区剥离表土1595m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用于后期植被恢复的绿化覆土，临时堆放于塔基施工区内临时堆土点，最终无弃渣产生。</w:t>
            </w:r>
          </w:p>
          <w:p w14:paraId="7AF3E7DF">
            <w:pPr>
              <w:jc w:val="center"/>
              <w:rPr>
                <w:rFonts w:ascii="Times New Roman" w:hAnsi="Times New Roman"/>
                <w:b/>
                <w:bCs/>
                <w:color w:val="auto"/>
                <w:sz w:val="24"/>
                <w:szCs w:val="24"/>
              </w:rPr>
            </w:pPr>
            <w:r>
              <w:rPr>
                <w:rFonts w:ascii="Times New Roman" w:hAnsi="Times New Roman"/>
                <w:b/>
                <w:bCs/>
                <w:color w:val="auto"/>
                <w:sz w:val="24"/>
                <w:szCs w:val="24"/>
                <w:lang w:bidi="ar"/>
              </w:rPr>
              <w:t>表4-</w:t>
            </w:r>
            <w:r>
              <w:rPr>
                <w:rFonts w:hint="eastAsia" w:ascii="Times New Roman" w:hAnsi="Times New Roman"/>
                <w:b/>
                <w:bCs/>
                <w:color w:val="auto"/>
                <w:sz w:val="24"/>
                <w:szCs w:val="24"/>
                <w:lang w:bidi="ar"/>
              </w:rPr>
              <w:t>9</w:t>
            </w:r>
            <w:r>
              <w:rPr>
                <w:rFonts w:ascii="Times New Roman" w:hAnsi="Times New Roman"/>
                <w:b/>
                <w:bCs/>
                <w:color w:val="auto"/>
                <w:sz w:val="24"/>
                <w:szCs w:val="24"/>
                <w:lang w:bidi="ar"/>
              </w:rPr>
              <w:tab/>
            </w:r>
            <w:r>
              <w:rPr>
                <w:rFonts w:ascii="Times New Roman" w:hAnsi="Times New Roman"/>
                <w:b/>
                <w:bCs/>
                <w:color w:val="auto"/>
                <w:sz w:val="24"/>
                <w:szCs w:val="24"/>
                <w:lang w:bidi="ar"/>
              </w:rPr>
              <w:t>土石方平衡及流向表</w:t>
            </w:r>
          </w:p>
          <w:tbl>
            <w:tblPr>
              <w:tblStyle w:val="27"/>
              <w:tblW w:w="5000"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28"/>
              <w:gridCol w:w="674"/>
              <w:gridCol w:w="956"/>
              <w:gridCol w:w="759"/>
              <w:gridCol w:w="887"/>
              <w:gridCol w:w="1014"/>
              <w:gridCol w:w="754"/>
              <w:gridCol w:w="565"/>
              <w:gridCol w:w="565"/>
              <w:gridCol w:w="565"/>
              <w:gridCol w:w="565"/>
            </w:tblGrid>
            <w:tr w14:paraId="20A7EF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68" w:type="pct"/>
                  <w:vMerge w:val="restart"/>
                  <w:tcBorders>
                    <w:tl2br w:val="nil"/>
                    <w:tr2bl w:val="nil"/>
                  </w:tcBorders>
                  <w:noWrap/>
                  <w:vAlign w:val="center"/>
                </w:tcPr>
                <w:p w14:paraId="7A134188">
                  <w:pPr>
                    <w:widowControl/>
                    <w:ind w:firstLine="422"/>
                    <w:jc w:val="center"/>
                    <w:rPr>
                      <w:rFonts w:ascii="Times New Roman" w:hAnsi="Times New Roman"/>
                      <w:b/>
                      <w:bCs/>
                      <w:color w:val="auto"/>
                      <w:kern w:val="0"/>
                      <w:szCs w:val="21"/>
                    </w:rPr>
                  </w:pPr>
                  <w:r>
                    <w:rPr>
                      <w:rFonts w:ascii="Times New Roman" w:hAnsi="Times New Roman"/>
                      <w:b/>
                      <w:bCs/>
                      <w:color w:val="auto"/>
                      <w:kern w:val="0"/>
                      <w:szCs w:val="21"/>
                    </w:rPr>
                    <w:t>分区</w:t>
                  </w:r>
                </w:p>
              </w:tc>
              <w:tc>
                <w:tcPr>
                  <w:tcW w:w="1416" w:type="pct"/>
                  <w:gridSpan w:val="3"/>
                  <w:tcBorders>
                    <w:tl2br w:val="nil"/>
                    <w:tr2bl w:val="nil"/>
                  </w:tcBorders>
                  <w:noWrap/>
                  <w:vAlign w:val="center"/>
                </w:tcPr>
                <w:p w14:paraId="4FC5F16C">
                  <w:pPr>
                    <w:widowControl/>
                    <w:jc w:val="center"/>
                    <w:rPr>
                      <w:rFonts w:ascii="Times New Roman" w:hAnsi="Times New Roman"/>
                      <w:b/>
                      <w:bCs/>
                      <w:color w:val="auto"/>
                      <w:kern w:val="0"/>
                      <w:szCs w:val="21"/>
                    </w:rPr>
                  </w:pPr>
                  <w:r>
                    <w:rPr>
                      <w:rFonts w:ascii="Times New Roman" w:hAnsi="Times New Roman"/>
                      <w:b/>
                      <w:bCs/>
                      <w:color w:val="auto"/>
                      <w:kern w:val="0"/>
                      <w:szCs w:val="21"/>
                    </w:rPr>
                    <w:t>土石方开挖</w:t>
                  </w:r>
                </w:p>
              </w:tc>
              <w:tc>
                <w:tcPr>
                  <w:tcW w:w="1574" w:type="pct"/>
                  <w:gridSpan w:val="3"/>
                  <w:tcBorders>
                    <w:tl2br w:val="nil"/>
                    <w:tr2bl w:val="nil"/>
                  </w:tcBorders>
                  <w:noWrap/>
                  <w:vAlign w:val="center"/>
                </w:tcPr>
                <w:p w14:paraId="77CB8F2D">
                  <w:pPr>
                    <w:widowControl/>
                    <w:jc w:val="center"/>
                    <w:rPr>
                      <w:rFonts w:ascii="Times New Roman" w:hAnsi="Times New Roman"/>
                      <w:b/>
                      <w:bCs/>
                      <w:color w:val="auto"/>
                      <w:kern w:val="0"/>
                      <w:szCs w:val="21"/>
                    </w:rPr>
                  </w:pPr>
                  <w:r>
                    <w:rPr>
                      <w:rFonts w:ascii="Times New Roman" w:hAnsi="Times New Roman"/>
                      <w:b/>
                      <w:bCs/>
                      <w:color w:val="auto"/>
                      <w:kern w:val="0"/>
                      <w:szCs w:val="21"/>
                    </w:rPr>
                    <w:t>回填利用</w:t>
                  </w:r>
                </w:p>
              </w:tc>
              <w:tc>
                <w:tcPr>
                  <w:tcW w:w="670" w:type="pct"/>
                  <w:gridSpan w:val="2"/>
                  <w:tcBorders>
                    <w:tl2br w:val="nil"/>
                    <w:tr2bl w:val="nil"/>
                  </w:tcBorders>
                  <w:noWrap/>
                  <w:vAlign w:val="center"/>
                </w:tcPr>
                <w:p w14:paraId="5740B479">
                  <w:pPr>
                    <w:widowControl/>
                    <w:jc w:val="center"/>
                    <w:rPr>
                      <w:rFonts w:ascii="Times New Roman" w:hAnsi="Times New Roman"/>
                      <w:b/>
                      <w:bCs/>
                      <w:color w:val="auto"/>
                      <w:kern w:val="0"/>
                      <w:szCs w:val="21"/>
                    </w:rPr>
                  </w:pPr>
                  <w:r>
                    <w:rPr>
                      <w:rFonts w:ascii="Times New Roman" w:hAnsi="Times New Roman"/>
                      <w:b/>
                      <w:bCs/>
                      <w:color w:val="auto"/>
                      <w:kern w:val="0"/>
                      <w:szCs w:val="21"/>
                    </w:rPr>
                    <w:t>外借（购）</w:t>
                  </w:r>
                </w:p>
              </w:tc>
              <w:tc>
                <w:tcPr>
                  <w:tcW w:w="670" w:type="pct"/>
                  <w:gridSpan w:val="2"/>
                  <w:tcBorders>
                    <w:tl2br w:val="nil"/>
                    <w:tr2bl w:val="nil"/>
                  </w:tcBorders>
                  <w:noWrap/>
                  <w:vAlign w:val="center"/>
                </w:tcPr>
                <w:p w14:paraId="68585B00">
                  <w:pPr>
                    <w:widowControl/>
                    <w:jc w:val="center"/>
                    <w:rPr>
                      <w:rFonts w:ascii="Times New Roman" w:hAnsi="Times New Roman"/>
                      <w:b/>
                      <w:bCs/>
                      <w:color w:val="auto"/>
                      <w:kern w:val="0"/>
                      <w:szCs w:val="21"/>
                    </w:rPr>
                  </w:pPr>
                  <w:r>
                    <w:rPr>
                      <w:rFonts w:ascii="Times New Roman" w:hAnsi="Times New Roman"/>
                      <w:b/>
                      <w:bCs/>
                      <w:color w:val="auto"/>
                      <w:kern w:val="0"/>
                      <w:szCs w:val="21"/>
                    </w:rPr>
                    <w:t>废弃</w:t>
                  </w:r>
                </w:p>
              </w:tc>
            </w:tr>
            <w:tr w14:paraId="36D5D3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668" w:type="pct"/>
                  <w:vMerge w:val="continue"/>
                  <w:tcBorders>
                    <w:tl2br w:val="nil"/>
                    <w:tr2bl w:val="nil"/>
                  </w:tcBorders>
                  <w:vAlign w:val="center"/>
                </w:tcPr>
                <w:p w14:paraId="658AE70B">
                  <w:pPr>
                    <w:widowControl/>
                    <w:jc w:val="left"/>
                    <w:rPr>
                      <w:rFonts w:ascii="Times New Roman" w:hAnsi="Times New Roman"/>
                      <w:b/>
                      <w:bCs/>
                      <w:color w:val="auto"/>
                      <w:kern w:val="0"/>
                      <w:szCs w:val="21"/>
                    </w:rPr>
                  </w:pPr>
                </w:p>
              </w:tc>
              <w:tc>
                <w:tcPr>
                  <w:tcW w:w="399" w:type="pct"/>
                  <w:tcBorders>
                    <w:tl2br w:val="nil"/>
                    <w:tr2bl w:val="nil"/>
                  </w:tcBorders>
                  <w:noWrap/>
                  <w:vAlign w:val="center"/>
                </w:tcPr>
                <w:p w14:paraId="1CCE6D9C">
                  <w:pPr>
                    <w:widowControl/>
                    <w:jc w:val="center"/>
                    <w:rPr>
                      <w:rFonts w:ascii="Times New Roman" w:hAnsi="Times New Roman"/>
                      <w:b/>
                      <w:bCs/>
                      <w:color w:val="auto"/>
                      <w:kern w:val="0"/>
                      <w:szCs w:val="21"/>
                    </w:rPr>
                  </w:pPr>
                  <w:r>
                    <w:rPr>
                      <w:rFonts w:ascii="Times New Roman" w:hAnsi="Times New Roman"/>
                      <w:b/>
                      <w:bCs/>
                      <w:color w:val="auto"/>
                      <w:kern w:val="0"/>
                      <w:szCs w:val="21"/>
                    </w:rPr>
                    <w:t>土石方</w:t>
                  </w:r>
                </w:p>
              </w:tc>
              <w:tc>
                <w:tcPr>
                  <w:tcW w:w="567" w:type="pct"/>
                  <w:tcBorders>
                    <w:tl2br w:val="nil"/>
                    <w:tr2bl w:val="nil"/>
                  </w:tcBorders>
                  <w:noWrap/>
                  <w:vAlign w:val="center"/>
                </w:tcPr>
                <w:p w14:paraId="364FC0A1">
                  <w:pPr>
                    <w:widowControl/>
                    <w:jc w:val="center"/>
                    <w:rPr>
                      <w:rFonts w:ascii="Times New Roman" w:hAnsi="Times New Roman"/>
                      <w:b/>
                      <w:bCs/>
                      <w:color w:val="auto"/>
                      <w:kern w:val="0"/>
                      <w:szCs w:val="21"/>
                    </w:rPr>
                  </w:pPr>
                  <w:r>
                    <w:rPr>
                      <w:rFonts w:ascii="Times New Roman" w:hAnsi="Times New Roman"/>
                      <w:b/>
                      <w:bCs/>
                      <w:color w:val="auto"/>
                      <w:kern w:val="0"/>
                      <w:szCs w:val="21"/>
                    </w:rPr>
                    <w:t>剥离表土</w:t>
                  </w:r>
                </w:p>
              </w:tc>
              <w:tc>
                <w:tcPr>
                  <w:tcW w:w="449" w:type="pct"/>
                  <w:tcBorders>
                    <w:tl2br w:val="nil"/>
                    <w:tr2bl w:val="nil"/>
                  </w:tcBorders>
                  <w:noWrap/>
                  <w:vAlign w:val="center"/>
                </w:tcPr>
                <w:p w14:paraId="2C9DBADA">
                  <w:pPr>
                    <w:widowControl/>
                    <w:jc w:val="center"/>
                    <w:rPr>
                      <w:rFonts w:ascii="Times New Roman" w:hAnsi="Times New Roman"/>
                      <w:b/>
                      <w:bCs/>
                      <w:color w:val="auto"/>
                      <w:kern w:val="0"/>
                      <w:szCs w:val="21"/>
                    </w:rPr>
                  </w:pPr>
                  <w:r>
                    <w:rPr>
                      <w:rFonts w:ascii="Times New Roman" w:hAnsi="Times New Roman"/>
                      <w:b/>
                      <w:bCs/>
                      <w:color w:val="auto"/>
                      <w:kern w:val="0"/>
                      <w:szCs w:val="21"/>
                    </w:rPr>
                    <w:t>合计</w:t>
                  </w:r>
                </w:p>
              </w:tc>
              <w:tc>
                <w:tcPr>
                  <w:tcW w:w="526" w:type="pct"/>
                  <w:tcBorders>
                    <w:tl2br w:val="nil"/>
                    <w:tr2bl w:val="nil"/>
                  </w:tcBorders>
                  <w:noWrap/>
                  <w:vAlign w:val="center"/>
                </w:tcPr>
                <w:p w14:paraId="3A161948">
                  <w:pPr>
                    <w:widowControl/>
                    <w:jc w:val="center"/>
                    <w:rPr>
                      <w:rFonts w:ascii="Times New Roman" w:hAnsi="Times New Roman"/>
                      <w:b/>
                      <w:bCs/>
                      <w:color w:val="auto"/>
                      <w:kern w:val="0"/>
                      <w:szCs w:val="21"/>
                    </w:rPr>
                  </w:pPr>
                  <w:r>
                    <w:rPr>
                      <w:rFonts w:ascii="Times New Roman" w:hAnsi="Times New Roman"/>
                      <w:b/>
                      <w:bCs/>
                      <w:color w:val="auto"/>
                      <w:kern w:val="0"/>
                      <w:szCs w:val="21"/>
                    </w:rPr>
                    <w:t>土石方</w:t>
                  </w:r>
                </w:p>
              </w:tc>
              <w:tc>
                <w:tcPr>
                  <w:tcW w:w="601" w:type="pct"/>
                  <w:tcBorders>
                    <w:tl2br w:val="nil"/>
                    <w:tr2bl w:val="nil"/>
                  </w:tcBorders>
                  <w:noWrap/>
                  <w:vAlign w:val="center"/>
                </w:tcPr>
                <w:p w14:paraId="7CD4C20F">
                  <w:pPr>
                    <w:widowControl/>
                    <w:jc w:val="center"/>
                    <w:rPr>
                      <w:rFonts w:ascii="Times New Roman" w:hAnsi="Times New Roman"/>
                      <w:b/>
                      <w:bCs/>
                      <w:color w:val="auto"/>
                      <w:kern w:val="0"/>
                      <w:szCs w:val="21"/>
                    </w:rPr>
                  </w:pPr>
                  <w:r>
                    <w:rPr>
                      <w:rFonts w:ascii="Times New Roman" w:hAnsi="Times New Roman"/>
                      <w:b/>
                      <w:bCs/>
                      <w:color w:val="auto"/>
                      <w:kern w:val="0"/>
                      <w:szCs w:val="21"/>
                    </w:rPr>
                    <w:t>绿化覆土</w:t>
                  </w:r>
                </w:p>
              </w:tc>
              <w:tc>
                <w:tcPr>
                  <w:tcW w:w="447" w:type="pct"/>
                  <w:tcBorders>
                    <w:tl2br w:val="nil"/>
                    <w:tr2bl w:val="nil"/>
                  </w:tcBorders>
                  <w:noWrap/>
                  <w:vAlign w:val="center"/>
                </w:tcPr>
                <w:p w14:paraId="0925B0AA">
                  <w:pPr>
                    <w:widowControl/>
                    <w:jc w:val="center"/>
                    <w:rPr>
                      <w:rFonts w:ascii="Times New Roman" w:hAnsi="Times New Roman"/>
                      <w:b/>
                      <w:bCs/>
                      <w:color w:val="auto"/>
                      <w:kern w:val="0"/>
                      <w:szCs w:val="21"/>
                    </w:rPr>
                  </w:pPr>
                  <w:r>
                    <w:rPr>
                      <w:rFonts w:ascii="Times New Roman" w:hAnsi="Times New Roman"/>
                      <w:b/>
                      <w:bCs/>
                      <w:color w:val="auto"/>
                      <w:kern w:val="0"/>
                      <w:szCs w:val="21"/>
                    </w:rPr>
                    <w:t>合计</w:t>
                  </w:r>
                </w:p>
              </w:tc>
              <w:tc>
                <w:tcPr>
                  <w:tcW w:w="335" w:type="pct"/>
                  <w:tcBorders>
                    <w:tl2br w:val="nil"/>
                    <w:tr2bl w:val="nil"/>
                  </w:tcBorders>
                  <w:noWrap/>
                  <w:vAlign w:val="center"/>
                </w:tcPr>
                <w:p w14:paraId="05F71CF0">
                  <w:pPr>
                    <w:widowControl/>
                    <w:jc w:val="center"/>
                    <w:rPr>
                      <w:rFonts w:ascii="Times New Roman" w:hAnsi="Times New Roman"/>
                      <w:b/>
                      <w:bCs/>
                      <w:color w:val="auto"/>
                      <w:kern w:val="0"/>
                      <w:szCs w:val="21"/>
                    </w:rPr>
                  </w:pPr>
                  <w:r>
                    <w:rPr>
                      <w:rFonts w:ascii="Times New Roman" w:hAnsi="Times New Roman"/>
                      <w:b/>
                      <w:bCs/>
                      <w:color w:val="auto"/>
                      <w:kern w:val="0"/>
                      <w:szCs w:val="21"/>
                    </w:rPr>
                    <w:t>数量</w:t>
                  </w:r>
                </w:p>
              </w:tc>
              <w:tc>
                <w:tcPr>
                  <w:tcW w:w="335" w:type="pct"/>
                  <w:tcBorders>
                    <w:tl2br w:val="nil"/>
                    <w:tr2bl w:val="nil"/>
                  </w:tcBorders>
                  <w:noWrap/>
                  <w:vAlign w:val="center"/>
                </w:tcPr>
                <w:p w14:paraId="741DD8FC">
                  <w:pPr>
                    <w:widowControl/>
                    <w:jc w:val="center"/>
                    <w:rPr>
                      <w:rFonts w:ascii="Times New Roman" w:hAnsi="Times New Roman"/>
                      <w:b/>
                      <w:bCs/>
                      <w:color w:val="auto"/>
                      <w:kern w:val="0"/>
                      <w:szCs w:val="21"/>
                    </w:rPr>
                  </w:pPr>
                  <w:r>
                    <w:rPr>
                      <w:rFonts w:ascii="Times New Roman" w:hAnsi="Times New Roman"/>
                      <w:b/>
                      <w:bCs/>
                      <w:color w:val="auto"/>
                      <w:kern w:val="0"/>
                      <w:szCs w:val="21"/>
                    </w:rPr>
                    <w:t>来源</w:t>
                  </w:r>
                </w:p>
              </w:tc>
              <w:tc>
                <w:tcPr>
                  <w:tcW w:w="335" w:type="pct"/>
                  <w:tcBorders>
                    <w:tl2br w:val="nil"/>
                    <w:tr2bl w:val="nil"/>
                  </w:tcBorders>
                  <w:noWrap/>
                  <w:vAlign w:val="center"/>
                </w:tcPr>
                <w:p w14:paraId="381A256C">
                  <w:pPr>
                    <w:widowControl/>
                    <w:jc w:val="center"/>
                    <w:rPr>
                      <w:rFonts w:ascii="Times New Roman" w:hAnsi="Times New Roman"/>
                      <w:b/>
                      <w:bCs/>
                      <w:color w:val="auto"/>
                      <w:kern w:val="0"/>
                      <w:szCs w:val="21"/>
                    </w:rPr>
                  </w:pPr>
                  <w:r>
                    <w:rPr>
                      <w:rFonts w:ascii="Times New Roman" w:hAnsi="Times New Roman"/>
                      <w:b/>
                      <w:bCs/>
                      <w:color w:val="auto"/>
                      <w:kern w:val="0"/>
                      <w:szCs w:val="21"/>
                    </w:rPr>
                    <w:t>数量</w:t>
                  </w:r>
                </w:p>
              </w:tc>
              <w:tc>
                <w:tcPr>
                  <w:tcW w:w="335" w:type="pct"/>
                  <w:tcBorders>
                    <w:tl2br w:val="nil"/>
                    <w:tr2bl w:val="nil"/>
                  </w:tcBorders>
                  <w:noWrap/>
                  <w:vAlign w:val="center"/>
                </w:tcPr>
                <w:p w14:paraId="5E1A6D09">
                  <w:pPr>
                    <w:widowControl/>
                    <w:jc w:val="center"/>
                    <w:rPr>
                      <w:rFonts w:ascii="Times New Roman" w:hAnsi="Times New Roman"/>
                      <w:b/>
                      <w:bCs/>
                      <w:color w:val="auto"/>
                      <w:kern w:val="0"/>
                      <w:szCs w:val="21"/>
                    </w:rPr>
                  </w:pPr>
                  <w:r>
                    <w:rPr>
                      <w:rFonts w:ascii="Times New Roman" w:hAnsi="Times New Roman"/>
                      <w:b/>
                      <w:bCs/>
                      <w:color w:val="auto"/>
                      <w:kern w:val="0"/>
                      <w:szCs w:val="21"/>
                    </w:rPr>
                    <w:t>去向</w:t>
                  </w:r>
                </w:p>
              </w:tc>
            </w:tr>
            <w:tr w14:paraId="5E7FDA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68" w:type="pct"/>
                  <w:tcBorders>
                    <w:tl2br w:val="nil"/>
                    <w:tr2bl w:val="nil"/>
                  </w:tcBorders>
                  <w:noWrap/>
                  <w:vAlign w:val="center"/>
                </w:tcPr>
                <w:p w14:paraId="440F73D1">
                  <w:pPr>
                    <w:widowControl/>
                    <w:jc w:val="center"/>
                    <w:rPr>
                      <w:rFonts w:ascii="Times New Roman" w:hAnsi="Times New Roman"/>
                      <w:color w:val="auto"/>
                      <w:kern w:val="0"/>
                      <w:szCs w:val="21"/>
                    </w:rPr>
                  </w:pPr>
                  <w:r>
                    <w:rPr>
                      <w:rFonts w:ascii="Times New Roman" w:hAnsi="Times New Roman"/>
                      <w:color w:val="auto"/>
                      <w:kern w:val="0"/>
                      <w:szCs w:val="21"/>
                    </w:rPr>
                    <w:t>塔基区</w:t>
                  </w:r>
                </w:p>
              </w:tc>
              <w:tc>
                <w:tcPr>
                  <w:tcW w:w="399" w:type="pct"/>
                  <w:tcBorders>
                    <w:tl2br w:val="nil"/>
                    <w:tr2bl w:val="nil"/>
                  </w:tcBorders>
                  <w:noWrap/>
                  <w:vAlign w:val="center"/>
                </w:tcPr>
                <w:p w14:paraId="1FDAF2B1">
                  <w:pPr>
                    <w:widowControl/>
                    <w:jc w:val="center"/>
                    <w:rPr>
                      <w:rFonts w:ascii="Times New Roman" w:hAnsi="Times New Roman"/>
                      <w:color w:val="auto"/>
                      <w:kern w:val="0"/>
                      <w:szCs w:val="21"/>
                    </w:rPr>
                  </w:pPr>
                  <w:r>
                    <w:rPr>
                      <w:rFonts w:ascii="Times New Roman" w:hAnsi="Times New Roman"/>
                      <w:color w:val="auto"/>
                      <w:kern w:val="0"/>
                      <w:szCs w:val="21"/>
                    </w:rPr>
                    <w:t>6050</w:t>
                  </w:r>
                </w:p>
              </w:tc>
              <w:tc>
                <w:tcPr>
                  <w:tcW w:w="567" w:type="pct"/>
                  <w:tcBorders>
                    <w:tl2br w:val="nil"/>
                    <w:tr2bl w:val="nil"/>
                  </w:tcBorders>
                  <w:noWrap/>
                  <w:vAlign w:val="center"/>
                </w:tcPr>
                <w:p w14:paraId="2D9D3B01">
                  <w:pPr>
                    <w:widowControl/>
                    <w:jc w:val="center"/>
                    <w:rPr>
                      <w:rFonts w:ascii="Times New Roman" w:hAnsi="Times New Roman"/>
                      <w:color w:val="auto"/>
                      <w:kern w:val="0"/>
                      <w:szCs w:val="21"/>
                    </w:rPr>
                  </w:pPr>
                  <w:r>
                    <w:rPr>
                      <w:rFonts w:ascii="Times New Roman" w:hAnsi="Times New Roman"/>
                      <w:color w:val="auto"/>
                      <w:kern w:val="0"/>
                      <w:szCs w:val="21"/>
                    </w:rPr>
                    <w:t>1245</w:t>
                  </w:r>
                </w:p>
              </w:tc>
              <w:tc>
                <w:tcPr>
                  <w:tcW w:w="449" w:type="pct"/>
                  <w:tcBorders>
                    <w:tl2br w:val="nil"/>
                    <w:tr2bl w:val="nil"/>
                  </w:tcBorders>
                  <w:noWrap/>
                  <w:vAlign w:val="center"/>
                </w:tcPr>
                <w:p w14:paraId="03ED72E1">
                  <w:pPr>
                    <w:widowControl/>
                    <w:jc w:val="center"/>
                    <w:rPr>
                      <w:rFonts w:ascii="Times New Roman" w:hAnsi="Times New Roman"/>
                      <w:color w:val="auto"/>
                      <w:kern w:val="0"/>
                      <w:szCs w:val="21"/>
                    </w:rPr>
                  </w:pPr>
                  <w:r>
                    <w:rPr>
                      <w:rFonts w:ascii="Times New Roman" w:hAnsi="Times New Roman"/>
                      <w:color w:val="auto"/>
                      <w:kern w:val="0"/>
                      <w:szCs w:val="21"/>
                    </w:rPr>
                    <w:t>7295</w:t>
                  </w:r>
                </w:p>
              </w:tc>
              <w:tc>
                <w:tcPr>
                  <w:tcW w:w="526" w:type="pct"/>
                  <w:tcBorders>
                    <w:tl2br w:val="nil"/>
                    <w:tr2bl w:val="nil"/>
                  </w:tcBorders>
                  <w:noWrap/>
                  <w:vAlign w:val="center"/>
                </w:tcPr>
                <w:p w14:paraId="475CC93A">
                  <w:pPr>
                    <w:widowControl/>
                    <w:jc w:val="center"/>
                    <w:rPr>
                      <w:rFonts w:ascii="Times New Roman" w:hAnsi="Times New Roman"/>
                      <w:color w:val="auto"/>
                      <w:kern w:val="0"/>
                      <w:szCs w:val="21"/>
                    </w:rPr>
                  </w:pPr>
                  <w:r>
                    <w:rPr>
                      <w:rFonts w:ascii="Times New Roman" w:hAnsi="Times New Roman"/>
                      <w:color w:val="auto"/>
                      <w:kern w:val="0"/>
                      <w:szCs w:val="21"/>
                    </w:rPr>
                    <w:t>6050</w:t>
                  </w:r>
                </w:p>
              </w:tc>
              <w:tc>
                <w:tcPr>
                  <w:tcW w:w="601" w:type="pct"/>
                  <w:tcBorders>
                    <w:tl2br w:val="nil"/>
                    <w:tr2bl w:val="nil"/>
                  </w:tcBorders>
                  <w:noWrap/>
                  <w:vAlign w:val="center"/>
                </w:tcPr>
                <w:p w14:paraId="4DA08558">
                  <w:pPr>
                    <w:widowControl/>
                    <w:jc w:val="center"/>
                    <w:rPr>
                      <w:rFonts w:ascii="Times New Roman" w:hAnsi="Times New Roman"/>
                      <w:color w:val="auto"/>
                      <w:kern w:val="0"/>
                      <w:szCs w:val="21"/>
                    </w:rPr>
                  </w:pPr>
                  <w:r>
                    <w:rPr>
                      <w:rFonts w:ascii="Times New Roman" w:hAnsi="Times New Roman"/>
                      <w:color w:val="auto"/>
                      <w:kern w:val="0"/>
                      <w:szCs w:val="21"/>
                    </w:rPr>
                    <w:t>1245</w:t>
                  </w:r>
                </w:p>
              </w:tc>
              <w:tc>
                <w:tcPr>
                  <w:tcW w:w="447" w:type="pct"/>
                  <w:tcBorders>
                    <w:tl2br w:val="nil"/>
                    <w:tr2bl w:val="nil"/>
                  </w:tcBorders>
                  <w:noWrap/>
                  <w:vAlign w:val="center"/>
                </w:tcPr>
                <w:p w14:paraId="2228618E">
                  <w:pPr>
                    <w:widowControl/>
                    <w:jc w:val="center"/>
                    <w:rPr>
                      <w:rFonts w:ascii="Times New Roman" w:hAnsi="Times New Roman"/>
                      <w:color w:val="auto"/>
                      <w:kern w:val="0"/>
                      <w:szCs w:val="21"/>
                    </w:rPr>
                  </w:pPr>
                  <w:r>
                    <w:rPr>
                      <w:rFonts w:ascii="Times New Roman" w:hAnsi="Times New Roman"/>
                      <w:color w:val="auto"/>
                      <w:kern w:val="0"/>
                      <w:szCs w:val="21"/>
                    </w:rPr>
                    <w:t>7295</w:t>
                  </w:r>
                </w:p>
              </w:tc>
              <w:tc>
                <w:tcPr>
                  <w:tcW w:w="335" w:type="pct"/>
                  <w:tcBorders>
                    <w:tl2br w:val="nil"/>
                    <w:tr2bl w:val="nil"/>
                  </w:tcBorders>
                  <w:noWrap/>
                  <w:vAlign w:val="center"/>
                </w:tcPr>
                <w:p w14:paraId="02333D3C">
                  <w:pPr>
                    <w:widowControl/>
                    <w:jc w:val="center"/>
                    <w:rPr>
                      <w:rFonts w:ascii="Times New Roman" w:hAnsi="Times New Roman"/>
                      <w:color w:val="auto"/>
                      <w:kern w:val="0"/>
                      <w:szCs w:val="21"/>
                    </w:rPr>
                  </w:pPr>
                  <w:r>
                    <w:rPr>
                      <w:rFonts w:ascii="Times New Roman" w:hAnsi="Times New Roman"/>
                      <w:color w:val="auto"/>
                      <w:kern w:val="0"/>
                      <w:szCs w:val="21"/>
                    </w:rPr>
                    <w:t>0</w:t>
                  </w:r>
                </w:p>
              </w:tc>
              <w:tc>
                <w:tcPr>
                  <w:tcW w:w="335" w:type="pct"/>
                  <w:tcBorders>
                    <w:tl2br w:val="nil"/>
                    <w:tr2bl w:val="nil"/>
                  </w:tcBorders>
                  <w:noWrap/>
                  <w:vAlign w:val="center"/>
                </w:tcPr>
                <w:p w14:paraId="02C0E691">
                  <w:pPr>
                    <w:widowControl/>
                    <w:jc w:val="center"/>
                    <w:rPr>
                      <w:rFonts w:ascii="Times New Roman" w:hAnsi="Times New Roman"/>
                      <w:color w:val="auto"/>
                      <w:kern w:val="0"/>
                      <w:szCs w:val="21"/>
                    </w:rPr>
                  </w:pPr>
                  <w:r>
                    <w:rPr>
                      <w:rFonts w:ascii="Times New Roman" w:hAnsi="Times New Roman"/>
                      <w:color w:val="auto"/>
                      <w:kern w:val="0"/>
                      <w:szCs w:val="21"/>
                    </w:rPr>
                    <w:t>0</w:t>
                  </w:r>
                </w:p>
              </w:tc>
              <w:tc>
                <w:tcPr>
                  <w:tcW w:w="335" w:type="pct"/>
                  <w:tcBorders>
                    <w:tl2br w:val="nil"/>
                    <w:tr2bl w:val="nil"/>
                  </w:tcBorders>
                  <w:noWrap/>
                  <w:vAlign w:val="center"/>
                </w:tcPr>
                <w:p w14:paraId="3D59EBE5">
                  <w:pPr>
                    <w:widowControl/>
                    <w:jc w:val="center"/>
                    <w:rPr>
                      <w:rFonts w:ascii="Times New Roman" w:hAnsi="Times New Roman"/>
                      <w:color w:val="auto"/>
                      <w:kern w:val="0"/>
                      <w:szCs w:val="21"/>
                    </w:rPr>
                  </w:pPr>
                  <w:r>
                    <w:rPr>
                      <w:rFonts w:ascii="Times New Roman" w:hAnsi="Times New Roman"/>
                      <w:color w:val="auto"/>
                      <w:kern w:val="0"/>
                      <w:szCs w:val="21"/>
                    </w:rPr>
                    <w:t>0</w:t>
                  </w:r>
                </w:p>
              </w:tc>
              <w:tc>
                <w:tcPr>
                  <w:tcW w:w="335" w:type="pct"/>
                  <w:tcBorders>
                    <w:tl2br w:val="nil"/>
                    <w:tr2bl w:val="nil"/>
                  </w:tcBorders>
                  <w:noWrap/>
                  <w:vAlign w:val="center"/>
                </w:tcPr>
                <w:p w14:paraId="3DBB88E7">
                  <w:pPr>
                    <w:widowControl/>
                    <w:jc w:val="center"/>
                    <w:rPr>
                      <w:rFonts w:ascii="Times New Roman" w:hAnsi="Times New Roman"/>
                      <w:color w:val="auto"/>
                      <w:kern w:val="0"/>
                      <w:szCs w:val="21"/>
                    </w:rPr>
                  </w:pPr>
                  <w:r>
                    <w:rPr>
                      <w:rFonts w:ascii="Times New Roman" w:hAnsi="Times New Roman"/>
                      <w:color w:val="auto"/>
                      <w:kern w:val="0"/>
                      <w:szCs w:val="21"/>
                    </w:rPr>
                    <w:t>0</w:t>
                  </w:r>
                </w:p>
              </w:tc>
            </w:tr>
            <w:tr w14:paraId="02122D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68" w:type="pct"/>
                  <w:tcBorders>
                    <w:tl2br w:val="nil"/>
                    <w:tr2bl w:val="nil"/>
                  </w:tcBorders>
                  <w:noWrap/>
                  <w:vAlign w:val="center"/>
                </w:tcPr>
                <w:p w14:paraId="69EEB033">
                  <w:pPr>
                    <w:widowControl/>
                    <w:jc w:val="center"/>
                    <w:rPr>
                      <w:rFonts w:ascii="Times New Roman" w:hAnsi="Times New Roman"/>
                      <w:color w:val="auto"/>
                      <w:kern w:val="0"/>
                      <w:szCs w:val="21"/>
                    </w:rPr>
                  </w:pPr>
                  <w:r>
                    <w:rPr>
                      <w:rFonts w:ascii="Times New Roman" w:hAnsi="Times New Roman"/>
                      <w:color w:val="auto"/>
                      <w:kern w:val="0"/>
                      <w:szCs w:val="21"/>
                    </w:rPr>
                    <w:t>塔基施工场地区</w:t>
                  </w:r>
                </w:p>
              </w:tc>
              <w:tc>
                <w:tcPr>
                  <w:tcW w:w="399" w:type="pct"/>
                  <w:tcBorders>
                    <w:tl2br w:val="nil"/>
                    <w:tr2bl w:val="nil"/>
                  </w:tcBorders>
                  <w:noWrap/>
                  <w:vAlign w:val="center"/>
                </w:tcPr>
                <w:p w14:paraId="04EA81DA">
                  <w:pPr>
                    <w:widowControl/>
                    <w:jc w:val="center"/>
                    <w:rPr>
                      <w:rFonts w:ascii="Times New Roman" w:hAnsi="Times New Roman"/>
                      <w:color w:val="auto"/>
                      <w:kern w:val="0"/>
                      <w:szCs w:val="21"/>
                    </w:rPr>
                  </w:pPr>
                  <w:r>
                    <w:rPr>
                      <w:rFonts w:ascii="Times New Roman" w:hAnsi="Times New Roman"/>
                      <w:color w:val="auto"/>
                      <w:kern w:val="0"/>
                      <w:szCs w:val="21"/>
                    </w:rPr>
                    <w:t>2835</w:t>
                  </w:r>
                </w:p>
              </w:tc>
              <w:tc>
                <w:tcPr>
                  <w:tcW w:w="567" w:type="pct"/>
                  <w:tcBorders>
                    <w:tl2br w:val="nil"/>
                    <w:tr2bl w:val="nil"/>
                  </w:tcBorders>
                  <w:noWrap/>
                  <w:vAlign w:val="center"/>
                </w:tcPr>
                <w:p w14:paraId="33843C32">
                  <w:pPr>
                    <w:widowControl/>
                    <w:jc w:val="center"/>
                    <w:rPr>
                      <w:rFonts w:ascii="Times New Roman" w:hAnsi="Times New Roman"/>
                      <w:color w:val="auto"/>
                      <w:kern w:val="0"/>
                      <w:szCs w:val="21"/>
                    </w:rPr>
                  </w:pPr>
                  <w:r>
                    <w:rPr>
                      <w:rFonts w:ascii="Times New Roman" w:hAnsi="Times New Roman"/>
                      <w:color w:val="auto"/>
                      <w:kern w:val="0"/>
                      <w:szCs w:val="21"/>
                    </w:rPr>
                    <w:t>350</w:t>
                  </w:r>
                </w:p>
              </w:tc>
              <w:tc>
                <w:tcPr>
                  <w:tcW w:w="449" w:type="pct"/>
                  <w:tcBorders>
                    <w:tl2br w:val="nil"/>
                    <w:tr2bl w:val="nil"/>
                  </w:tcBorders>
                  <w:noWrap/>
                  <w:vAlign w:val="center"/>
                </w:tcPr>
                <w:p w14:paraId="73062640">
                  <w:pPr>
                    <w:widowControl/>
                    <w:jc w:val="center"/>
                    <w:rPr>
                      <w:rFonts w:ascii="Times New Roman" w:hAnsi="Times New Roman"/>
                      <w:color w:val="auto"/>
                      <w:kern w:val="0"/>
                      <w:szCs w:val="21"/>
                    </w:rPr>
                  </w:pPr>
                  <w:r>
                    <w:rPr>
                      <w:rFonts w:ascii="Times New Roman" w:hAnsi="Times New Roman"/>
                      <w:color w:val="auto"/>
                      <w:kern w:val="0"/>
                      <w:szCs w:val="21"/>
                    </w:rPr>
                    <w:t>3185</w:t>
                  </w:r>
                </w:p>
              </w:tc>
              <w:tc>
                <w:tcPr>
                  <w:tcW w:w="526" w:type="pct"/>
                  <w:tcBorders>
                    <w:tl2br w:val="nil"/>
                    <w:tr2bl w:val="nil"/>
                  </w:tcBorders>
                  <w:noWrap/>
                  <w:vAlign w:val="center"/>
                </w:tcPr>
                <w:p w14:paraId="4DF64828">
                  <w:pPr>
                    <w:widowControl/>
                    <w:jc w:val="center"/>
                    <w:rPr>
                      <w:rFonts w:ascii="Times New Roman" w:hAnsi="Times New Roman"/>
                      <w:color w:val="auto"/>
                      <w:kern w:val="0"/>
                      <w:szCs w:val="21"/>
                    </w:rPr>
                  </w:pPr>
                  <w:r>
                    <w:rPr>
                      <w:rFonts w:ascii="Times New Roman" w:hAnsi="Times New Roman"/>
                      <w:color w:val="auto"/>
                      <w:kern w:val="0"/>
                      <w:szCs w:val="21"/>
                    </w:rPr>
                    <w:t>2835</w:t>
                  </w:r>
                </w:p>
              </w:tc>
              <w:tc>
                <w:tcPr>
                  <w:tcW w:w="601" w:type="pct"/>
                  <w:tcBorders>
                    <w:tl2br w:val="nil"/>
                    <w:tr2bl w:val="nil"/>
                  </w:tcBorders>
                  <w:noWrap/>
                  <w:vAlign w:val="center"/>
                </w:tcPr>
                <w:p w14:paraId="7C3AF760">
                  <w:pPr>
                    <w:widowControl/>
                    <w:jc w:val="center"/>
                    <w:rPr>
                      <w:rFonts w:ascii="Times New Roman" w:hAnsi="Times New Roman"/>
                      <w:color w:val="auto"/>
                      <w:kern w:val="0"/>
                      <w:szCs w:val="21"/>
                    </w:rPr>
                  </w:pPr>
                  <w:r>
                    <w:rPr>
                      <w:rFonts w:ascii="Times New Roman" w:hAnsi="Times New Roman"/>
                      <w:color w:val="auto"/>
                      <w:kern w:val="0"/>
                      <w:szCs w:val="21"/>
                    </w:rPr>
                    <w:t>350</w:t>
                  </w:r>
                </w:p>
              </w:tc>
              <w:tc>
                <w:tcPr>
                  <w:tcW w:w="447" w:type="pct"/>
                  <w:tcBorders>
                    <w:tl2br w:val="nil"/>
                    <w:tr2bl w:val="nil"/>
                  </w:tcBorders>
                  <w:noWrap/>
                  <w:vAlign w:val="center"/>
                </w:tcPr>
                <w:p w14:paraId="7D311DB3">
                  <w:pPr>
                    <w:widowControl/>
                    <w:jc w:val="center"/>
                    <w:rPr>
                      <w:rFonts w:ascii="Times New Roman" w:hAnsi="Times New Roman"/>
                      <w:color w:val="auto"/>
                      <w:kern w:val="0"/>
                      <w:szCs w:val="21"/>
                    </w:rPr>
                  </w:pPr>
                  <w:r>
                    <w:rPr>
                      <w:rFonts w:ascii="Times New Roman" w:hAnsi="Times New Roman"/>
                      <w:color w:val="auto"/>
                      <w:kern w:val="0"/>
                      <w:szCs w:val="21"/>
                    </w:rPr>
                    <w:t>3185</w:t>
                  </w:r>
                </w:p>
              </w:tc>
              <w:tc>
                <w:tcPr>
                  <w:tcW w:w="335" w:type="pct"/>
                  <w:tcBorders>
                    <w:tl2br w:val="nil"/>
                    <w:tr2bl w:val="nil"/>
                  </w:tcBorders>
                  <w:noWrap/>
                  <w:vAlign w:val="center"/>
                </w:tcPr>
                <w:p w14:paraId="604D57BB">
                  <w:pPr>
                    <w:widowControl/>
                    <w:jc w:val="center"/>
                    <w:rPr>
                      <w:rFonts w:ascii="Times New Roman" w:hAnsi="Times New Roman"/>
                      <w:color w:val="auto"/>
                      <w:kern w:val="0"/>
                      <w:szCs w:val="21"/>
                    </w:rPr>
                  </w:pPr>
                  <w:r>
                    <w:rPr>
                      <w:rFonts w:ascii="Times New Roman" w:hAnsi="Times New Roman"/>
                      <w:color w:val="auto"/>
                      <w:kern w:val="0"/>
                      <w:szCs w:val="21"/>
                    </w:rPr>
                    <w:t>　</w:t>
                  </w:r>
                </w:p>
              </w:tc>
              <w:tc>
                <w:tcPr>
                  <w:tcW w:w="335" w:type="pct"/>
                  <w:tcBorders>
                    <w:tl2br w:val="nil"/>
                    <w:tr2bl w:val="nil"/>
                  </w:tcBorders>
                  <w:noWrap/>
                  <w:vAlign w:val="center"/>
                </w:tcPr>
                <w:p w14:paraId="122B9CF1">
                  <w:pPr>
                    <w:widowControl/>
                    <w:jc w:val="center"/>
                    <w:rPr>
                      <w:rFonts w:ascii="Times New Roman" w:hAnsi="Times New Roman"/>
                      <w:color w:val="auto"/>
                      <w:kern w:val="0"/>
                      <w:szCs w:val="21"/>
                    </w:rPr>
                  </w:pPr>
                  <w:r>
                    <w:rPr>
                      <w:rFonts w:ascii="Times New Roman" w:hAnsi="Times New Roman"/>
                      <w:color w:val="auto"/>
                      <w:kern w:val="0"/>
                      <w:szCs w:val="21"/>
                    </w:rPr>
                    <w:t>　</w:t>
                  </w:r>
                </w:p>
              </w:tc>
              <w:tc>
                <w:tcPr>
                  <w:tcW w:w="335" w:type="pct"/>
                  <w:tcBorders>
                    <w:tl2br w:val="nil"/>
                    <w:tr2bl w:val="nil"/>
                  </w:tcBorders>
                  <w:noWrap/>
                  <w:vAlign w:val="center"/>
                </w:tcPr>
                <w:p w14:paraId="2E3094A1">
                  <w:pPr>
                    <w:widowControl/>
                    <w:jc w:val="center"/>
                    <w:rPr>
                      <w:rFonts w:ascii="Times New Roman" w:hAnsi="Times New Roman"/>
                      <w:color w:val="auto"/>
                      <w:kern w:val="0"/>
                      <w:szCs w:val="21"/>
                    </w:rPr>
                  </w:pPr>
                  <w:r>
                    <w:rPr>
                      <w:rFonts w:ascii="Times New Roman" w:hAnsi="Times New Roman"/>
                      <w:color w:val="auto"/>
                      <w:kern w:val="0"/>
                      <w:szCs w:val="21"/>
                    </w:rPr>
                    <w:t>　</w:t>
                  </w:r>
                </w:p>
              </w:tc>
              <w:tc>
                <w:tcPr>
                  <w:tcW w:w="335" w:type="pct"/>
                  <w:tcBorders>
                    <w:tl2br w:val="nil"/>
                    <w:tr2bl w:val="nil"/>
                  </w:tcBorders>
                  <w:noWrap/>
                  <w:vAlign w:val="center"/>
                </w:tcPr>
                <w:p w14:paraId="18C2BE7B">
                  <w:pPr>
                    <w:widowControl/>
                    <w:jc w:val="center"/>
                    <w:rPr>
                      <w:rFonts w:ascii="Times New Roman" w:hAnsi="Times New Roman"/>
                      <w:color w:val="auto"/>
                      <w:kern w:val="0"/>
                      <w:szCs w:val="21"/>
                    </w:rPr>
                  </w:pPr>
                  <w:r>
                    <w:rPr>
                      <w:rFonts w:ascii="Times New Roman" w:hAnsi="Times New Roman"/>
                      <w:color w:val="auto"/>
                      <w:kern w:val="0"/>
                      <w:szCs w:val="21"/>
                    </w:rPr>
                    <w:t>　</w:t>
                  </w:r>
                </w:p>
              </w:tc>
            </w:tr>
            <w:tr w14:paraId="7B4513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668" w:type="pct"/>
                  <w:tcBorders>
                    <w:tl2br w:val="nil"/>
                    <w:tr2bl w:val="nil"/>
                  </w:tcBorders>
                  <w:noWrap/>
                  <w:vAlign w:val="center"/>
                </w:tcPr>
                <w:p w14:paraId="0E78D49D">
                  <w:pPr>
                    <w:widowControl/>
                    <w:jc w:val="center"/>
                    <w:rPr>
                      <w:rFonts w:ascii="Times New Roman" w:hAnsi="Times New Roman"/>
                      <w:b/>
                      <w:bCs/>
                      <w:color w:val="auto"/>
                      <w:kern w:val="0"/>
                      <w:szCs w:val="21"/>
                    </w:rPr>
                  </w:pPr>
                  <w:r>
                    <w:rPr>
                      <w:rFonts w:ascii="Times New Roman" w:hAnsi="Times New Roman"/>
                      <w:b/>
                      <w:bCs/>
                      <w:color w:val="auto"/>
                      <w:kern w:val="0"/>
                      <w:szCs w:val="21"/>
                    </w:rPr>
                    <w:t>合计</w:t>
                  </w:r>
                </w:p>
              </w:tc>
              <w:tc>
                <w:tcPr>
                  <w:tcW w:w="399" w:type="pct"/>
                  <w:tcBorders>
                    <w:tl2br w:val="nil"/>
                    <w:tr2bl w:val="nil"/>
                  </w:tcBorders>
                  <w:noWrap/>
                  <w:vAlign w:val="center"/>
                </w:tcPr>
                <w:p w14:paraId="4C8133A6">
                  <w:pPr>
                    <w:widowControl/>
                    <w:jc w:val="center"/>
                    <w:rPr>
                      <w:rFonts w:ascii="Times New Roman" w:hAnsi="Times New Roman"/>
                      <w:b/>
                      <w:bCs/>
                      <w:color w:val="auto"/>
                      <w:kern w:val="0"/>
                      <w:szCs w:val="21"/>
                    </w:rPr>
                  </w:pPr>
                  <w:r>
                    <w:rPr>
                      <w:rFonts w:ascii="Times New Roman" w:hAnsi="Times New Roman"/>
                      <w:b/>
                      <w:bCs/>
                      <w:color w:val="auto"/>
                      <w:kern w:val="0"/>
                      <w:szCs w:val="21"/>
                    </w:rPr>
                    <w:t>8885</w:t>
                  </w:r>
                </w:p>
              </w:tc>
              <w:tc>
                <w:tcPr>
                  <w:tcW w:w="567" w:type="pct"/>
                  <w:tcBorders>
                    <w:tl2br w:val="nil"/>
                    <w:tr2bl w:val="nil"/>
                  </w:tcBorders>
                  <w:noWrap/>
                  <w:vAlign w:val="center"/>
                </w:tcPr>
                <w:p w14:paraId="13A74305">
                  <w:pPr>
                    <w:widowControl/>
                    <w:jc w:val="center"/>
                    <w:rPr>
                      <w:rFonts w:ascii="Times New Roman" w:hAnsi="Times New Roman"/>
                      <w:b/>
                      <w:bCs/>
                      <w:color w:val="auto"/>
                      <w:kern w:val="0"/>
                      <w:szCs w:val="21"/>
                    </w:rPr>
                  </w:pPr>
                  <w:r>
                    <w:rPr>
                      <w:rFonts w:ascii="Times New Roman" w:hAnsi="Times New Roman"/>
                      <w:b/>
                      <w:bCs/>
                      <w:color w:val="auto"/>
                      <w:kern w:val="0"/>
                      <w:szCs w:val="21"/>
                    </w:rPr>
                    <w:t>1595</w:t>
                  </w:r>
                </w:p>
              </w:tc>
              <w:tc>
                <w:tcPr>
                  <w:tcW w:w="449" w:type="pct"/>
                  <w:tcBorders>
                    <w:tl2br w:val="nil"/>
                    <w:tr2bl w:val="nil"/>
                  </w:tcBorders>
                  <w:noWrap/>
                  <w:vAlign w:val="center"/>
                </w:tcPr>
                <w:p w14:paraId="12C2D6E2">
                  <w:pPr>
                    <w:widowControl/>
                    <w:jc w:val="center"/>
                    <w:rPr>
                      <w:rFonts w:ascii="Times New Roman" w:hAnsi="Times New Roman"/>
                      <w:b/>
                      <w:bCs/>
                      <w:color w:val="auto"/>
                      <w:kern w:val="0"/>
                      <w:szCs w:val="21"/>
                    </w:rPr>
                  </w:pPr>
                  <w:r>
                    <w:rPr>
                      <w:rFonts w:ascii="Times New Roman" w:hAnsi="Times New Roman"/>
                      <w:b/>
                      <w:bCs/>
                      <w:color w:val="auto"/>
                      <w:kern w:val="0"/>
                      <w:szCs w:val="21"/>
                    </w:rPr>
                    <w:t>10480</w:t>
                  </w:r>
                </w:p>
              </w:tc>
              <w:tc>
                <w:tcPr>
                  <w:tcW w:w="526" w:type="pct"/>
                  <w:tcBorders>
                    <w:tl2br w:val="nil"/>
                    <w:tr2bl w:val="nil"/>
                  </w:tcBorders>
                  <w:noWrap/>
                  <w:vAlign w:val="center"/>
                </w:tcPr>
                <w:p w14:paraId="57BA5B31">
                  <w:pPr>
                    <w:widowControl/>
                    <w:jc w:val="center"/>
                    <w:rPr>
                      <w:rFonts w:ascii="Times New Roman" w:hAnsi="Times New Roman"/>
                      <w:b/>
                      <w:bCs/>
                      <w:color w:val="auto"/>
                      <w:kern w:val="0"/>
                      <w:szCs w:val="21"/>
                    </w:rPr>
                  </w:pPr>
                  <w:r>
                    <w:rPr>
                      <w:rFonts w:ascii="Times New Roman" w:hAnsi="Times New Roman"/>
                      <w:b/>
                      <w:bCs/>
                      <w:color w:val="auto"/>
                      <w:kern w:val="0"/>
                      <w:szCs w:val="21"/>
                    </w:rPr>
                    <w:t>8885</w:t>
                  </w:r>
                </w:p>
              </w:tc>
              <w:tc>
                <w:tcPr>
                  <w:tcW w:w="601" w:type="pct"/>
                  <w:tcBorders>
                    <w:tl2br w:val="nil"/>
                    <w:tr2bl w:val="nil"/>
                  </w:tcBorders>
                  <w:noWrap/>
                  <w:vAlign w:val="center"/>
                </w:tcPr>
                <w:p w14:paraId="23493E65">
                  <w:pPr>
                    <w:widowControl/>
                    <w:jc w:val="center"/>
                    <w:rPr>
                      <w:rFonts w:ascii="Times New Roman" w:hAnsi="Times New Roman"/>
                      <w:b/>
                      <w:bCs/>
                      <w:color w:val="auto"/>
                      <w:kern w:val="0"/>
                      <w:szCs w:val="21"/>
                    </w:rPr>
                  </w:pPr>
                  <w:r>
                    <w:rPr>
                      <w:rFonts w:ascii="Times New Roman" w:hAnsi="Times New Roman"/>
                      <w:b/>
                      <w:bCs/>
                      <w:color w:val="auto"/>
                      <w:kern w:val="0"/>
                      <w:szCs w:val="21"/>
                    </w:rPr>
                    <w:t>1595</w:t>
                  </w:r>
                </w:p>
              </w:tc>
              <w:tc>
                <w:tcPr>
                  <w:tcW w:w="447" w:type="pct"/>
                  <w:tcBorders>
                    <w:tl2br w:val="nil"/>
                    <w:tr2bl w:val="nil"/>
                  </w:tcBorders>
                  <w:noWrap/>
                  <w:vAlign w:val="center"/>
                </w:tcPr>
                <w:p w14:paraId="4BEB6921">
                  <w:pPr>
                    <w:widowControl/>
                    <w:jc w:val="center"/>
                    <w:rPr>
                      <w:rFonts w:ascii="Times New Roman" w:hAnsi="Times New Roman"/>
                      <w:b/>
                      <w:bCs/>
                      <w:color w:val="auto"/>
                      <w:kern w:val="0"/>
                      <w:szCs w:val="21"/>
                    </w:rPr>
                  </w:pPr>
                  <w:r>
                    <w:rPr>
                      <w:rFonts w:ascii="Times New Roman" w:hAnsi="Times New Roman"/>
                      <w:b/>
                      <w:bCs/>
                      <w:color w:val="auto"/>
                      <w:kern w:val="0"/>
                      <w:szCs w:val="21"/>
                    </w:rPr>
                    <w:t>10480</w:t>
                  </w:r>
                </w:p>
              </w:tc>
              <w:tc>
                <w:tcPr>
                  <w:tcW w:w="335" w:type="pct"/>
                  <w:tcBorders>
                    <w:tl2br w:val="nil"/>
                    <w:tr2bl w:val="nil"/>
                  </w:tcBorders>
                  <w:noWrap/>
                  <w:vAlign w:val="center"/>
                </w:tcPr>
                <w:p w14:paraId="212CF8EC">
                  <w:pPr>
                    <w:widowControl/>
                    <w:jc w:val="center"/>
                    <w:rPr>
                      <w:rFonts w:ascii="Times New Roman" w:hAnsi="Times New Roman"/>
                      <w:b/>
                      <w:bCs/>
                      <w:color w:val="auto"/>
                      <w:kern w:val="0"/>
                      <w:szCs w:val="21"/>
                    </w:rPr>
                  </w:pPr>
                  <w:r>
                    <w:rPr>
                      <w:rFonts w:ascii="Times New Roman" w:hAnsi="Times New Roman"/>
                      <w:b/>
                      <w:bCs/>
                      <w:color w:val="auto"/>
                      <w:kern w:val="0"/>
                      <w:szCs w:val="21"/>
                    </w:rPr>
                    <w:t>0</w:t>
                  </w:r>
                </w:p>
              </w:tc>
              <w:tc>
                <w:tcPr>
                  <w:tcW w:w="335" w:type="pct"/>
                  <w:tcBorders>
                    <w:tl2br w:val="nil"/>
                    <w:tr2bl w:val="nil"/>
                  </w:tcBorders>
                  <w:noWrap/>
                  <w:vAlign w:val="center"/>
                </w:tcPr>
                <w:p w14:paraId="555638B8">
                  <w:pPr>
                    <w:widowControl/>
                    <w:jc w:val="center"/>
                    <w:rPr>
                      <w:rFonts w:ascii="Times New Roman" w:hAnsi="Times New Roman"/>
                      <w:b/>
                      <w:bCs/>
                      <w:color w:val="auto"/>
                      <w:kern w:val="0"/>
                      <w:szCs w:val="21"/>
                    </w:rPr>
                  </w:pPr>
                  <w:r>
                    <w:rPr>
                      <w:rFonts w:ascii="Times New Roman" w:hAnsi="Times New Roman"/>
                      <w:b/>
                      <w:bCs/>
                      <w:color w:val="auto"/>
                      <w:kern w:val="0"/>
                      <w:szCs w:val="21"/>
                    </w:rPr>
                    <w:t>0</w:t>
                  </w:r>
                </w:p>
              </w:tc>
              <w:tc>
                <w:tcPr>
                  <w:tcW w:w="335" w:type="pct"/>
                  <w:tcBorders>
                    <w:tl2br w:val="nil"/>
                    <w:tr2bl w:val="nil"/>
                  </w:tcBorders>
                  <w:noWrap/>
                  <w:vAlign w:val="center"/>
                </w:tcPr>
                <w:p w14:paraId="67CAD384">
                  <w:pPr>
                    <w:widowControl/>
                    <w:jc w:val="center"/>
                    <w:rPr>
                      <w:rFonts w:ascii="Times New Roman" w:hAnsi="Times New Roman"/>
                      <w:b/>
                      <w:bCs/>
                      <w:color w:val="auto"/>
                      <w:kern w:val="0"/>
                      <w:szCs w:val="21"/>
                    </w:rPr>
                  </w:pPr>
                  <w:r>
                    <w:rPr>
                      <w:rFonts w:ascii="Times New Roman" w:hAnsi="Times New Roman"/>
                      <w:b/>
                      <w:bCs/>
                      <w:color w:val="auto"/>
                      <w:kern w:val="0"/>
                      <w:szCs w:val="21"/>
                    </w:rPr>
                    <w:t>0</w:t>
                  </w:r>
                </w:p>
              </w:tc>
              <w:tc>
                <w:tcPr>
                  <w:tcW w:w="335" w:type="pct"/>
                  <w:tcBorders>
                    <w:tl2br w:val="nil"/>
                    <w:tr2bl w:val="nil"/>
                  </w:tcBorders>
                  <w:noWrap/>
                  <w:vAlign w:val="center"/>
                </w:tcPr>
                <w:p w14:paraId="6B2165A3">
                  <w:pPr>
                    <w:widowControl/>
                    <w:jc w:val="center"/>
                    <w:rPr>
                      <w:rFonts w:ascii="Times New Roman" w:hAnsi="Times New Roman"/>
                      <w:b/>
                      <w:bCs/>
                      <w:color w:val="auto"/>
                      <w:kern w:val="0"/>
                      <w:szCs w:val="21"/>
                    </w:rPr>
                  </w:pPr>
                  <w:r>
                    <w:rPr>
                      <w:rFonts w:ascii="Times New Roman" w:hAnsi="Times New Roman"/>
                      <w:b/>
                      <w:bCs/>
                      <w:color w:val="auto"/>
                      <w:kern w:val="0"/>
                      <w:szCs w:val="21"/>
                    </w:rPr>
                    <w:t>0</w:t>
                  </w:r>
                </w:p>
              </w:tc>
            </w:tr>
          </w:tbl>
          <w:p w14:paraId="240ED33E">
            <w:pPr>
              <w:ind w:firstLine="420" w:firstLineChars="200"/>
              <w:rPr>
                <w:rFonts w:ascii="Times New Roman" w:hAnsi="Times New Roman" w:eastAsia="方正仿宋_GB2312"/>
                <w:color w:val="auto"/>
                <w:szCs w:val="21"/>
              </w:rPr>
            </w:pPr>
            <w:r>
              <w:rPr>
                <w:rFonts w:ascii="Times New Roman" w:hAnsi="Times New Roman"/>
                <w:color w:val="auto"/>
                <w:szCs w:val="21"/>
                <w:lang w:bidi="ar"/>
              </w:rPr>
              <w:t>注：开挖+调入+外借＝回填+调出+废弃，表内所列土石方均为自然方。</w:t>
            </w:r>
          </w:p>
          <w:p w14:paraId="67CABD93">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综上，</w:t>
            </w:r>
            <w:r>
              <w:rPr>
                <w:rFonts w:ascii="Times New Roman" w:hAnsi="Times New Roman" w:cs="Times New Roman"/>
                <w:color w:val="auto"/>
                <w:sz w:val="24"/>
                <w:lang w:val="zh-CN"/>
              </w:rPr>
              <w:t>项目无废弃</w:t>
            </w:r>
            <w:r>
              <w:rPr>
                <w:rFonts w:ascii="Times New Roman" w:hAnsi="Times New Roman" w:cs="Times New Roman"/>
                <w:color w:val="auto"/>
                <w:sz w:val="24"/>
              </w:rPr>
              <w:t>土石方，对环境影响较小。</w:t>
            </w:r>
          </w:p>
          <w:p w14:paraId="67D79840">
            <w:pPr>
              <w:pStyle w:val="51"/>
              <w:adjustRightInd w:val="0"/>
              <w:snapToGrid w:val="0"/>
              <w:spacing w:line="440" w:lineRule="exact"/>
              <w:ind w:firstLine="464" w:firstLineChars="200"/>
              <w:jc w:val="both"/>
              <w:rPr>
                <w:rFonts w:ascii="Times New Roman" w:hAnsi="Times New Roman" w:cs="Times New Roman"/>
                <w:color w:val="auto"/>
                <w:spacing w:val="-4"/>
                <w:sz w:val="24"/>
              </w:rPr>
            </w:pPr>
            <w:r>
              <w:rPr>
                <w:rFonts w:ascii="Times New Roman" w:hAnsi="Times New Roman" w:cs="Times New Roman"/>
                <w:color w:val="auto"/>
                <w:spacing w:val="-4"/>
                <w:sz w:val="24"/>
              </w:rPr>
              <w:t>（2）施工建筑垃圾</w:t>
            </w:r>
          </w:p>
          <w:p w14:paraId="54F8C603">
            <w:pPr>
              <w:adjustRightInd w:val="0"/>
              <w:snapToGrid w:val="0"/>
              <w:spacing w:line="440" w:lineRule="exact"/>
              <w:ind w:firstLine="480" w:firstLineChars="200"/>
              <w:rPr>
                <w:rFonts w:ascii="Times New Roman" w:hAnsi="Times New Roman"/>
                <w:color w:val="auto"/>
                <w:kern w:val="0"/>
                <w:sz w:val="24"/>
              </w:rPr>
            </w:pPr>
            <w:r>
              <w:rPr>
                <w:rFonts w:ascii="Times New Roman" w:hAnsi="Times New Roman"/>
                <w:color w:val="auto"/>
                <w:sz w:val="24"/>
              </w:rPr>
              <w:t>施工期的建筑垃圾是在建筑物的建设、装修过</w:t>
            </w:r>
            <w:r>
              <w:rPr>
                <w:rFonts w:hint="eastAsia" w:ascii="Times New Roman" w:hAnsi="Times New Roman"/>
                <w:color w:val="auto"/>
                <w:sz w:val="24"/>
              </w:rPr>
              <w:t>程中</w:t>
            </w:r>
            <w:r>
              <w:rPr>
                <w:rFonts w:ascii="Times New Roman" w:hAnsi="Times New Roman"/>
                <w:color w:val="auto"/>
                <w:sz w:val="24"/>
              </w:rPr>
              <w:t>产生的，主要有土、渣土、废钢筋和各种废钢配件，金属管线废料、木屑、刨花、各种装饰材料的包装箱、包装袋等、散落的砂浆和混凝土，碎砖和碎混凝土块。这些废弃物基本上不溶解、不腐烂变质，如处理不当，会影响景观和周围环境的质量。施工期固体废物的另一环境影响也是伴随着水土流失的发生而发生的。产生的建筑垃圾进行集中收集、回收利用，不可利用的建筑垃圾委托有资质单位运至相关主管部门指定建筑垃圾处置场规范处置。</w:t>
            </w:r>
          </w:p>
          <w:p w14:paraId="66D1371B">
            <w:pPr>
              <w:pStyle w:val="6"/>
              <w:adjustRightInd w:val="0"/>
              <w:snapToGrid w:val="0"/>
              <w:spacing w:line="440" w:lineRule="exact"/>
              <w:ind w:firstLine="480" w:firstLineChars="200"/>
              <w:rPr>
                <w:rFonts w:ascii="Times New Roman" w:hAnsi="Times New Roman"/>
                <w:b w:val="0"/>
                <w:bCs w:val="0"/>
                <w:color w:val="auto"/>
              </w:rPr>
            </w:pPr>
            <w:r>
              <w:rPr>
                <w:rFonts w:ascii="Times New Roman" w:hAnsi="Times New Roman"/>
                <w:b w:val="0"/>
                <w:bCs w:val="0"/>
                <w:color w:val="auto"/>
              </w:rPr>
              <w:t>（3）施工人员生活垃圾</w:t>
            </w:r>
          </w:p>
          <w:p w14:paraId="033BF4BC">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施工期生活垃圾主要为有机废物，如不及时进行清理，则会腐烂变质，滋生蚊虫苍蝇，产生恶臭，传染疾病，从而对周围环境和作业人员健康带来不利影响。故对施工人员的生活垃圾</w:t>
            </w:r>
            <w:r>
              <w:rPr>
                <w:rFonts w:hint="eastAsia" w:ascii="Times New Roman" w:hAnsi="Times New Roman"/>
                <w:color w:val="auto"/>
                <w:sz w:val="24"/>
              </w:rPr>
              <w:t>经集中收集</w:t>
            </w:r>
            <w:r>
              <w:rPr>
                <w:rFonts w:ascii="Times New Roman" w:hAnsi="Times New Roman"/>
                <w:color w:val="auto"/>
                <w:sz w:val="24"/>
              </w:rPr>
              <w:t>后，委托当地环卫部门定期清运处置。管理得当、收集清运及时不会对环境造成影响。</w:t>
            </w:r>
          </w:p>
          <w:p w14:paraId="2E286F5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rPr>
              <w:t>综上所述，本项目建筑垃圾</w:t>
            </w:r>
            <w:r>
              <w:rPr>
                <w:rFonts w:hint="eastAsia" w:ascii="Times New Roman" w:hAnsi="Times New Roman"/>
                <w:color w:val="auto"/>
                <w:sz w:val="24"/>
              </w:rPr>
              <w:t>、土方</w:t>
            </w:r>
            <w:r>
              <w:rPr>
                <w:rFonts w:ascii="Times New Roman" w:hAnsi="Times New Roman"/>
                <w:color w:val="auto"/>
                <w:sz w:val="24"/>
              </w:rPr>
              <w:t>、生活垃圾等固体废物</w:t>
            </w:r>
            <w:r>
              <w:rPr>
                <w:rFonts w:hint="eastAsia" w:ascii="Times New Roman" w:hAnsi="Times New Roman"/>
                <w:color w:val="auto"/>
                <w:sz w:val="24"/>
              </w:rPr>
              <w:t>，</w:t>
            </w:r>
            <w:r>
              <w:rPr>
                <w:rFonts w:ascii="Times New Roman" w:hAnsi="Times New Roman"/>
                <w:color w:val="auto"/>
                <w:sz w:val="24"/>
              </w:rPr>
              <w:t>施工过程中只要严格执行以上措施，施工期固体废弃物对周围环境影响不大。</w:t>
            </w:r>
          </w:p>
          <w:p w14:paraId="604357E8">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4.1.6声环境影响分析</w:t>
            </w:r>
          </w:p>
          <w:p w14:paraId="12905C31">
            <w:pPr>
              <w:adjustRightInd w:val="0"/>
              <w:snapToGrid w:val="0"/>
              <w:spacing w:line="440" w:lineRule="exact"/>
              <w:ind w:firstLine="480" w:firstLineChars="200"/>
              <w:rPr>
                <w:rFonts w:ascii="Times New Roman" w:hAnsi="Times New Roman"/>
                <w:b/>
                <w:bCs/>
                <w:color w:val="auto"/>
                <w:sz w:val="24"/>
                <w:szCs w:val="24"/>
              </w:rPr>
            </w:pPr>
            <w:r>
              <w:rPr>
                <w:rFonts w:hint="eastAsia" w:ascii="Times New Roman" w:hAnsi="Times New Roman"/>
                <w:color w:val="auto"/>
                <w:sz w:val="24"/>
              </w:rPr>
              <w:t>本项目新建输电线路施工不涉及大型器械。噪声污染源主要为建筑装修材料的运输装卸、施工现场内车辆行驶时产生的机械噪声和交通运输噪声等。</w:t>
            </w:r>
          </w:p>
          <w:p w14:paraId="472D6F69">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（1）</w:t>
            </w:r>
            <w:r>
              <w:rPr>
                <w:rFonts w:ascii="Times New Roman" w:hAnsi="Times New Roman"/>
                <w:b/>
                <w:bCs/>
                <w:color w:val="auto"/>
                <w:sz w:val="24"/>
                <w:szCs w:val="24"/>
              </w:rPr>
              <w:t>输电线路施工噪声影响分析</w:t>
            </w:r>
          </w:p>
          <w:p w14:paraId="3517DE0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架空输电线路主要施工活动包括</w:t>
            </w:r>
            <w:r>
              <w:rPr>
                <w:rFonts w:hint="eastAsia" w:ascii="Times New Roman" w:hAnsi="Times New Roman"/>
                <w:color w:val="auto"/>
                <w:sz w:val="24"/>
                <w:szCs w:val="24"/>
              </w:rPr>
              <w:t>建筑</w:t>
            </w:r>
            <w:r>
              <w:rPr>
                <w:rFonts w:ascii="Times New Roman" w:hAnsi="Times New Roman"/>
                <w:color w:val="auto"/>
                <w:sz w:val="24"/>
                <w:szCs w:val="24"/>
              </w:rPr>
              <w:t>材料运输、杆塔基础施工、杆塔组立及导线架设等几个方面。根据输电线路塔基施工特点，各施工点施工量小，施工时间短，单塔累计施工时间一般在2个月以内，在靠近施工点时，一般采用人抬马驮</w:t>
            </w:r>
            <w:r>
              <w:rPr>
                <w:rFonts w:hint="eastAsia" w:ascii="Times New Roman" w:hAnsi="Times New Roman"/>
                <w:color w:val="auto"/>
                <w:sz w:val="24"/>
                <w:szCs w:val="24"/>
              </w:rPr>
              <w:t>相结合的方式进行</w:t>
            </w:r>
            <w:r>
              <w:rPr>
                <w:rFonts w:ascii="Times New Roman" w:hAnsi="Times New Roman"/>
                <w:color w:val="auto"/>
                <w:sz w:val="24"/>
                <w:szCs w:val="24"/>
              </w:rPr>
              <w:t>材料运输，线路塔基距离居民住房较远，本评价建议在施工过程中应注意文明施工、合理安排施工时间，在设备选型时选用符合国家标准的低噪声施工设备，避免施工作业对居民日常生活产生较大的影响。</w:t>
            </w:r>
          </w:p>
          <w:p w14:paraId="6FAE301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本项目输电线路共设置</w:t>
            </w:r>
            <w:r>
              <w:rPr>
                <w:rFonts w:hint="eastAsia" w:ascii="Times New Roman" w:hAnsi="Times New Roman"/>
                <w:color w:val="auto"/>
                <w:sz w:val="24"/>
                <w:szCs w:val="24"/>
              </w:rPr>
              <w:t>4</w:t>
            </w:r>
            <w:r>
              <w:rPr>
                <w:rFonts w:ascii="Times New Roman" w:hAnsi="Times New Roman"/>
                <w:color w:val="auto"/>
                <w:sz w:val="24"/>
                <w:szCs w:val="24"/>
              </w:rPr>
              <w:t>个牵张场，塔基</w:t>
            </w:r>
            <w:r>
              <w:rPr>
                <w:rFonts w:hint="eastAsia" w:ascii="Times New Roman" w:hAnsi="Times New Roman"/>
                <w:color w:val="auto"/>
                <w:sz w:val="24"/>
                <w:szCs w:val="24"/>
              </w:rPr>
              <w:t>共61</w:t>
            </w:r>
            <w:r>
              <w:rPr>
                <w:rFonts w:ascii="Times New Roman" w:hAnsi="Times New Roman"/>
                <w:color w:val="auto"/>
                <w:sz w:val="24"/>
                <w:szCs w:val="24"/>
              </w:rPr>
              <w:t>基。输电线路在施工期的</w:t>
            </w:r>
            <w:r>
              <w:rPr>
                <w:rFonts w:hint="eastAsia" w:ascii="Times New Roman" w:hAnsi="Times New Roman"/>
                <w:color w:val="auto"/>
                <w:sz w:val="24"/>
                <w:szCs w:val="24"/>
              </w:rPr>
              <w:t>塔基</w:t>
            </w:r>
            <w:r>
              <w:rPr>
                <w:rFonts w:ascii="Times New Roman" w:hAnsi="Times New Roman"/>
                <w:color w:val="auto"/>
                <w:sz w:val="24"/>
                <w:szCs w:val="24"/>
              </w:rPr>
              <w:t>开挖、</w:t>
            </w:r>
            <w:r>
              <w:rPr>
                <w:rFonts w:hint="eastAsia" w:ascii="Times New Roman" w:hAnsi="Times New Roman"/>
                <w:color w:val="auto"/>
                <w:sz w:val="24"/>
                <w:szCs w:val="24"/>
              </w:rPr>
              <w:t>回</w:t>
            </w:r>
            <w:r>
              <w:rPr>
                <w:rFonts w:ascii="Times New Roman" w:hAnsi="Times New Roman"/>
                <w:color w:val="auto"/>
                <w:sz w:val="24"/>
                <w:szCs w:val="24"/>
              </w:rPr>
              <w:t>填、土建及导线架</w:t>
            </w:r>
            <w:r>
              <w:rPr>
                <w:rFonts w:hint="eastAsia" w:ascii="Times New Roman" w:hAnsi="Times New Roman"/>
                <w:color w:val="auto"/>
                <w:sz w:val="24"/>
                <w:szCs w:val="24"/>
              </w:rPr>
              <w:t>设</w:t>
            </w:r>
            <w:r>
              <w:rPr>
                <w:rFonts w:ascii="Times New Roman" w:hAnsi="Times New Roman"/>
                <w:color w:val="auto"/>
                <w:sz w:val="24"/>
                <w:szCs w:val="24"/>
              </w:rPr>
              <w:t>、设备安装调试等几个阶段中，主要噪声源有</w:t>
            </w:r>
            <w:r>
              <w:rPr>
                <w:rFonts w:hint="eastAsia" w:ascii="Times New Roman" w:hAnsi="Times New Roman"/>
                <w:color w:val="auto"/>
                <w:sz w:val="24"/>
                <w:szCs w:val="24"/>
              </w:rPr>
              <w:t>振捣器、挖掘机、载重</w:t>
            </w:r>
            <w:r>
              <w:rPr>
                <w:rFonts w:ascii="Times New Roman" w:hAnsi="Times New Roman"/>
                <w:color w:val="auto"/>
                <w:sz w:val="24"/>
                <w:szCs w:val="24"/>
              </w:rPr>
              <w:t>汽车</w:t>
            </w:r>
            <w:r>
              <w:rPr>
                <w:rFonts w:hint="eastAsia" w:ascii="Times New Roman" w:hAnsi="Times New Roman"/>
                <w:color w:val="auto"/>
                <w:sz w:val="24"/>
                <w:szCs w:val="24"/>
              </w:rPr>
              <w:t>、卷扬机、电焊机等</w:t>
            </w:r>
            <w:r>
              <w:rPr>
                <w:rFonts w:ascii="Times New Roman" w:hAnsi="Times New Roman"/>
                <w:color w:val="auto"/>
                <w:sz w:val="24"/>
                <w:szCs w:val="24"/>
              </w:rPr>
              <w:t>施工机械设备</w:t>
            </w:r>
            <w:r>
              <w:rPr>
                <w:rFonts w:hint="eastAsia" w:ascii="Times New Roman" w:hAnsi="Times New Roman"/>
                <w:color w:val="auto"/>
                <w:sz w:val="24"/>
                <w:szCs w:val="24"/>
              </w:rPr>
              <w:t>等</w:t>
            </w:r>
            <w:r>
              <w:rPr>
                <w:rFonts w:ascii="Times New Roman" w:hAnsi="Times New Roman"/>
                <w:color w:val="auto"/>
                <w:sz w:val="24"/>
                <w:szCs w:val="24"/>
              </w:rPr>
              <w:t>，施工设备运行时会产生噪声源强为</w:t>
            </w:r>
            <w:r>
              <w:rPr>
                <w:rFonts w:hint="eastAsia" w:ascii="Times New Roman" w:hAnsi="Times New Roman"/>
                <w:color w:val="auto"/>
                <w:sz w:val="24"/>
                <w:szCs w:val="24"/>
              </w:rPr>
              <w:t>80</w:t>
            </w:r>
            <w:r>
              <w:rPr>
                <w:rFonts w:ascii="Times New Roman" w:hAnsi="Times New Roman"/>
                <w:color w:val="auto"/>
                <w:sz w:val="24"/>
                <w:szCs w:val="24"/>
              </w:rPr>
              <w:t>~</w:t>
            </w:r>
            <w:r>
              <w:rPr>
                <w:rFonts w:hint="eastAsia" w:ascii="Times New Roman" w:hAnsi="Times New Roman"/>
                <w:color w:val="auto"/>
                <w:sz w:val="24"/>
                <w:szCs w:val="24"/>
              </w:rPr>
              <w:t>95</w:t>
            </w:r>
            <w:r>
              <w:rPr>
                <w:rFonts w:ascii="Times New Roman" w:hAnsi="Times New Roman"/>
                <w:color w:val="auto"/>
                <w:sz w:val="24"/>
                <w:szCs w:val="24"/>
              </w:rPr>
              <w:t>dB</w:t>
            </w:r>
            <w:r>
              <w:rPr>
                <w:rFonts w:hint="eastAsia" w:ascii="Times New Roman" w:hAnsi="Times New Roman"/>
                <w:color w:val="auto"/>
                <w:sz w:val="24"/>
                <w:szCs w:val="24"/>
              </w:rPr>
              <w:t>（</w:t>
            </w:r>
            <w:r>
              <w:rPr>
                <w:rFonts w:ascii="Times New Roman" w:hAnsi="Times New Roman"/>
                <w:color w:val="auto"/>
                <w:sz w:val="24"/>
                <w:szCs w:val="24"/>
              </w:rPr>
              <w:t>A</w:t>
            </w:r>
            <w:r>
              <w:rPr>
                <w:rFonts w:hint="eastAsia" w:ascii="Times New Roman" w:hAnsi="Times New Roman"/>
                <w:color w:val="auto"/>
                <w:sz w:val="24"/>
                <w:szCs w:val="24"/>
              </w:rPr>
              <w:t>）</w:t>
            </w:r>
            <w:r>
              <w:rPr>
                <w:rFonts w:ascii="Times New Roman" w:hAnsi="Times New Roman"/>
                <w:color w:val="auto"/>
                <w:sz w:val="24"/>
                <w:szCs w:val="24"/>
              </w:rPr>
              <w:t>。另外，在架线施工过程中，各牵张场内的</w:t>
            </w:r>
            <w:r>
              <w:rPr>
                <w:rFonts w:hint="eastAsia" w:ascii="Times New Roman" w:hAnsi="Times New Roman"/>
                <w:color w:val="auto"/>
                <w:sz w:val="24"/>
                <w:szCs w:val="24"/>
              </w:rPr>
              <w:t>牵引机、张力机、</w:t>
            </w:r>
            <w:r>
              <w:rPr>
                <w:rFonts w:ascii="Times New Roman" w:hAnsi="Times New Roman"/>
                <w:color w:val="auto"/>
                <w:sz w:val="24"/>
                <w:szCs w:val="24"/>
              </w:rPr>
              <w:t>绞磨机等设备也产生一定的机械噪声，其声级值在</w:t>
            </w:r>
            <w:r>
              <w:rPr>
                <w:rFonts w:hint="eastAsia" w:ascii="Times New Roman" w:hAnsi="Times New Roman"/>
                <w:color w:val="auto"/>
                <w:sz w:val="24"/>
                <w:szCs w:val="24"/>
              </w:rPr>
              <w:t>70</w:t>
            </w:r>
            <w:r>
              <w:rPr>
                <w:rFonts w:ascii="Times New Roman" w:hAnsi="Times New Roman"/>
                <w:color w:val="auto"/>
                <w:sz w:val="24"/>
                <w:szCs w:val="24"/>
              </w:rPr>
              <w:t>~</w:t>
            </w:r>
            <w:r>
              <w:rPr>
                <w:rFonts w:hint="eastAsia" w:ascii="Times New Roman" w:hAnsi="Times New Roman"/>
                <w:color w:val="auto"/>
                <w:sz w:val="24"/>
                <w:szCs w:val="24"/>
              </w:rPr>
              <w:t>80</w:t>
            </w:r>
            <w:r>
              <w:rPr>
                <w:rFonts w:ascii="Times New Roman" w:hAnsi="Times New Roman"/>
                <w:color w:val="auto"/>
                <w:sz w:val="24"/>
                <w:szCs w:val="24"/>
              </w:rPr>
              <w:t>dB（A）之间；施工期牵张场的布置尽量选择荒草地或裸露地表，并尽量远离线路周边的居民点，减小牵张场设备噪声对居民生活的影响。</w:t>
            </w:r>
          </w:p>
          <w:p w14:paraId="087822B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按点声源衰减模式计算噪声的距离衰减，公式为：</w:t>
            </w:r>
          </w:p>
          <w:p w14:paraId="03D7EAFF">
            <w:pPr>
              <w:adjustRightInd w:val="0"/>
              <w:snapToGrid w:val="0"/>
              <w:spacing w:line="440" w:lineRule="exact"/>
              <w:ind w:firstLine="480" w:firstLineChars="200"/>
              <w:jc w:val="center"/>
              <w:rPr>
                <w:rFonts w:ascii="Times New Roman" w:hAnsi="Times New Roman"/>
                <w:color w:val="auto"/>
                <w:sz w:val="24"/>
                <w:szCs w:val="24"/>
              </w:rPr>
            </w:pPr>
            <w:r>
              <w:rPr>
                <w:rFonts w:ascii="Times New Roman" w:hAnsi="Times New Roman"/>
                <w:color w:val="auto"/>
                <w:sz w:val="24"/>
                <w:szCs w:val="24"/>
              </w:rPr>
              <w:t>L2=L1-20lg</w:t>
            </w:r>
            <w:r>
              <w:rPr>
                <w:rFonts w:hint="eastAsia" w:ascii="Times New Roman" w:hAnsi="Times New Roman"/>
                <w:color w:val="auto"/>
                <w:sz w:val="24"/>
                <w:szCs w:val="24"/>
              </w:rPr>
              <w:t>（</w:t>
            </w:r>
            <w:r>
              <w:rPr>
                <w:rFonts w:ascii="Times New Roman" w:hAnsi="Times New Roman"/>
                <w:color w:val="auto"/>
                <w:sz w:val="24"/>
                <w:szCs w:val="24"/>
              </w:rPr>
              <w:t>r2/r1</w:t>
            </w:r>
            <w:r>
              <w:rPr>
                <w:rFonts w:hint="eastAsia" w:ascii="Times New Roman" w:hAnsi="Times New Roman"/>
                <w:color w:val="auto"/>
                <w:sz w:val="24"/>
                <w:szCs w:val="24"/>
              </w:rPr>
              <w:t>）</w:t>
            </w:r>
          </w:p>
          <w:p w14:paraId="0D5EF46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式中：L1、L2分别为距声源r1、r2处的等效声级值[dB(A)]；r1、r2为接受点距声源的距离（m）。</w:t>
            </w:r>
          </w:p>
          <w:p w14:paraId="0ED3F7DB">
            <w:pPr>
              <w:adjustRightInd w:val="0"/>
              <w:snapToGrid w:val="0"/>
              <w:spacing w:line="440" w:lineRule="exact"/>
              <w:ind w:firstLine="480" w:firstLineChars="200"/>
              <w:jc w:val="center"/>
              <w:rPr>
                <w:rFonts w:ascii="Times New Roman" w:hAnsi="Times New Roman"/>
                <w:color w:val="auto"/>
                <w:sz w:val="24"/>
                <w:szCs w:val="24"/>
              </w:rPr>
            </w:pPr>
            <w:r>
              <w:rPr>
                <w:rFonts w:ascii="Times New Roman" w:hAnsi="Times New Roman"/>
                <w:color w:val="auto"/>
                <w:sz w:val="24"/>
                <w:szCs w:val="24"/>
              </w:rPr>
              <w:t>△L=L1-L2=20lg</w:t>
            </w:r>
            <w:r>
              <w:rPr>
                <w:rFonts w:hint="eastAsia" w:ascii="Times New Roman" w:hAnsi="Times New Roman"/>
                <w:color w:val="auto"/>
                <w:sz w:val="24"/>
                <w:szCs w:val="24"/>
              </w:rPr>
              <w:t>（</w:t>
            </w:r>
            <w:r>
              <w:rPr>
                <w:rFonts w:ascii="Times New Roman" w:hAnsi="Times New Roman"/>
                <w:color w:val="auto"/>
                <w:sz w:val="24"/>
                <w:szCs w:val="24"/>
              </w:rPr>
              <w:t>r2/r1</w:t>
            </w:r>
            <w:r>
              <w:rPr>
                <w:rFonts w:hint="eastAsia" w:ascii="Times New Roman" w:hAnsi="Times New Roman"/>
                <w:color w:val="auto"/>
                <w:sz w:val="24"/>
                <w:szCs w:val="24"/>
              </w:rPr>
              <w:t>）</w:t>
            </w:r>
          </w:p>
          <w:p w14:paraId="74D8428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预测主要施工机械在不同距离贡献值，预测结果如下：</w:t>
            </w:r>
          </w:p>
          <w:p w14:paraId="277C46AD">
            <w:pPr>
              <w:pStyle w:val="15"/>
              <w:adjustRightInd w:val="0"/>
              <w:snapToGrid w:val="0"/>
              <w:spacing w:line="240" w:lineRule="auto"/>
              <w:jc w:val="center"/>
              <w:rPr>
                <w:rFonts w:ascii="Times New Roman" w:hAnsi="Times New Roman"/>
                <w:b/>
                <w:bCs/>
                <w:color w:val="auto"/>
                <w:sz w:val="24"/>
                <w:szCs w:val="24"/>
              </w:rPr>
            </w:pPr>
            <w:r>
              <w:rPr>
                <w:rFonts w:hint="eastAsia" w:ascii="Times New Roman" w:hAnsi="Times New Roman"/>
                <w:b/>
                <w:bCs/>
                <w:color w:val="auto"/>
                <w:sz w:val="24"/>
                <w:szCs w:val="24"/>
              </w:rPr>
              <w:t xml:space="preserve">表4-10  </w:t>
            </w:r>
            <w:r>
              <w:rPr>
                <w:rFonts w:ascii="Times New Roman" w:hAnsi="Times New Roman"/>
                <w:b/>
                <w:color w:val="auto"/>
                <w:sz w:val="24"/>
              </w:rPr>
              <w:t>主要噪声设备在不同距离的噪声衰减及贡献值</w:t>
            </w:r>
            <w:r>
              <w:rPr>
                <w:rFonts w:hint="eastAsia" w:ascii="Times New Roman" w:hAnsi="Times New Roman"/>
                <w:b/>
                <w:color w:val="auto"/>
                <w:sz w:val="24"/>
              </w:rPr>
              <w:t xml:space="preserve"> </w:t>
            </w:r>
            <w:r>
              <w:rPr>
                <w:rFonts w:ascii="Times New Roman" w:hAnsi="Times New Roman"/>
                <w:b/>
                <w:color w:val="auto"/>
                <w:sz w:val="24"/>
              </w:rPr>
              <w:t xml:space="preserve"> 单位：dB（A）</w:t>
            </w:r>
          </w:p>
          <w:tbl>
            <w:tblPr>
              <w:tblStyle w:val="27"/>
              <w:tblW w:w="8422" w:type="dxa"/>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737"/>
              <w:gridCol w:w="584"/>
              <w:gridCol w:w="534"/>
              <w:gridCol w:w="535"/>
              <w:gridCol w:w="535"/>
              <w:gridCol w:w="535"/>
              <w:gridCol w:w="535"/>
              <w:gridCol w:w="677"/>
              <w:gridCol w:w="677"/>
              <w:gridCol w:w="677"/>
              <w:gridCol w:w="678"/>
              <w:gridCol w:w="718"/>
            </w:tblGrid>
            <w:tr w14:paraId="2D466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vMerge w:val="restart"/>
                  <w:tcBorders>
                    <w:tl2br w:val="nil"/>
                    <w:tr2bl w:val="nil"/>
                  </w:tcBorders>
                  <w:vAlign w:val="center"/>
                </w:tcPr>
                <w:p w14:paraId="65B01F68">
                  <w:pPr>
                    <w:adjustRightInd w:val="0"/>
                    <w:snapToGrid w:val="0"/>
                    <w:jc w:val="center"/>
                    <w:rPr>
                      <w:rFonts w:ascii="Times New Roman" w:hAnsi="Times New Roman"/>
                      <w:b/>
                      <w:color w:val="auto"/>
                      <w:szCs w:val="21"/>
                    </w:rPr>
                  </w:pPr>
                  <w:r>
                    <w:rPr>
                      <w:rFonts w:ascii="Times New Roman" w:hAnsi="Times New Roman"/>
                      <w:b/>
                      <w:color w:val="auto"/>
                      <w:szCs w:val="21"/>
                    </w:rPr>
                    <w:t>机械名称</w:t>
                  </w:r>
                </w:p>
              </w:tc>
              <w:tc>
                <w:tcPr>
                  <w:tcW w:w="6685" w:type="dxa"/>
                  <w:gridSpan w:val="11"/>
                  <w:tcBorders>
                    <w:tl2br w:val="nil"/>
                    <w:tr2bl w:val="nil"/>
                  </w:tcBorders>
                  <w:vAlign w:val="center"/>
                </w:tcPr>
                <w:p w14:paraId="30B1BA57">
                  <w:pPr>
                    <w:adjustRightInd w:val="0"/>
                    <w:snapToGrid w:val="0"/>
                    <w:jc w:val="center"/>
                    <w:rPr>
                      <w:rFonts w:ascii="Times New Roman" w:hAnsi="Times New Roman"/>
                      <w:b/>
                      <w:color w:val="auto"/>
                      <w:szCs w:val="21"/>
                    </w:rPr>
                  </w:pPr>
                  <w:r>
                    <w:rPr>
                      <w:rFonts w:ascii="Times New Roman" w:hAnsi="Times New Roman"/>
                      <w:b/>
                      <w:color w:val="auto"/>
                      <w:szCs w:val="21"/>
                    </w:rPr>
                    <w:t>不同距离处的噪声预测（dB(A)</w:t>
                  </w:r>
                  <w:r>
                    <w:rPr>
                      <w:rFonts w:hint="eastAsia" w:ascii="Times New Roman" w:hAnsi="Times New Roman"/>
                      <w:b/>
                      <w:color w:val="auto"/>
                      <w:szCs w:val="21"/>
                    </w:rPr>
                    <w:t>）</w:t>
                  </w:r>
                </w:p>
              </w:tc>
            </w:tr>
            <w:tr w14:paraId="1F373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vMerge w:val="continue"/>
                  <w:tcBorders>
                    <w:tl2br w:val="nil"/>
                    <w:tr2bl w:val="nil"/>
                  </w:tcBorders>
                  <w:vAlign w:val="center"/>
                </w:tcPr>
                <w:p w14:paraId="002EC975">
                  <w:pPr>
                    <w:adjustRightInd w:val="0"/>
                    <w:snapToGrid w:val="0"/>
                    <w:jc w:val="center"/>
                    <w:rPr>
                      <w:rFonts w:ascii="Times New Roman" w:hAnsi="Times New Roman"/>
                      <w:b/>
                      <w:color w:val="auto"/>
                      <w:szCs w:val="21"/>
                    </w:rPr>
                  </w:pPr>
                </w:p>
              </w:tc>
              <w:tc>
                <w:tcPr>
                  <w:tcW w:w="584" w:type="dxa"/>
                  <w:tcBorders>
                    <w:tl2br w:val="nil"/>
                    <w:tr2bl w:val="nil"/>
                  </w:tcBorders>
                  <w:vAlign w:val="center"/>
                </w:tcPr>
                <w:p w14:paraId="1DF33598">
                  <w:pPr>
                    <w:adjustRightInd w:val="0"/>
                    <w:snapToGrid w:val="0"/>
                    <w:jc w:val="center"/>
                    <w:rPr>
                      <w:rFonts w:ascii="Times New Roman" w:hAnsi="Times New Roman"/>
                      <w:b/>
                      <w:color w:val="auto"/>
                      <w:szCs w:val="21"/>
                    </w:rPr>
                  </w:pPr>
                  <w:r>
                    <w:rPr>
                      <w:rFonts w:ascii="Times New Roman" w:hAnsi="Times New Roman"/>
                      <w:b/>
                      <w:color w:val="auto"/>
                      <w:szCs w:val="21"/>
                    </w:rPr>
                    <w:t>源强</w:t>
                  </w:r>
                </w:p>
              </w:tc>
              <w:tc>
                <w:tcPr>
                  <w:tcW w:w="534" w:type="dxa"/>
                  <w:tcBorders>
                    <w:tl2br w:val="nil"/>
                    <w:tr2bl w:val="nil"/>
                  </w:tcBorders>
                  <w:vAlign w:val="center"/>
                </w:tcPr>
                <w:p w14:paraId="165BC284">
                  <w:pPr>
                    <w:adjustRightInd w:val="0"/>
                    <w:snapToGrid w:val="0"/>
                    <w:jc w:val="center"/>
                    <w:rPr>
                      <w:rFonts w:ascii="Times New Roman" w:hAnsi="Times New Roman"/>
                      <w:b/>
                      <w:color w:val="auto"/>
                      <w:szCs w:val="21"/>
                    </w:rPr>
                  </w:pPr>
                  <w:r>
                    <w:rPr>
                      <w:rFonts w:ascii="Times New Roman" w:hAnsi="Times New Roman"/>
                      <w:b/>
                      <w:color w:val="auto"/>
                      <w:szCs w:val="21"/>
                    </w:rPr>
                    <w:t>10m</w:t>
                  </w:r>
                </w:p>
              </w:tc>
              <w:tc>
                <w:tcPr>
                  <w:tcW w:w="535" w:type="dxa"/>
                  <w:tcBorders>
                    <w:tl2br w:val="nil"/>
                    <w:tr2bl w:val="nil"/>
                  </w:tcBorders>
                  <w:vAlign w:val="center"/>
                </w:tcPr>
                <w:p w14:paraId="59420FF4">
                  <w:pPr>
                    <w:adjustRightInd w:val="0"/>
                    <w:snapToGrid w:val="0"/>
                    <w:jc w:val="center"/>
                    <w:rPr>
                      <w:rFonts w:ascii="Times New Roman" w:hAnsi="Times New Roman"/>
                      <w:b/>
                      <w:color w:val="auto"/>
                      <w:szCs w:val="21"/>
                    </w:rPr>
                  </w:pPr>
                  <w:r>
                    <w:rPr>
                      <w:rFonts w:ascii="Times New Roman" w:hAnsi="Times New Roman"/>
                      <w:b/>
                      <w:color w:val="auto"/>
                      <w:szCs w:val="21"/>
                    </w:rPr>
                    <w:t>20m</w:t>
                  </w:r>
                </w:p>
              </w:tc>
              <w:tc>
                <w:tcPr>
                  <w:tcW w:w="535" w:type="dxa"/>
                  <w:tcBorders>
                    <w:tl2br w:val="nil"/>
                    <w:tr2bl w:val="nil"/>
                  </w:tcBorders>
                  <w:vAlign w:val="center"/>
                </w:tcPr>
                <w:p w14:paraId="566AE0DA">
                  <w:pPr>
                    <w:adjustRightInd w:val="0"/>
                    <w:snapToGrid w:val="0"/>
                    <w:jc w:val="center"/>
                    <w:rPr>
                      <w:rFonts w:ascii="Times New Roman" w:hAnsi="Times New Roman"/>
                      <w:b/>
                      <w:color w:val="auto"/>
                      <w:szCs w:val="21"/>
                    </w:rPr>
                  </w:pPr>
                  <w:r>
                    <w:rPr>
                      <w:rFonts w:ascii="Times New Roman" w:hAnsi="Times New Roman"/>
                      <w:b/>
                      <w:color w:val="auto"/>
                      <w:szCs w:val="21"/>
                    </w:rPr>
                    <w:t>30m</w:t>
                  </w:r>
                </w:p>
              </w:tc>
              <w:tc>
                <w:tcPr>
                  <w:tcW w:w="535" w:type="dxa"/>
                  <w:tcBorders>
                    <w:tl2br w:val="nil"/>
                    <w:tr2bl w:val="nil"/>
                  </w:tcBorders>
                  <w:vAlign w:val="center"/>
                </w:tcPr>
                <w:p w14:paraId="5D40E389">
                  <w:pPr>
                    <w:adjustRightInd w:val="0"/>
                    <w:snapToGrid w:val="0"/>
                    <w:jc w:val="center"/>
                    <w:rPr>
                      <w:rFonts w:ascii="Times New Roman" w:hAnsi="Times New Roman"/>
                      <w:b/>
                      <w:color w:val="auto"/>
                      <w:szCs w:val="21"/>
                    </w:rPr>
                  </w:pPr>
                  <w:r>
                    <w:rPr>
                      <w:rFonts w:ascii="Times New Roman" w:hAnsi="Times New Roman"/>
                      <w:b/>
                      <w:color w:val="auto"/>
                      <w:szCs w:val="21"/>
                    </w:rPr>
                    <w:t>40m</w:t>
                  </w:r>
                </w:p>
              </w:tc>
              <w:tc>
                <w:tcPr>
                  <w:tcW w:w="535" w:type="dxa"/>
                  <w:tcBorders>
                    <w:tl2br w:val="nil"/>
                    <w:tr2bl w:val="nil"/>
                  </w:tcBorders>
                  <w:vAlign w:val="center"/>
                </w:tcPr>
                <w:p w14:paraId="1D65DE88">
                  <w:pPr>
                    <w:adjustRightInd w:val="0"/>
                    <w:snapToGrid w:val="0"/>
                    <w:jc w:val="center"/>
                    <w:rPr>
                      <w:rFonts w:ascii="Times New Roman" w:hAnsi="Times New Roman"/>
                      <w:b/>
                      <w:color w:val="auto"/>
                      <w:szCs w:val="21"/>
                    </w:rPr>
                  </w:pPr>
                  <w:r>
                    <w:rPr>
                      <w:rFonts w:ascii="Times New Roman" w:hAnsi="Times New Roman"/>
                      <w:b/>
                      <w:color w:val="auto"/>
                      <w:szCs w:val="21"/>
                    </w:rPr>
                    <w:t>50m</w:t>
                  </w:r>
                </w:p>
              </w:tc>
              <w:tc>
                <w:tcPr>
                  <w:tcW w:w="677" w:type="dxa"/>
                  <w:tcBorders>
                    <w:tl2br w:val="nil"/>
                    <w:tr2bl w:val="nil"/>
                  </w:tcBorders>
                  <w:vAlign w:val="center"/>
                </w:tcPr>
                <w:p w14:paraId="6816C020">
                  <w:pPr>
                    <w:adjustRightInd w:val="0"/>
                    <w:snapToGrid w:val="0"/>
                    <w:jc w:val="center"/>
                    <w:rPr>
                      <w:rFonts w:ascii="Times New Roman" w:hAnsi="Times New Roman"/>
                      <w:b/>
                      <w:color w:val="auto"/>
                      <w:szCs w:val="21"/>
                    </w:rPr>
                  </w:pPr>
                  <w:r>
                    <w:rPr>
                      <w:rFonts w:ascii="Times New Roman" w:hAnsi="Times New Roman"/>
                      <w:b/>
                      <w:color w:val="auto"/>
                      <w:szCs w:val="21"/>
                    </w:rPr>
                    <w:t>100m</w:t>
                  </w:r>
                </w:p>
              </w:tc>
              <w:tc>
                <w:tcPr>
                  <w:tcW w:w="677" w:type="dxa"/>
                  <w:tcBorders>
                    <w:tl2br w:val="nil"/>
                    <w:tr2bl w:val="nil"/>
                  </w:tcBorders>
                  <w:vAlign w:val="center"/>
                </w:tcPr>
                <w:p w14:paraId="4BD578B8">
                  <w:pPr>
                    <w:adjustRightInd w:val="0"/>
                    <w:snapToGrid w:val="0"/>
                    <w:jc w:val="center"/>
                    <w:rPr>
                      <w:rFonts w:ascii="Times New Roman" w:hAnsi="Times New Roman"/>
                      <w:b/>
                      <w:color w:val="auto"/>
                      <w:szCs w:val="21"/>
                    </w:rPr>
                  </w:pPr>
                  <w:r>
                    <w:rPr>
                      <w:rFonts w:ascii="Times New Roman" w:hAnsi="Times New Roman"/>
                      <w:b/>
                      <w:color w:val="auto"/>
                      <w:szCs w:val="21"/>
                    </w:rPr>
                    <w:t>150m</w:t>
                  </w:r>
                </w:p>
              </w:tc>
              <w:tc>
                <w:tcPr>
                  <w:tcW w:w="677" w:type="dxa"/>
                  <w:tcBorders>
                    <w:tl2br w:val="nil"/>
                    <w:tr2bl w:val="nil"/>
                  </w:tcBorders>
                  <w:vAlign w:val="center"/>
                </w:tcPr>
                <w:p w14:paraId="578516AA">
                  <w:pPr>
                    <w:adjustRightInd w:val="0"/>
                    <w:snapToGrid w:val="0"/>
                    <w:jc w:val="center"/>
                    <w:rPr>
                      <w:rFonts w:ascii="Times New Roman" w:hAnsi="Times New Roman"/>
                      <w:b/>
                      <w:color w:val="auto"/>
                      <w:szCs w:val="21"/>
                    </w:rPr>
                  </w:pPr>
                  <w:r>
                    <w:rPr>
                      <w:rFonts w:ascii="Times New Roman" w:hAnsi="Times New Roman"/>
                      <w:b/>
                      <w:color w:val="auto"/>
                      <w:szCs w:val="21"/>
                    </w:rPr>
                    <w:t>200m</w:t>
                  </w:r>
                </w:p>
              </w:tc>
              <w:tc>
                <w:tcPr>
                  <w:tcW w:w="678" w:type="dxa"/>
                  <w:tcBorders>
                    <w:tl2br w:val="nil"/>
                    <w:tr2bl w:val="nil"/>
                  </w:tcBorders>
                  <w:vAlign w:val="center"/>
                </w:tcPr>
                <w:p w14:paraId="27C36036">
                  <w:pPr>
                    <w:adjustRightInd w:val="0"/>
                    <w:snapToGrid w:val="0"/>
                    <w:jc w:val="center"/>
                    <w:rPr>
                      <w:rFonts w:ascii="Times New Roman" w:hAnsi="Times New Roman"/>
                      <w:b/>
                      <w:color w:val="auto"/>
                      <w:szCs w:val="21"/>
                    </w:rPr>
                  </w:pPr>
                  <w:r>
                    <w:rPr>
                      <w:rFonts w:ascii="Times New Roman" w:hAnsi="Times New Roman"/>
                      <w:b/>
                      <w:color w:val="auto"/>
                      <w:szCs w:val="21"/>
                    </w:rPr>
                    <w:t>250m</w:t>
                  </w:r>
                </w:p>
              </w:tc>
              <w:tc>
                <w:tcPr>
                  <w:tcW w:w="718" w:type="dxa"/>
                  <w:tcBorders>
                    <w:tl2br w:val="nil"/>
                    <w:tr2bl w:val="nil"/>
                  </w:tcBorders>
                  <w:vAlign w:val="center"/>
                </w:tcPr>
                <w:p w14:paraId="0D4EB30A">
                  <w:pPr>
                    <w:adjustRightInd w:val="0"/>
                    <w:snapToGrid w:val="0"/>
                    <w:jc w:val="center"/>
                    <w:rPr>
                      <w:rFonts w:ascii="Times New Roman" w:hAnsi="Times New Roman"/>
                      <w:b/>
                      <w:color w:val="auto"/>
                      <w:szCs w:val="21"/>
                    </w:rPr>
                  </w:pPr>
                  <w:r>
                    <w:rPr>
                      <w:rFonts w:ascii="Times New Roman" w:hAnsi="Times New Roman"/>
                      <w:b/>
                      <w:color w:val="auto"/>
                      <w:szCs w:val="21"/>
                    </w:rPr>
                    <w:t>300m</w:t>
                  </w:r>
                </w:p>
              </w:tc>
            </w:tr>
            <w:tr w14:paraId="6CB49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shd w:val="clear" w:color="auto" w:fill="auto"/>
                  <w:vAlign w:val="center"/>
                </w:tcPr>
                <w:p w14:paraId="24F97321">
                  <w:pPr>
                    <w:adjustRightInd w:val="0"/>
                    <w:snapToGrid w:val="0"/>
                    <w:jc w:val="center"/>
                    <w:rPr>
                      <w:rFonts w:ascii="Times New Roman" w:hAnsi="Times New Roman"/>
                      <w:color w:val="auto"/>
                      <w:szCs w:val="21"/>
                    </w:rPr>
                  </w:pPr>
                  <w:r>
                    <w:rPr>
                      <w:rFonts w:ascii="Times New Roman" w:hAnsi="Times New Roman"/>
                      <w:color w:val="auto"/>
                      <w:szCs w:val="21"/>
                    </w:rPr>
                    <w:t>卷扬机</w:t>
                  </w:r>
                </w:p>
              </w:tc>
              <w:tc>
                <w:tcPr>
                  <w:tcW w:w="584" w:type="dxa"/>
                  <w:tcBorders>
                    <w:tl2br w:val="nil"/>
                    <w:tr2bl w:val="nil"/>
                  </w:tcBorders>
                  <w:vAlign w:val="center"/>
                </w:tcPr>
                <w:p w14:paraId="10C28891">
                  <w:pPr>
                    <w:jc w:val="center"/>
                    <w:rPr>
                      <w:rFonts w:ascii="Times New Roman" w:hAnsi="Times New Roman"/>
                      <w:color w:val="auto"/>
                      <w:szCs w:val="21"/>
                    </w:rPr>
                  </w:pPr>
                  <w:r>
                    <w:rPr>
                      <w:rFonts w:ascii="Times New Roman" w:hAnsi="Times New Roman"/>
                      <w:color w:val="auto"/>
                      <w:szCs w:val="21"/>
                    </w:rPr>
                    <w:t>85</w:t>
                  </w:r>
                </w:p>
              </w:tc>
              <w:tc>
                <w:tcPr>
                  <w:tcW w:w="534" w:type="dxa"/>
                  <w:tcBorders>
                    <w:tl2br w:val="nil"/>
                    <w:tr2bl w:val="nil"/>
                  </w:tcBorders>
                  <w:vAlign w:val="center"/>
                </w:tcPr>
                <w:p w14:paraId="11FDD269">
                  <w:pPr>
                    <w:jc w:val="center"/>
                    <w:rPr>
                      <w:rFonts w:ascii="Times New Roman" w:hAnsi="Times New Roman"/>
                      <w:color w:val="auto"/>
                      <w:kern w:val="0"/>
                      <w:szCs w:val="21"/>
                    </w:rPr>
                  </w:pPr>
                  <w:r>
                    <w:rPr>
                      <w:rFonts w:ascii="Times New Roman" w:hAnsi="Times New Roman"/>
                      <w:color w:val="auto"/>
                      <w:kern w:val="0"/>
                      <w:szCs w:val="21"/>
                    </w:rPr>
                    <w:t>65</w:t>
                  </w:r>
                </w:p>
              </w:tc>
              <w:tc>
                <w:tcPr>
                  <w:tcW w:w="535" w:type="dxa"/>
                  <w:tcBorders>
                    <w:tl2br w:val="nil"/>
                    <w:tr2bl w:val="nil"/>
                  </w:tcBorders>
                  <w:vAlign w:val="center"/>
                </w:tcPr>
                <w:p w14:paraId="517DAE4E">
                  <w:pPr>
                    <w:jc w:val="center"/>
                    <w:rPr>
                      <w:rFonts w:ascii="Times New Roman" w:hAnsi="Times New Roman"/>
                      <w:color w:val="auto"/>
                      <w:kern w:val="0"/>
                      <w:szCs w:val="21"/>
                    </w:rPr>
                  </w:pPr>
                  <w:r>
                    <w:rPr>
                      <w:rFonts w:ascii="Times New Roman" w:hAnsi="Times New Roman"/>
                      <w:color w:val="auto"/>
                      <w:kern w:val="0"/>
                      <w:szCs w:val="21"/>
                    </w:rPr>
                    <w:t>59</w:t>
                  </w:r>
                </w:p>
              </w:tc>
              <w:tc>
                <w:tcPr>
                  <w:tcW w:w="535" w:type="dxa"/>
                  <w:tcBorders>
                    <w:tl2br w:val="nil"/>
                    <w:tr2bl w:val="nil"/>
                  </w:tcBorders>
                  <w:vAlign w:val="center"/>
                </w:tcPr>
                <w:p w14:paraId="5D94CDF6">
                  <w:pPr>
                    <w:jc w:val="center"/>
                    <w:rPr>
                      <w:rFonts w:ascii="Times New Roman" w:hAnsi="Times New Roman"/>
                      <w:color w:val="auto"/>
                      <w:kern w:val="0"/>
                      <w:szCs w:val="21"/>
                    </w:rPr>
                  </w:pPr>
                  <w:r>
                    <w:rPr>
                      <w:rFonts w:ascii="Times New Roman" w:hAnsi="Times New Roman"/>
                      <w:color w:val="auto"/>
                      <w:kern w:val="0"/>
                      <w:szCs w:val="21"/>
                    </w:rPr>
                    <w:t>55</w:t>
                  </w:r>
                </w:p>
              </w:tc>
              <w:tc>
                <w:tcPr>
                  <w:tcW w:w="535" w:type="dxa"/>
                  <w:tcBorders>
                    <w:tl2br w:val="nil"/>
                    <w:tr2bl w:val="nil"/>
                  </w:tcBorders>
                  <w:vAlign w:val="center"/>
                </w:tcPr>
                <w:p w14:paraId="30AE383A">
                  <w:pPr>
                    <w:jc w:val="center"/>
                    <w:rPr>
                      <w:rFonts w:ascii="Times New Roman" w:hAnsi="Times New Roman"/>
                      <w:color w:val="auto"/>
                      <w:kern w:val="0"/>
                      <w:szCs w:val="21"/>
                    </w:rPr>
                  </w:pPr>
                  <w:r>
                    <w:rPr>
                      <w:rFonts w:ascii="Times New Roman" w:hAnsi="Times New Roman"/>
                      <w:color w:val="auto"/>
                      <w:kern w:val="0"/>
                      <w:szCs w:val="21"/>
                    </w:rPr>
                    <w:t>53</w:t>
                  </w:r>
                </w:p>
              </w:tc>
              <w:tc>
                <w:tcPr>
                  <w:tcW w:w="535" w:type="dxa"/>
                  <w:tcBorders>
                    <w:tl2br w:val="nil"/>
                    <w:tr2bl w:val="nil"/>
                  </w:tcBorders>
                  <w:vAlign w:val="center"/>
                </w:tcPr>
                <w:p w14:paraId="26AFC517">
                  <w:pPr>
                    <w:jc w:val="center"/>
                    <w:rPr>
                      <w:rFonts w:ascii="Times New Roman" w:hAnsi="Times New Roman"/>
                      <w:color w:val="auto"/>
                      <w:kern w:val="0"/>
                      <w:szCs w:val="21"/>
                    </w:rPr>
                  </w:pPr>
                  <w:r>
                    <w:rPr>
                      <w:rFonts w:ascii="Times New Roman" w:hAnsi="Times New Roman"/>
                      <w:color w:val="auto"/>
                      <w:kern w:val="0"/>
                      <w:szCs w:val="21"/>
                    </w:rPr>
                    <w:t>51</w:t>
                  </w:r>
                </w:p>
              </w:tc>
              <w:tc>
                <w:tcPr>
                  <w:tcW w:w="677" w:type="dxa"/>
                  <w:tcBorders>
                    <w:tl2br w:val="nil"/>
                    <w:tr2bl w:val="nil"/>
                  </w:tcBorders>
                  <w:vAlign w:val="center"/>
                </w:tcPr>
                <w:p w14:paraId="4028C9CA">
                  <w:pPr>
                    <w:jc w:val="center"/>
                    <w:rPr>
                      <w:rFonts w:ascii="Times New Roman" w:hAnsi="Times New Roman"/>
                      <w:color w:val="auto"/>
                      <w:kern w:val="0"/>
                      <w:szCs w:val="21"/>
                    </w:rPr>
                  </w:pPr>
                  <w:r>
                    <w:rPr>
                      <w:rFonts w:ascii="Times New Roman" w:hAnsi="Times New Roman"/>
                      <w:color w:val="auto"/>
                      <w:kern w:val="0"/>
                      <w:szCs w:val="21"/>
                    </w:rPr>
                    <w:t>45</w:t>
                  </w:r>
                </w:p>
              </w:tc>
              <w:tc>
                <w:tcPr>
                  <w:tcW w:w="677" w:type="dxa"/>
                  <w:tcBorders>
                    <w:tl2br w:val="nil"/>
                    <w:tr2bl w:val="nil"/>
                  </w:tcBorders>
                  <w:vAlign w:val="center"/>
                </w:tcPr>
                <w:p w14:paraId="77D21A54">
                  <w:pPr>
                    <w:jc w:val="center"/>
                    <w:rPr>
                      <w:rFonts w:ascii="Times New Roman" w:hAnsi="Times New Roman"/>
                      <w:color w:val="auto"/>
                      <w:kern w:val="0"/>
                      <w:szCs w:val="21"/>
                    </w:rPr>
                  </w:pPr>
                  <w:r>
                    <w:rPr>
                      <w:rFonts w:ascii="Times New Roman" w:hAnsi="Times New Roman"/>
                      <w:color w:val="auto"/>
                      <w:kern w:val="0"/>
                      <w:szCs w:val="21"/>
                    </w:rPr>
                    <w:t>41</w:t>
                  </w:r>
                </w:p>
              </w:tc>
              <w:tc>
                <w:tcPr>
                  <w:tcW w:w="677" w:type="dxa"/>
                  <w:tcBorders>
                    <w:tl2br w:val="nil"/>
                    <w:tr2bl w:val="nil"/>
                  </w:tcBorders>
                  <w:vAlign w:val="center"/>
                </w:tcPr>
                <w:p w14:paraId="52490173">
                  <w:pPr>
                    <w:jc w:val="center"/>
                    <w:rPr>
                      <w:rFonts w:ascii="Times New Roman" w:hAnsi="Times New Roman"/>
                      <w:color w:val="auto"/>
                      <w:kern w:val="0"/>
                      <w:szCs w:val="21"/>
                    </w:rPr>
                  </w:pPr>
                  <w:r>
                    <w:rPr>
                      <w:rFonts w:ascii="Times New Roman" w:hAnsi="Times New Roman"/>
                      <w:color w:val="auto"/>
                      <w:kern w:val="0"/>
                      <w:szCs w:val="21"/>
                    </w:rPr>
                    <w:t>39</w:t>
                  </w:r>
                </w:p>
              </w:tc>
              <w:tc>
                <w:tcPr>
                  <w:tcW w:w="678" w:type="dxa"/>
                  <w:tcBorders>
                    <w:tl2br w:val="nil"/>
                    <w:tr2bl w:val="nil"/>
                  </w:tcBorders>
                  <w:vAlign w:val="center"/>
                </w:tcPr>
                <w:p w14:paraId="55C97936">
                  <w:pPr>
                    <w:jc w:val="center"/>
                    <w:rPr>
                      <w:rFonts w:ascii="Times New Roman" w:hAnsi="Times New Roman"/>
                      <w:color w:val="auto"/>
                      <w:kern w:val="0"/>
                      <w:szCs w:val="21"/>
                    </w:rPr>
                  </w:pPr>
                  <w:r>
                    <w:rPr>
                      <w:rFonts w:ascii="Times New Roman" w:hAnsi="Times New Roman"/>
                      <w:color w:val="auto"/>
                      <w:kern w:val="0"/>
                      <w:szCs w:val="21"/>
                    </w:rPr>
                    <w:t>37</w:t>
                  </w:r>
                </w:p>
              </w:tc>
              <w:tc>
                <w:tcPr>
                  <w:tcW w:w="718" w:type="dxa"/>
                  <w:tcBorders>
                    <w:tl2br w:val="nil"/>
                    <w:tr2bl w:val="nil"/>
                  </w:tcBorders>
                  <w:vAlign w:val="center"/>
                </w:tcPr>
                <w:p w14:paraId="2D3BDDB1">
                  <w:pPr>
                    <w:jc w:val="center"/>
                    <w:rPr>
                      <w:rFonts w:ascii="Times New Roman" w:hAnsi="Times New Roman"/>
                      <w:color w:val="auto"/>
                      <w:kern w:val="0"/>
                      <w:szCs w:val="21"/>
                    </w:rPr>
                  </w:pPr>
                  <w:r>
                    <w:rPr>
                      <w:rFonts w:ascii="Times New Roman" w:hAnsi="Times New Roman"/>
                      <w:color w:val="auto"/>
                      <w:kern w:val="0"/>
                      <w:szCs w:val="21"/>
                    </w:rPr>
                    <w:t>35</w:t>
                  </w:r>
                </w:p>
              </w:tc>
            </w:tr>
            <w:tr w14:paraId="1D954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shd w:val="clear" w:color="auto" w:fill="auto"/>
                  <w:vAlign w:val="center"/>
                </w:tcPr>
                <w:p w14:paraId="671D7A87">
                  <w:pPr>
                    <w:adjustRightInd w:val="0"/>
                    <w:snapToGrid w:val="0"/>
                    <w:jc w:val="center"/>
                    <w:rPr>
                      <w:rFonts w:ascii="Times New Roman" w:hAnsi="Times New Roman"/>
                      <w:color w:val="auto"/>
                      <w:szCs w:val="21"/>
                    </w:rPr>
                  </w:pPr>
                  <w:r>
                    <w:rPr>
                      <w:rFonts w:ascii="Times New Roman" w:hAnsi="Times New Roman"/>
                      <w:color w:val="auto"/>
                      <w:szCs w:val="21"/>
                    </w:rPr>
                    <w:t>电焊机</w:t>
                  </w:r>
                </w:p>
              </w:tc>
              <w:tc>
                <w:tcPr>
                  <w:tcW w:w="584" w:type="dxa"/>
                  <w:tcBorders>
                    <w:tl2br w:val="nil"/>
                    <w:tr2bl w:val="nil"/>
                  </w:tcBorders>
                  <w:shd w:val="clear" w:color="auto" w:fill="auto"/>
                  <w:vAlign w:val="center"/>
                </w:tcPr>
                <w:p w14:paraId="70F27C29">
                  <w:pPr>
                    <w:jc w:val="center"/>
                    <w:rPr>
                      <w:rFonts w:ascii="Times New Roman" w:hAnsi="Times New Roman"/>
                      <w:color w:val="auto"/>
                      <w:kern w:val="0"/>
                      <w:szCs w:val="21"/>
                    </w:rPr>
                  </w:pPr>
                  <w:r>
                    <w:rPr>
                      <w:rFonts w:ascii="Times New Roman" w:hAnsi="Times New Roman"/>
                      <w:color w:val="auto"/>
                      <w:szCs w:val="21"/>
                    </w:rPr>
                    <w:t>80</w:t>
                  </w:r>
                </w:p>
              </w:tc>
              <w:tc>
                <w:tcPr>
                  <w:tcW w:w="534" w:type="dxa"/>
                  <w:tcBorders>
                    <w:tl2br w:val="nil"/>
                    <w:tr2bl w:val="nil"/>
                  </w:tcBorders>
                  <w:shd w:val="clear" w:color="auto" w:fill="auto"/>
                  <w:vAlign w:val="center"/>
                </w:tcPr>
                <w:p w14:paraId="2192190C">
                  <w:pPr>
                    <w:jc w:val="center"/>
                    <w:rPr>
                      <w:rFonts w:ascii="Times New Roman" w:hAnsi="Times New Roman"/>
                      <w:color w:val="auto"/>
                      <w:kern w:val="0"/>
                      <w:szCs w:val="21"/>
                    </w:rPr>
                  </w:pPr>
                  <w:r>
                    <w:rPr>
                      <w:rFonts w:ascii="Times New Roman" w:hAnsi="Times New Roman"/>
                      <w:color w:val="auto"/>
                      <w:szCs w:val="21"/>
                    </w:rPr>
                    <w:t>60</w:t>
                  </w:r>
                </w:p>
              </w:tc>
              <w:tc>
                <w:tcPr>
                  <w:tcW w:w="535" w:type="dxa"/>
                  <w:tcBorders>
                    <w:tl2br w:val="nil"/>
                    <w:tr2bl w:val="nil"/>
                  </w:tcBorders>
                  <w:shd w:val="clear" w:color="auto" w:fill="auto"/>
                  <w:vAlign w:val="center"/>
                </w:tcPr>
                <w:p w14:paraId="7CD7A76A">
                  <w:pPr>
                    <w:jc w:val="center"/>
                    <w:rPr>
                      <w:rFonts w:ascii="Times New Roman" w:hAnsi="Times New Roman"/>
                      <w:color w:val="auto"/>
                      <w:kern w:val="0"/>
                      <w:szCs w:val="21"/>
                    </w:rPr>
                  </w:pPr>
                  <w:r>
                    <w:rPr>
                      <w:rFonts w:ascii="Times New Roman" w:hAnsi="Times New Roman"/>
                      <w:color w:val="auto"/>
                      <w:szCs w:val="21"/>
                    </w:rPr>
                    <w:t>54</w:t>
                  </w:r>
                </w:p>
              </w:tc>
              <w:tc>
                <w:tcPr>
                  <w:tcW w:w="535" w:type="dxa"/>
                  <w:tcBorders>
                    <w:tl2br w:val="nil"/>
                    <w:tr2bl w:val="nil"/>
                  </w:tcBorders>
                  <w:shd w:val="clear" w:color="auto" w:fill="auto"/>
                  <w:vAlign w:val="center"/>
                </w:tcPr>
                <w:p w14:paraId="783E8757">
                  <w:pPr>
                    <w:jc w:val="center"/>
                    <w:rPr>
                      <w:rFonts w:ascii="Times New Roman" w:hAnsi="Times New Roman"/>
                      <w:color w:val="auto"/>
                      <w:kern w:val="0"/>
                      <w:szCs w:val="21"/>
                    </w:rPr>
                  </w:pPr>
                  <w:r>
                    <w:rPr>
                      <w:rFonts w:ascii="Times New Roman" w:hAnsi="Times New Roman"/>
                      <w:color w:val="auto"/>
                      <w:szCs w:val="21"/>
                    </w:rPr>
                    <w:t>51</w:t>
                  </w:r>
                </w:p>
              </w:tc>
              <w:tc>
                <w:tcPr>
                  <w:tcW w:w="535" w:type="dxa"/>
                  <w:tcBorders>
                    <w:tl2br w:val="nil"/>
                    <w:tr2bl w:val="nil"/>
                  </w:tcBorders>
                  <w:shd w:val="clear" w:color="auto" w:fill="auto"/>
                  <w:vAlign w:val="center"/>
                </w:tcPr>
                <w:p w14:paraId="11DAFBEF">
                  <w:pPr>
                    <w:jc w:val="center"/>
                    <w:rPr>
                      <w:rFonts w:ascii="Times New Roman" w:hAnsi="Times New Roman"/>
                      <w:color w:val="auto"/>
                      <w:kern w:val="0"/>
                      <w:szCs w:val="21"/>
                    </w:rPr>
                  </w:pPr>
                  <w:r>
                    <w:rPr>
                      <w:rFonts w:ascii="Times New Roman" w:hAnsi="Times New Roman"/>
                      <w:color w:val="auto"/>
                      <w:szCs w:val="21"/>
                    </w:rPr>
                    <w:t>48</w:t>
                  </w:r>
                </w:p>
              </w:tc>
              <w:tc>
                <w:tcPr>
                  <w:tcW w:w="535" w:type="dxa"/>
                  <w:tcBorders>
                    <w:tl2br w:val="nil"/>
                    <w:tr2bl w:val="nil"/>
                  </w:tcBorders>
                  <w:shd w:val="clear" w:color="auto" w:fill="auto"/>
                  <w:vAlign w:val="center"/>
                </w:tcPr>
                <w:p w14:paraId="18FFC5E3">
                  <w:pPr>
                    <w:jc w:val="center"/>
                    <w:rPr>
                      <w:rFonts w:ascii="Times New Roman" w:hAnsi="Times New Roman"/>
                      <w:color w:val="auto"/>
                      <w:kern w:val="0"/>
                      <w:szCs w:val="21"/>
                    </w:rPr>
                  </w:pPr>
                  <w:r>
                    <w:rPr>
                      <w:rFonts w:ascii="Times New Roman" w:hAnsi="Times New Roman"/>
                      <w:color w:val="auto"/>
                      <w:szCs w:val="21"/>
                    </w:rPr>
                    <w:t>46</w:t>
                  </w:r>
                </w:p>
              </w:tc>
              <w:tc>
                <w:tcPr>
                  <w:tcW w:w="677" w:type="dxa"/>
                  <w:tcBorders>
                    <w:tl2br w:val="nil"/>
                    <w:tr2bl w:val="nil"/>
                  </w:tcBorders>
                  <w:shd w:val="clear" w:color="auto" w:fill="auto"/>
                  <w:vAlign w:val="center"/>
                </w:tcPr>
                <w:p w14:paraId="27574293">
                  <w:pPr>
                    <w:jc w:val="center"/>
                    <w:rPr>
                      <w:rFonts w:ascii="Times New Roman" w:hAnsi="Times New Roman"/>
                      <w:color w:val="auto"/>
                      <w:kern w:val="0"/>
                      <w:szCs w:val="21"/>
                    </w:rPr>
                  </w:pPr>
                  <w:r>
                    <w:rPr>
                      <w:rFonts w:ascii="Times New Roman" w:hAnsi="Times New Roman"/>
                      <w:color w:val="auto"/>
                      <w:szCs w:val="21"/>
                    </w:rPr>
                    <w:t>40</w:t>
                  </w:r>
                </w:p>
              </w:tc>
              <w:tc>
                <w:tcPr>
                  <w:tcW w:w="677" w:type="dxa"/>
                  <w:tcBorders>
                    <w:tl2br w:val="nil"/>
                    <w:tr2bl w:val="nil"/>
                  </w:tcBorders>
                  <w:shd w:val="clear" w:color="auto" w:fill="auto"/>
                  <w:vAlign w:val="center"/>
                </w:tcPr>
                <w:p w14:paraId="59A1C237">
                  <w:pPr>
                    <w:jc w:val="center"/>
                    <w:rPr>
                      <w:rFonts w:ascii="Times New Roman" w:hAnsi="Times New Roman"/>
                      <w:color w:val="auto"/>
                      <w:kern w:val="0"/>
                      <w:szCs w:val="21"/>
                    </w:rPr>
                  </w:pPr>
                  <w:r>
                    <w:rPr>
                      <w:rFonts w:ascii="Times New Roman" w:hAnsi="Times New Roman"/>
                      <w:color w:val="auto"/>
                      <w:szCs w:val="21"/>
                    </w:rPr>
                    <w:t>36</w:t>
                  </w:r>
                </w:p>
              </w:tc>
              <w:tc>
                <w:tcPr>
                  <w:tcW w:w="677" w:type="dxa"/>
                  <w:tcBorders>
                    <w:tl2br w:val="nil"/>
                    <w:tr2bl w:val="nil"/>
                  </w:tcBorders>
                  <w:shd w:val="clear" w:color="auto" w:fill="auto"/>
                  <w:vAlign w:val="center"/>
                </w:tcPr>
                <w:p w14:paraId="2DA49664">
                  <w:pPr>
                    <w:jc w:val="center"/>
                    <w:rPr>
                      <w:rFonts w:ascii="Times New Roman" w:hAnsi="Times New Roman"/>
                      <w:color w:val="auto"/>
                      <w:kern w:val="0"/>
                      <w:szCs w:val="21"/>
                    </w:rPr>
                  </w:pPr>
                  <w:r>
                    <w:rPr>
                      <w:rFonts w:ascii="Times New Roman" w:hAnsi="Times New Roman"/>
                      <w:color w:val="auto"/>
                      <w:szCs w:val="21"/>
                    </w:rPr>
                    <w:t>34</w:t>
                  </w:r>
                </w:p>
              </w:tc>
              <w:tc>
                <w:tcPr>
                  <w:tcW w:w="678" w:type="dxa"/>
                  <w:tcBorders>
                    <w:tl2br w:val="nil"/>
                    <w:tr2bl w:val="nil"/>
                  </w:tcBorders>
                  <w:shd w:val="clear" w:color="auto" w:fill="auto"/>
                  <w:vAlign w:val="center"/>
                </w:tcPr>
                <w:p w14:paraId="1E2A4F13">
                  <w:pPr>
                    <w:jc w:val="center"/>
                    <w:rPr>
                      <w:rFonts w:ascii="Times New Roman" w:hAnsi="Times New Roman"/>
                      <w:color w:val="auto"/>
                      <w:kern w:val="0"/>
                      <w:szCs w:val="21"/>
                    </w:rPr>
                  </w:pPr>
                  <w:r>
                    <w:rPr>
                      <w:rFonts w:ascii="Times New Roman" w:hAnsi="Times New Roman"/>
                      <w:color w:val="auto"/>
                      <w:szCs w:val="21"/>
                    </w:rPr>
                    <w:t>32</w:t>
                  </w:r>
                </w:p>
              </w:tc>
              <w:tc>
                <w:tcPr>
                  <w:tcW w:w="718" w:type="dxa"/>
                  <w:tcBorders>
                    <w:tl2br w:val="nil"/>
                    <w:tr2bl w:val="nil"/>
                  </w:tcBorders>
                  <w:shd w:val="clear" w:color="auto" w:fill="auto"/>
                  <w:vAlign w:val="center"/>
                </w:tcPr>
                <w:p w14:paraId="58285016">
                  <w:pPr>
                    <w:jc w:val="center"/>
                    <w:rPr>
                      <w:rFonts w:ascii="Times New Roman" w:hAnsi="Times New Roman"/>
                      <w:color w:val="auto"/>
                      <w:kern w:val="0"/>
                      <w:szCs w:val="21"/>
                    </w:rPr>
                  </w:pPr>
                  <w:r>
                    <w:rPr>
                      <w:rFonts w:ascii="Times New Roman" w:hAnsi="Times New Roman"/>
                      <w:color w:val="auto"/>
                      <w:szCs w:val="21"/>
                    </w:rPr>
                    <w:t>30</w:t>
                  </w:r>
                </w:p>
              </w:tc>
            </w:tr>
            <w:tr w14:paraId="280C97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shd w:val="clear" w:color="auto" w:fill="auto"/>
                  <w:vAlign w:val="center"/>
                </w:tcPr>
                <w:p w14:paraId="01EE2AA8">
                  <w:pPr>
                    <w:adjustRightInd w:val="0"/>
                    <w:snapToGrid w:val="0"/>
                    <w:jc w:val="center"/>
                    <w:rPr>
                      <w:rFonts w:ascii="Times New Roman" w:hAnsi="Times New Roman"/>
                      <w:color w:val="auto"/>
                      <w:szCs w:val="21"/>
                    </w:rPr>
                  </w:pPr>
                  <w:r>
                    <w:rPr>
                      <w:rFonts w:ascii="Times New Roman" w:hAnsi="Times New Roman"/>
                      <w:color w:val="auto"/>
                      <w:szCs w:val="21"/>
                    </w:rPr>
                    <w:t>牵引机</w:t>
                  </w:r>
                </w:p>
              </w:tc>
              <w:tc>
                <w:tcPr>
                  <w:tcW w:w="584" w:type="dxa"/>
                  <w:tcBorders>
                    <w:tl2br w:val="nil"/>
                    <w:tr2bl w:val="nil"/>
                  </w:tcBorders>
                  <w:vAlign w:val="center"/>
                </w:tcPr>
                <w:p w14:paraId="28E71DB7">
                  <w:pPr>
                    <w:jc w:val="center"/>
                    <w:rPr>
                      <w:rFonts w:ascii="Times New Roman" w:hAnsi="Times New Roman"/>
                      <w:color w:val="auto"/>
                      <w:szCs w:val="21"/>
                    </w:rPr>
                  </w:pPr>
                  <w:r>
                    <w:rPr>
                      <w:rFonts w:ascii="Times New Roman" w:hAnsi="Times New Roman"/>
                      <w:color w:val="auto"/>
                      <w:szCs w:val="21"/>
                    </w:rPr>
                    <w:t>75</w:t>
                  </w:r>
                </w:p>
              </w:tc>
              <w:tc>
                <w:tcPr>
                  <w:tcW w:w="534" w:type="dxa"/>
                  <w:tcBorders>
                    <w:tl2br w:val="nil"/>
                    <w:tr2bl w:val="nil"/>
                  </w:tcBorders>
                  <w:vAlign w:val="center"/>
                </w:tcPr>
                <w:p w14:paraId="456BAF2D">
                  <w:pPr>
                    <w:jc w:val="center"/>
                    <w:rPr>
                      <w:rFonts w:ascii="Times New Roman" w:hAnsi="Times New Roman"/>
                      <w:color w:val="auto"/>
                      <w:kern w:val="0"/>
                      <w:szCs w:val="21"/>
                    </w:rPr>
                  </w:pPr>
                  <w:r>
                    <w:rPr>
                      <w:rFonts w:ascii="Times New Roman" w:hAnsi="Times New Roman"/>
                      <w:color w:val="auto"/>
                      <w:kern w:val="0"/>
                      <w:szCs w:val="21"/>
                    </w:rPr>
                    <w:t>55</w:t>
                  </w:r>
                </w:p>
              </w:tc>
              <w:tc>
                <w:tcPr>
                  <w:tcW w:w="535" w:type="dxa"/>
                  <w:tcBorders>
                    <w:tl2br w:val="nil"/>
                    <w:tr2bl w:val="nil"/>
                  </w:tcBorders>
                  <w:vAlign w:val="center"/>
                </w:tcPr>
                <w:p w14:paraId="4F2C3CF2">
                  <w:pPr>
                    <w:jc w:val="center"/>
                    <w:rPr>
                      <w:rFonts w:ascii="Times New Roman" w:hAnsi="Times New Roman"/>
                      <w:color w:val="auto"/>
                      <w:kern w:val="0"/>
                      <w:szCs w:val="21"/>
                    </w:rPr>
                  </w:pPr>
                  <w:r>
                    <w:rPr>
                      <w:rFonts w:ascii="Times New Roman" w:hAnsi="Times New Roman"/>
                      <w:color w:val="auto"/>
                      <w:kern w:val="0"/>
                      <w:szCs w:val="21"/>
                    </w:rPr>
                    <w:t>49</w:t>
                  </w:r>
                </w:p>
              </w:tc>
              <w:tc>
                <w:tcPr>
                  <w:tcW w:w="535" w:type="dxa"/>
                  <w:tcBorders>
                    <w:tl2br w:val="nil"/>
                    <w:tr2bl w:val="nil"/>
                  </w:tcBorders>
                  <w:vAlign w:val="center"/>
                </w:tcPr>
                <w:p w14:paraId="6F2AE375">
                  <w:pPr>
                    <w:jc w:val="center"/>
                    <w:rPr>
                      <w:rFonts w:ascii="Times New Roman" w:hAnsi="Times New Roman"/>
                      <w:color w:val="auto"/>
                      <w:kern w:val="0"/>
                      <w:szCs w:val="21"/>
                    </w:rPr>
                  </w:pPr>
                  <w:r>
                    <w:rPr>
                      <w:rFonts w:ascii="Times New Roman" w:hAnsi="Times New Roman"/>
                      <w:color w:val="auto"/>
                      <w:kern w:val="0"/>
                      <w:szCs w:val="21"/>
                    </w:rPr>
                    <w:t>45</w:t>
                  </w:r>
                </w:p>
              </w:tc>
              <w:tc>
                <w:tcPr>
                  <w:tcW w:w="535" w:type="dxa"/>
                  <w:tcBorders>
                    <w:tl2br w:val="nil"/>
                    <w:tr2bl w:val="nil"/>
                  </w:tcBorders>
                  <w:vAlign w:val="center"/>
                </w:tcPr>
                <w:p w14:paraId="5B64EDA6">
                  <w:pPr>
                    <w:jc w:val="center"/>
                    <w:rPr>
                      <w:rFonts w:ascii="Times New Roman" w:hAnsi="Times New Roman"/>
                      <w:color w:val="auto"/>
                      <w:kern w:val="0"/>
                      <w:szCs w:val="21"/>
                    </w:rPr>
                  </w:pPr>
                  <w:r>
                    <w:rPr>
                      <w:rFonts w:ascii="Times New Roman" w:hAnsi="Times New Roman"/>
                      <w:color w:val="auto"/>
                      <w:kern w:val="0"/>
                      <w:szCs w:val="21"/>
                    </w:rPr>
                    <w:t>43</w:t>
                  </w:r>
                </w:p>
              </w:tc>
              <w:tc>
                <w:tcPr>
                  <w:tcW w:w="535" w:type="dxa"/>
                  <w:tcBorders>
                    <w:tl2br w:val="nil"/>
                    <w:tr2bl w:val="nil"/>
                  </w:tcBorders>
                  <w:vAlign w:val="center"/>
                </w:tcPr>
                <w:p w14:paraId="49FDD3BE">
                  <w:pPr>
                    <w:jc w:val="center"/>
                    <w:rPr>
                      <w:rFonts w:ascii="Times New Roman" w:hAnsi="Times New Roman"/>
                      <w:color w:val="auto"/>
                      <w:kern w:val="0"/>
                      <w:szCs w:val="21"/>
                    </w:rPr>
                  </w:pPr>
                  <w:r>
                    <w:rPr>
                      <w:rFonts w:ascii="Times New Roman" w:hAnsi="Times New Roman"/>
                      <w:color w:val="auto"/>
                      <w:kern w:val="0"/>
                      <w:szCs w:val="21"/>
                    </w:rPr>
                    <w:t>41</w:t>
                  </w:r>
                </w:p>
              </w:tc>
              <w:tc>
                <w:tcPr>
                  <w:tcW w:w="677" w:type="dxa"/>
                  <w:tcBorders>
                    <w:tl2br w:val="nil"/>
                    <w:tr2bl w:val="nil"/>
                  </w:tcBorders>
                  <w:vAlign w:val="center"/>
                </w:tcPr>
                <w:p w14:paraId="29B10315">
                  <w:pPr>
                    <w:jc w:val="center"/>
                    <w:rPr>
                      <w:rFonts w:ascii="Times New Roman" w:hAnsi="Times New Roman"/>
                      <w:color w:val="auto"/>
                      <w:kern w:val="0"/>
                      <w:szCs w:val="21"/>
                    </w:rPr>
                  </w:pPr>
                  <w:r>
                    <w:rPr>
                      <w:rFonts w:ascii="Times New Roman" w:hAnsi="Times New Roman"/>
                      <w:color w:val="auto"/>
                      <w:kern w:val="0"/>
                      <w:szCs w:val="21"/>
                    </w:rPr>
                    <w:t>35</w:t>
                  </w:r>
                </w:p>
              </w:tc>
              <w:tc>
                <w:tcPr>
                  <w:tcW w:w="677" w:type="dxa"/>
                  <w:tcBorders>
                    <w:tl2br w:val="nil"/>
                    <w:tr2bl w:val="nil"/>
                  </w:tcBorders>
                  <w:vAlign w:val="center"/>
                </w:tcPr>
                <w:p w14:paraId="06CFF50E">
                  <w:pPr>
                    <w:jc w:val="center"/>
                    <w:rPr>
                      <w:rFonts w:ascii="Times New Roman" w:hAnsi="Times New Roman"/>
                      <w:color w:val="auto"/>
                      <w:kern w:val="0"/>
                      <w:szCs w:val="21"/>
                    </w:rPr>
                  </w:pPr>
                  <w:r>
                    <w:rPr>
                      <w:rFonts w:ascii="Times New Roman" w:hAnsi="Times New Roman"/>
                      <w:color w:val="auto"/>
                      <w:kern w:val="0"/>
                      <w:szCs w:val="21"/>
                    </w:rPr>
                    <w:t>34</w:t>
                  </w:r>
                </w:p>
              </w:tc>
              <w:tc>
                <w:tcPr>
                  <w:tcW w:w="677" w:type="dxa"/>
                  <w:tcBorders>
                    <w:tl2br w:val="nil"/>
                    <w:tr2bl w:val="nil"/>
                  </w:tcBorders>
                  <w:vAlign w:val="center"/>
                </w:tcPr>
                <w:p w14:paraId="72F8C4F1">
                  <w:pPr>
                    <w:jc w:val="center"/>
                    <w:rPr>
                      <w:rFonts w:ascii="Times New Roman" w:hAnsi="Times New Roman"/>
                      <w:color w:val="auto"/>
                      <w:kern w:val="0"/>
                      <w:szCs w:val="21"/>
                    </w:rPr>
                  </w:pPr>
                  <w:r>
                    <w:rPr>
                      <w:rFonts w:ascii="Times New Roman" w:hAnsi="Times New Roman"/>
                      <w:color w:val="auto"/>
                      <w:kern w:val="0"/>
                      <w:szCs w:val="21"/>
                    </w:rPr>
                    <w:t>35</w:t>
                  </w:r>
                </w:p>
              </w:tc>
              <w:tc>
                <w:tcPr>
                  <w:tcW w:w="678" w:type="dxa"/>
                  <w:tcBorders>
                    <w:tl2br w:val="nil"/>
                    <w:tr2bl w:val="nil"/>
                  </w:tcBorders>
                  <w:vAlign w:val="center"/>
                </w:tcPr>
                <w:p w14:paraId="4CA84DDB">
                  <w:pPr>
                    <w:jc w:val="center"/>
                    <w:rPr>
                      <w:rFonts w:ascii="Times New Roman" w:hAnsi="Times New Roman"/>
                      <w:color w:val="auto"/>
                      <w:kern w:val="0"/>
                      <w:szCs w:val="21"/>
                    </w:rPr>
                  </w:pPr>
                  <w:r>
                    <w:rPr>
                      <w:rFonts w:ascii="Times New Roman" w:hAnsi="Times New Roman"/>
                      <w:color w:val="auto"/>
                      <w:kern w:val="0"/>
                      <w:szCs w:val="21"/>
                    </w:rPr>
                    <w:t>33</w:t>
                  </w:r>
                </w:p>
              </w:tc>
              <w:tc>
                <w:tcPr>
                  <w:tcW w:w="718" w:type="dxa"/>
                  <w:tcBorders>
                    <w:tl2br w:val="nil"/>
                    <w:tr2bl w:val="nil"/>
                  </w:tcBorders>
                  <w:vAlign w:val="center"/>
                </w:tcPr>
                <w:p w14:paraId="6FBFB195">
                  <w:pPr>
                    <w:jc w:val="center"/>
                    <w:rPr>
                      <w:rFonts w:ascii="Times New Roman" w:hAnsi="Times New Roman"/>
                      <w:color w:val="auto"/>
                      <w:kern w:val="0"/>
                      <w:szCs w:val="21"/>
                    </w:rPr>
                  </w:pPr>
                  <w:r>
                    <w:rPr>
                      <w:rFonts w:ascii="Times New Roman" w:hAnsi="Times New Roman"/>
                      <w:color w:val="auto"/>
                      <w:kern w:val="0"/>
                      <w:szCs w:val="21"/>
                    </w:rPr>
                    <w:t>31</w:t>
                  </w:r>
                </w:p>
              </w:tc>
            </w:tr>
            <w:tr w14:paraId="68A98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shd w:val="clear" w:color="auto" w:fill="auto"/>
                  <w:vAlign w:val="center"/>
                </w:tcPr>
                <w:p w14:paraId="062EBBDF">
                  <w:pPr>
                    <w:adjustRightInd w:val="0"/>
                    <w:snapToGrid w:val="0"/>
                    <w:jc w:val="center"/>
                    <w:rPr>
                      <w:rFonts w:ascii="Times New Roman" w:hAnsi="Times New Roman"/>
                      <w:color w:val="auto"/>
                      <w:szCs w:val="21"/>
                    </w:rPr>
                  </w:pPr>
                  <w:r>
                    <w:rPr>
                      <w:rFonts w:ascii="Times New Roman" w:hAnsi="Times New Roman"/>
                      <w:color w:val="auto"/>
                      <w:szCs w:val="21"/>
                    </w:rPr>
                    <w:t>张力机</w:t>
                  </w:r>
                </w:p>
              </w:tc>
              <w:tc>
                <w:tcPr>
                  <w:tcW w:w="584" w:type="dxa"/>
                  <w:tcBorders>
                    <w:tl2br w:val="nil"/>
                    <w:tr2bl w:val="nil"/>
                  </w:tcBorders>
                  <w:vAlign w:val="center"/>
                </w:tcPr>
                <w:p w14:paraId="49EA0505">
                  <w:pPr>
                    <w:jc w:val="center"/>
                    <w:rPr>
                      <w:rFonts w:ascii="Times New Roman" w:hAnsi="Times New Roman"/>
                      <w:color w:val="auto"/>
                      <w:kern w:val="0"/>
                      <w:szCs w:val="21"/>
                    </w:rPr>
                  </w:pPr>
                  <w:r>
                    <w:rPr>
                      <w:rFonts w:ascii="Times New Roman" w:hAnsi="Times New Roman"/>
                      <w:color w:val="auto"/>
                      <w:szCs w:val="21"/>
                    </w:rPr>
                    <w:t>75</w:t>
                  </w:r>
                </w:p>
              </w:tc>
              <w:tc>
                <w:tcPr>
                  <w:tcW w:w="534" w:type="dxa"/>
                  <w:tcBorders>
                    <w:tl2br w:val="nil"/>
                    <w:tr2bl w:val="nil"/>
                  </w:tcBorders>
                  <w:vAlign w:val="center"/>
                </w:tcPr>
                <w:p w14:paraId="31CF74B2">
                  <w:pPr>
                    <w:jc w:val="center"/>
                    <w:rPr>
                      <w:rFonts w:ascii="Times New Roman" w:hAnsi="Times New Roman"/>
                      <w:color w:val="auto"/>
                      <w:kern w:val="0"/>
                      <w:szCs w:val="21"/>
                    </w:rPr>
                  </w:pPr>
                  <w:r>
                    <w:rPr>
                      <w:rFonts w:ascii="Times New Roman" w:hAnsi="Times New Roman"/>
                      <w:color w:val="auto"/>
                      <w:kern w:val="0"/>
                      <w:szCs w:val="21"/>
                    </w:rPr>
                    <w:t>55</w:t>
                  </w:r>
                </w:p>
              </w:tc>
              <w:tc>
                <w:tcPr>
                  <w:tcW w:w="535" w:type="dxa"/>
                  <w:tcBorders>
                    <w:tl2br w:val="nil"/>
                    <w:tr2bl w:val="nil"/>
                  </w:tcBorders>
                  <w:vAlign w:val="center"/>
                </w:tcPr>
                <w:p w14:paraId="7EBCAF5F">
                  <w:pPr>
                    <w:jc w:val="center"/>
                    <w:rPr>
                      <w:rFonts w:ascii="Times New Roman" w:hAnsi="Times New Roman"/>
                      <w:color w:val="auto"/>
                      <w:kern w:val="0"/>
                      <w:szCs w:val="21"/>
                    </w:rPr>
                  </w:pPr>
                  <w:r>
                    <w:rPr>
                      <w:rFonts w:ascii="Times New Roman" w:hAnsi="Times New Roman"/>
                      <w:color w:val="auto"/>
                      <w:kern w:val="0"/>
                      <w:szCs w:val="21"/>
                    </w:rPr>
                    <w:t>49</w:t>
                  </w:r>
                </w:p>
              </w:tc>
              <w:tc>
                <w:tcPr>
                  <w:tcW w:w="535" w:type="dxa"/>
                  <w:tcBorders>
                    <w:tl2br w:val="nil"/>
                    <w:tr2bl w:val="nil"/>
                  </w:tcBorders>
                  <w:vAlign w:val="center"/>
                </w:tcPr>
                <w:p w14:paraId="27A0C021">
                  <w:pPr>
                    <w:jc w:val="center"/>
                    <w:rPr>
                      <w:rFonts w:ascii="Times New Roman" w:hAnsi="Times New Roman"/>
                      <w:color w:val="auto"/>
                      <w:kern w:val="0"/>
                      <w:szCs w:val="21"/>
                    </w:rPr>
                  </w:pPr>
                  <w:r>
                    <w:rPr>
                      <w:rFonts w:ascii="Times New Roman" w:hAnsi="Times New Roman"/>
                      <w:color w:val="auto"/>
                      <w:kern w:val="0"/>
                      <w:szCs w:val="21"/>
                    </w:rPr>
                    <w:t>45</w:t>
                  </w:r>
                </w:p>
              </w:tc>
              <w:tc>
                <w:tcPr>
                  <w:tcW w:w="535" w:type="dxa"/>
                  <w:tcBorders>
                    <w:tl2br w:val="nil"/>
                    <w:tr2bl w:val="nil"/>
                  </w:tcBorders>
                  <w:vAlign w:val="center"/>
                </w:tcPr>
                <w:p w14:paraId="5CF78C20">
                  <w:pPr>
                    <w:jc w:val="center"/>
                    <w:rPr>
                      <w:rFonts w:ascii="Times New Roman" w:hAnsi="Times New Roman"/>
                      <w:color w:val="auto"/>
                      <w:kern w:val="0"/>
                      <w:szCs w:val="21"/>
                    </w:rPr>
                  </w:pPr>
                  <w:r>
                    <w:rPr>
                      <w:rFonts w:ascii="Times New Roman" w:hAnsi="Times New Roman"/>
                      <w:color w:val="auto"/>
                      <w:kern w:val="0"/>
                      <w:szCs w:val="21"/>
                    </w:rPr>
                    <w:t>43</w:t>
                  </w:r>
                </w:p>
              </w:tc>
              <w:tc>
                <w:tcPr>
                  <w:tcW w:w="535" w:type="dxa"/>
                  <w:tcBorders>
                    <w:tl2br w:val="nil"/>
                    <w:tr2bl w:val="nil"/>
                  </w:tcBorders>
                  <w:vAlign w:val="center"/>
                </w:tcPr>
                <w:p w14:paraId="1FC7952C">
                  <w:pPr>
                    <w:jc w:val="center"/>
                    <w:rPr>
                      <w:rFonts w:ascii="Times New Roman" w:hAnsi="Times New Roman"/>
                      <w:color w:val="auto"/>
                      <w:kern w:val="0"/>
                      <w:szCs w:val="21"/>
                    </w:rPr>
                  </w:pPr>
                  <w:r>
                    <w:rPr>
                      <w:rFonts w:ascii="Times New Roman" w:hAnsi="Times New Roman"/>
                      <w:color w:val="auto"/>
                      <w:kern w:val="0"/>
                      <w:szCs w:val="21"/>
                    </w:rPr>
                    <w:t>41</w:t>
                  </w:r>
                </w:p>
              </w:tc>
              <w:tc>
                <w:tcPr>
                  <w:tcW w:w="677" w:type="dxa"/>
                  <w:tcBorders>
                    <w:tl2br w:val="nil"/>
                    <w:tr2bl w:val="nil"/>
                  </w:tcBorders>
                  <w:vAlign w:val="center"/>
                </w:tcPr>
                <w:p w14:paraId="46B281E4">
                  <w:pPr>
                    <w:jc w:val="center"/>
                    <w:rPr>
                      <w:rFonts w:ascii="Times New Roman" w:hAnsi="Times New Roman"/>
                      <w:color w:val="auto"/>
                      <w:kern w:val="0"/>
                      <w:szCs w:val="21"/>
                    </w:rPr>
                  </w:pPr>
                  <w:r>
                    <w:rPr>
                      <w:rFonts w:ascii="Times New Roman" w:hAnsi="Times New Roman"/>
                      <w:color w:val="auto"/>
                      <w:kern w:val="0"/>
                      <w:szCs w:val="21"/>
                    </w:rPr>
                    <w:t>35</w:t>
                  </w:r>
                </w:p>
              </w:tc>
              <w:tc>
                <w:tcPr>
                  <w:tcW w:w="677" w:type="dxa"/>
                  <w:tcBorders>
                    <w:tl2br w:val="nil"/>
                    <w:tr2bl w:val="nil"/>
                  </w:tcBorders>
                  <w:vAlign w:val="center"/>
                </w:tcPr>
                <w:p w14:paraId="492DD78D">
                  <w:pPr>
                    <w:jc w:val="center"/>
                    <w:rPr>
                      <w:rFonts w:ascii="Times New Roman" w:hAnsi="Times New Roman"/>
                      <w:color w:val="auto"/>
                      <w:kern w:val="0"/>
                      <w:szCs w:val="21"/>
                    </w:rPr>
                  </w:pPr>
                  <w:r>
                    <w:rPr>
                      <w:rFonts w:ascii="Times New Roman" w:hAnsi="Times New Roman"/>
                      <w:color w:val="auto"/>
                      <w:kern w:val="0"/>
                      <w:szCs w:val="21"/>
                    </w:rPr>
                    <w:t>34</w:t>
                  </w:r>
                </w:p>
              </w:tc>
              <w:tc>
                <w:tcPr>
                  <w:tcW w:w="677" w:type="dxa"/>
                  <w:tcBorders>
                    <w:tl2br w:val="nil"/>
                    <w:tr2bl w:val="nil"/>
                  </w:tcBorders>
                  <w:vAlign w:val="center"/>
                </w:tcPr>
                <w:p w14:paraId="7EB32040">
                  <w:pPr>
                    <w:jc w:val="center"/>
                    <w:rPr>
                      <w:rFonts w:ascii="Times New Roman" w:hAnsi="Times New Roman"/>
                      <w:color w:val="auto"/>
                      <w:kern w:val="0"/>
                      <w:szCs w:val="21"/>
                    </w:rPr>
                  </w:pPr>
                  <w:r>
                    <w:rPr>
                      <w:rFonts w:ascii="Times New Roman" w:hAnsi="Times New Roman"/>
                      <w:color w:val="auto"/>
                      <w:kern w:val="0"/>
                      <w:szCs w:val="21"/>
                    </w:rPr>
                    <w:t>35</w:t>
                  </w:r>
                </w:p>
              </w:tc>
              <w:tc>
                <w:tcPr>
                  <w:tcW w:w="678" w:type="dxa"/>
                  <w:tcBorders>
                    <w:tl2br w:val="nil"/>
                    <w:tr2bl w:val="nil"/>
                  </w:tcBorders>
                  <w:vAlign w:val="center"/>
                </w:tcPr>
                <w:p w14:paraId="38E923E6">
                  <w:pPr>
                    <w:jc w:val="center"/>
                    <w:rPr>
                      <w:rFonts w:ascii="Times New Roman" w:hAnsi="Times New Roman"/>
                      <w:color w:val="auto"/>
                      <w:kern w:val="0"/>
                      <w:szCs w:val="21"/>
                    </w:rPr>
                  </w:pPr>
                  <w:r>
                    <w:rPr>
                      <w:rFonts w:ascii="Times New Roman" w:hAnsi="Times New Roman"/>
                      <w:color w:val="auto"/>
                      <w:kern w:val="0"/>
                      <w:szCs w:val="21"/>
                    </w:rPr>
                    <w:t>33</w:t>
                  </w:r>
                </w:p>
              </w:tc>
              <w:tc>
                <w:tcPr>
                  <w:tcW w:w="718" w:type="dxa"/>
                  <w:tcBorders>
                    <w:tl2br w:val="nil"/>
                    <w:tr2bl w:val="nil"/>
                  </w:tcBorders>
                  <w:vAlign w:val="center"/>
                </w:tcPr>
                <w:p w14:paraId="6312F0B7">
                  <w:pPr>
                    <w:jc w:val="center"/>
                    <w:rPr>
                      <w:rFonts w:ascii="Times New Roman" w:hAnsi="Times New Roman"/>
                      <w:color w:val="auto"/>
                      <w:kern w:val="0"/>
                      <w:szCs w:val="21"/>
                    </w:rPr>
                  </w:pPr>
                  <w:r>
                    <w:rPr>
                      <w:rFonts w:ascii="Times New Roman" w:hAnsi="Times New Roman"/>
                      <w:color w:val="auto"/>
                      <w:kern w:val="0"/>
                      <w:szCs w:val="21"/>
                    </w:rPr>
                    <w:t>31</w:t>
                  </w:r>
                </w:p>
              </w:tc>
            </w:tr>
            <w:tr w14:paraId="1F0953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shd w:val="clear" w:color="auto" w:fill="auto"/>
                  <w:vAlign w:val="center"/>
                </w:tcPr>
                <w:p w14:paraId="4A68FFBA">
                  <w:pPr>
                    <w:adjustRightInd w:val="0"/>
                    <w:snapToGrid w:val="0"/>
                    <w:jc w:val="center"/>
                    <w:rPr>
                      <w:rFonts w:ascii="Times New Roman" w:hAnsi="Times New Roman"/>
                      <w:color w:val="auto"/>
                      <w:szCs w:val="21"/>
                    </w:rPr>
                  </w:pPr>
                  <w:r>
                    <w:rPr>
                      <w:rFonts w:ascii="Times New Roman" w:hAnsi="Times New Roman"/>
                      <w:color w:val="auto"/>
                      <w:szCs w:val="21"/>
                    </w:rPr>
                    <w:t>绞磨机</w:t>
                  </w:r>
                </w:p>
              </w:tc>
              <w:tc>
                <w:tcPr>
                  <w:tcW w:w="584" w:type="dxa"/>
                  <w:tcBorders>
                    <w:tl2br w:val="nil"/>
                    <w:tr2bl w:val="nil"/>
                  </w:tcBorders>
                  <w:vAlign w:val="center"/>
                </w:tcPr>
                <w:p w14:paraId="39274D80">
                  <w:pPr>
                    <w:jc w:val="center"/>
                    <w:rPr>
                      <w:rFonts w:ascii="Times New Roman" w:hAnsi="Times New Roman"/>
                      <w:color w:val="auto"/>
                      <w:szCs w:val="21"/>
                    </w:rPr>
                  </w:pPr>
                  <w:r>
                    <w:rPr>
                      <w:rFonts w:ascii="Times New Roman" w:hAnsi="Times New Roman"/>
                      <w:color w:val="auto"/>
                      <w:szCs w:val="21"/>
                    </w:rPr>
                    <w:t>80</w:t>
                  </w:r>
                </w:p>
              </w:tc>
              <w:tc>
                <w:tcPr>
                  <w:tcW w:w="534" w:type="dxa"/>
                  <w:tcBorders>
                    <w:tl2br w:val="nil"/>
                    <w:tr2bl w:val="nil"/>
                  </w:tcBorders>
                  <w:vAlign w:val="center"/>
                </w:tcPr>
                <w:p w14:paraId="33D4F38E">
                  <w:pPr>
                    <w:jc w:val="center"/>
                    <w:rPr>
                      <w:rFonts w:ascii="Times New Roman" w:hAnsi="Times New Roman"/>
                      <w:color w:val="auto"/>
                      <w:szCs w:val="21"/>
                    </w:rPr>
                  </w:pPr>
                  <w:r>
                    <w:rPr>
                      <w:rFonts w:ascii="Times New Roman" w:hAnsi="Times New Roman"/>
                      <w:color w:val="auto"/>
                      <w:kern w:val="0"/>
                      <w:szCs w:val="21"/>
                    </w:rPr>
                    <w:t>60</w:t>
                  </w:r>
                </w:p>
              </w:tc>
              <w:tc>
                <w:tcPr>
                  <w:tcW w:w="535" w:type="dxa"/>
                  <w:tcBorders>
                    <w:tl2br w:val="nil"/>
                    <w:tr2bl w:val="nil"/>
                  </w:tcBorders>
                  <w:vAlign w:val="center"/>
                </w:tcPr>
                <w:p w14:paraId="0B905014">
                  <w:pPr>
                    <w:jc w:val="center"/>
                    <w:rPr>
                      <w:rFonts w:ascii="Times New Roman" w:hAnsi="Times New Roman"/>
                      <w:color w:val="auto"/>
                      <w:szCs w:val="21"/>
                    </w:rPr>
                  </w:pPr>
                  <w:r>
                    <w:rPr>
                      <w:rFonts w:ascii="Times New Roman" w:hAnsi="Times New Roman"/>
                      <w:color w:val="auto"/>
                      <w:kern w:val="0"/>
                      <w:szCs w:val="21"/>
                    </w:rPr>
                    <w:t>54</w:t>
                  </w:r>
                </w:p>
              </w:tc>
              <w:tc>
                <w:tcPr>
                  <w:tcW w:w="535" w:type="dxa"/>
                  <w:tcBorders>
                    <w:tl2br w:val="nil"/>
                    <w:tr2bl w:val="nil"/>
                  </w:tcBorders>
                  <w:vAlign w:val="center"/>
                </w:tcPr>
                <w:p w14:paraId="3A5CB94D">
                  <w:pPr>
                    <w:jc w:val="center"/>
                    <w:rPr>
                      <w:rFonts w:ascii="Times New Roman" w:hAnsi="Times New Roman"/>
                      <w:color w:val="auto"/>
                      <w:szCs w:val="21"/>
                    </w:rPr>
                  </w:pPr>
                  <w:r>
                    <w:rPr>
                      <w:rFonts w:ascii="Times New Roman" w:hAnsi="Times New Roman"/>
                      <w:color w:val="auto"/>
                      <w:kern w:val="0"/>
                      <w:szCs w:val="21"/>
                    </w:rPr>
                    <w:t>51</w:t>
                  </w:r>
                </w:p>
              </w:tc>
              <w:tc>
                <w:tcPr>
                  <w:tcW w:w="535" w:type="dxa"/>
                  <w:tcBorders>
                    <w:tl2br w:val="nil"/>
                    <w:tr2bl w:val="nil"/>
                  </w:tcBorders>
                  <w:vAlign w:val="center"/>
                </w:tcPr>
                <w:p w14:paraId="123D94FE">
                  <w:pPr>
                    <w:jc w:val="center"/>
                    <w:rPr>
                      <w:rFonts w:ascii="Times New Roman" w:hAnsi="Times New Roman"/>
                      <w:color w:val="auto"/>
                      <w:szCs w:val="21"/>
                    </w:rPr>
                  </w:pPr>
                  <w:r>
                    <w:rPr>
                      <w:rFonts w:ascii="Times New Roman" w:hAnsi="Times New Roman"/>
                      <w:color w:val="auto"/>
                      <w:kern w:val="0"/>
                      <w:szCs w:val="21"/>
                    </w:rPr>
                    <w:t>49</w:t>
                  </w:r>
                </w:p>
              </w:tc>
              <w:tc>
                <w:tcPr>
                  <w:tcW w:w="535" w:type="dxa"/>
                  <w:tcBorders>
                    <w:tl2br w:val="nil"/>
                    <w:tr2bl w:val="nil"/>
                  </w:tcBorders>
                  <w:vAlign w:val="center"/>
                </w:tcPr>
                <w:p w14:paraId="5F899BD4">
                  <w:pPr>
                    <w:jc w:val="center"/>
                    <w:rPr>
                      <w:rFonts w:ascii="Times New Roman" w:hAnsi="Times New Roman"/>
                      <w:color w:val="auto"/>
                      <w:szCs w:val="21"/>
                    </w:rPr>
                  </w:pPr>
                  <w:r>
                    <w:rPr>
                      <w:rFonts w:ascii="Times New Roman" w:hAnsi="Times New Roman"/>
                      <w:color w:val="auto"/>
                      <w:kern w:val="0"/>
                      <w:szCs w:val="21"/>
                    </w:rPr>
                    <w:t>46</w:t>
                  </w:r>
                </w:p>
              </w:tc>
              <w:tc>
                <w:tcPr>
                  <w:tcW w:w="677" w:type="dxa"/>
                  <w:tcBorders>
                    <w:tl2br w:val="nil"/>
                    <w:tr2bl w:val="nil"/>
                  </w:tcBorders>
                  <w:vAlign w:val="center"/>
                </w:tcPr>
                <w:p w14:paraId="3D2BFFC3">
                  <w:pPr>
                    <w:jc w:val="center"/>
                    <w:rPr>
                      <w:rFonts w:ascii="Times New Roman" w:hAnsi="Times New Roman"/>
                      <w:color w:val="auto"/>
                      <w:szCs w:val="21"/>
                    </w:rPr>
                  </w:pPr>
                  <w:r>
                    <w:rPr>
                      <w:rFonts w:ascii="Times New Roman" w:hAnsi="Times New Roman"/>
                      <w:color w:val="auto"/>
                      <w:kern w:val="0"/>
                      <w:szCs w:val="21"/>
                    </w:rPr>
                    <w:t>40</w:t>
                  </w:r>
                </w:p>
              </w:tc>
              <w:tc>
                <w:tcPr>
                  <w:tcW w:w="677" w:type="dxa"/>
                  <w:tcBorders>
                    <w:tl2br w:val="nil"/>
                    <w:tr2bl w:val="nil"/>
                  </w:tcBorders>
                  <w:vAlign w:val="center"/>
                </w:tcPr>
                <w:p w14:paraId="5BFFBD52">
                  <w:pPr>
                    <w:jc w:val="center"/>
                    <w:rPr>
                      <w:rFonts w:ascii="Times New Roman" w:hAnsi="Times New Roman"/>
                      <w:color w:val="auto"/>
                      <w:szCs w:val="21"/>
                    </w:rPr>
                  </w:pPr>
                  <w:r>
                    <w:rPr>
                      <w:rFonts w:ascii="Times New Roman" w:hAnsi="Times New Roman"/>
                      <w:color w:val="auto"/>
                      <w:kern w:val="0"/>
                      <w:szCs w:val="21"/>
                    </w:rPr>
                    <w:t>37</w:t>
                  </w:r>
                </w:p>
              </w:tc>
              <w:tc>
                <w:tcPr>
                  <w:tcW w:w="677" w:type="dxa"/>
                  <w:tcBorders>
                    <w:tl2br w:val="nil"/>
                    <w:tr2bl w:val="nil"/>
                  </w:tcBorders>
                  <w:vAlign w:val="center"/>
                </w:tcPr>
                <w:p w14:paraId="7D0ED8B0">
                  <w:pPr>
                    <w:jc w:val="center"/>
                    <w:rPr>
                      <w:rFonts w:ascii="Times New Roman" w:hAnsi="Times New Roman"/>
                      <w:color w:val="auto"/>
                      <w:szCs w:val="21"/>
                    </w:rPr>
                  </w:pPr>
                  <w:r>
                    <w:rPr>
                      <w:rFonts w:ascii="Times New Roman" w:hAnsi="Times New Roman"/>
                      <w:color w:val="auto"/>
                      <w:kern w:val="0"/>
                      <w:szCs w:val="21"/>
                    </w:rPr>
                    <w:t>35</w:t>
                  </w:r>
                </w:p>
              </w:tc>
              <w:tc>
                <w:tcPr>
                  <w:tcW w:w="678" w:type="dxa"/>
                  <w:tcBorders>
                    <w:tl2br w:val="nil"/>
                    <w:tr2bl w:val="nil"/>
                  </w:tcBorders>
                  <w:vAlign w:val="center"/>
                </w:tcPr>
                <w:p w14:paraId="3D9BD957">
                  <w:pPr>
                    <w:jc w:val="center"/>
                    <w:rPr>
                      <w:rFonts w:ascii="Times New Roman" w:hAnsi="Times New Roman"/>
                      <w:color w:val="auto"/>
                      <w:szCs w:val="21"/>
                    </w:rPr>
                  </w:pPr>
                  <w:r>
                    <w:rPr>
                      <w:rFonts w:ascii="Times New Roman" w:hAnsi="Times New Roman"/>
                      <w:color w:val="auto"/>
                      <w:kern w:val="0"/>
                      <w:szCs w:val="21"/>
                    </w:rPr>
                    <w:t>33</w:t>
                  </w:r>
                </w:p>
              </w:tc>
              <w:tc>
                <w:tcPr>
                  <w:tcW w:w="718" w:type="dxa"/>
                  <w:tcBorders>
                    <w:tl2br w:val="nil"/>
                    <w:tr2bl w:val="nil"/>
                  </w:tcBorders>
                  <w:vAlign w:val="center"/>
                </w:tcPr>
                <w:p w14:paraId="1EEDACC2">
                  <w:pPr>
                    <w:jc w:val="center"/>
                    <w:rPr>
                      <w:rFonts w:ascii="Times New Roman" w:hAnsi="Times New Roman"/>
                      <w:color w:val="auto"/>
                      <w:szCs w:val="21"/>
                    </w:rPr>
                  </w:pPr>
                  <w:r>
                    <w:rPr>
                      <w:rFonts w:ascii="Times New Roman" w:hAnsi="Times New Roman"/>
                      <w:color w:val="auto"/>
                      <w:kern w:val="0"/>
                      <w:szCs w:val="21"/>
                    </w:rPr>
                    <w:t>30</w:t>
                  </w:r>
                </w:p>
              </w:tc>
            </w:tr>
            <w:tr w14:paraId="06E32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737" w:type="dxa"/>
                  <w:tcBorders>
                    <w:tl2br w:val="nil"/>
                    <w:tr2bl w:val="nil"/>
                  </w:tcBorders>
                  <w:vAlign w:val="center"/>
                </w:tcPr>
                <w:p w14:paraId="43CC0170">
                  <w:pPr>
                    <w:adjustRightInd w:val="0"/>
                    <w:snapToGrid w:val="0"/>
                    <w:jc w:val="center"/>
                    <w:rPr>
                      <w:rFonts w:ascii="Times New Roman" w:hAnsi="Times New Roman"/>
                      <w:b/>
                      <w:bCs/>
                      <w:color w:val="auto"/>
                      <w:szCs w:val="21"/>
                    </w:rPr>
                  </w:pPr>
                  <w:r>
                    <w:rPr>
                      <w:rFonts w:ascii="Times New Roman" w:hAnsi="Times New Roman"/>
                      <w:b/>
                      <w:bCs/>
                      <w:color w:val="auto"/>
                      <w:szCs w:val="21"/>
                    </w:rPr>
                    <w:t>叠加值</w:t>
                  </w:r>
                </w:p>
              </w:tc>
              <w:tc>
                <w:tcPr>
                  <w:tcW w:w="584" w:type="dxa"/>
                  <w:tcBorders>
                    <w:tl2br w:val="nil"/>
                    <w:tr2bl w:val="nil"/>
                  </w:tcBorders>
                  <w:shd w:val="clear" w:color="auto" w:fill="auto"/>
                  <w:vAlign w:val="center"/>
                </w:tcPr>
                <w:p w14:paraId="04600633">
                  <w:pPr>
                    <w:jc w:val="center"/>
                    <w:rPr>
                      <w:rFonts w:ascii="Times New Roman" w:hAnsi="Times New Roman"/>
                      <w:color w:val="auto"/>
                      <w:szCs w:val="21"/>
                    </w:rPr>
                  </w:pPr>
                  <w:r>
                    <w:rPr>
                      <w:rFonts w:ascii="Times New Roman" w:hAnsi="Times New Roman"/>
                      <w:color w:val="auto"/>
                      <w:szCs w:val="21"/>
                    </w:rPr>
                    <w:t>98.4</w:t>
                  </w:r>
                </w:p>
              </w:tc>
              <w:tc>
                <w:tcPr>
                  <w:tcW w:w="534" w:type="dxa"/>
                  <w:tcBorders>
                    <w:tl2br w:val="nil"/>
                    <w:tr2bl w:val="nil"/>
                  </w:tcBorders>
                  <w:shd w:val="clear" w:color="auto" w:fill="auto"/>
                  <w:vAlign w:val="center"/>
                </w:tcPr>
                <w:p w14:paraId="72DA8434">
                  <w:pPr>
                    <w:jc w:val="center"/>
                    <w:rPr>
                      <w:rFonts w:ascii="Times New Roman" w:hAnsi="Times New Roman"/>
                      <w:color w:val="auto"/>
                      <w:kern w:val="0"/>
                      <w:szCs w:val="21"/>
                    </w:rPr>
                  </w:pPr>
                  <w:r>
                    <w:rPr>
                      <w:rFonts w:ascii="Times New Roman" w:hAnsi="Times New Roman"/>
                      <w:color w:val="auto"/>
                      <w:kern w:val="0"/>
                      <w:szCs w:val="21"/>
                    </w:rPr>
                    <w:t>79.6</w:t>
                  </w:r>
                </w:p>
              </w:tc>
              <w:tc>
                <w:tcPr>
                  <w:tcW w:w="535" w:type="dxa"/>
                  <w:tcBorders>
                    <w:tl2br w:val="nil"/>
                    <w:tr2bl w:val="nil"/>
                  </w:tcBorders>
                  <w:shd w:val="clear" w:color="auto" w:fill="auto"/>
                  <w:vAlign w:val="center"/>
                </w:tcPr>
                <w:p w14:paraId="440EA924">
                  <w:pPr>
                    <w:jc w:val="center"/>
                    <w:rPr>
                      <w:rFonts w:ascii="Times New Roman" w:hAnsi="Times New Roman"/>
                      <w:color w:val="auto"/>
                      <w:kern w:val="0"/>
                      <w:szCs w:val="21"/>
                    </w:rPr>
                  </w:pPr>
                  <w:r>
                    <w:rPr>
                      <w:rFonts w:ascii="Times New Roman" w:hAnsi="Times New Roman"/>
                      <w:color w:val="auto"/>
                      <w:kern w:val="0"/>
                      <w:szCs w:val="21"/>
                    </w:rPr>
                    <w:t>7</w:t>
                  </w:r>
                  <w:r>
                    <w:rPr>
                      <w:rFonts w:hint="eastAsia" w:ascii="Times New Roman" w:hAnsi="Times New Roman"/>
                      <w:color w:val="auto"/>
                      <w:kern w:val="0"/>
                      <w:szCs w:val="21"/>
                    </w:rPr>
                    <w:t>2</w:t>
                  </w:r>
                  <w:r>
                    <w:rPr>
                      <w:rFonts w:ascii="Times New Roman" w:hAnsi="Times New Roman"/>
                      <w:color w:val="auto"/>
                      <w:kern w:val="0"/>
                      <w:szCs w:val="21"/>
                    </w:rPr>
                    <w:t>.</w:t>
                  </w:r>
                  <w:r>
                    <w:rPr>
                      <w:rFonts w:hint="eastAsia" w:ascii="Times New Roman" w:hAnsi="Times New Roman"/>
                      <w:color w:val="auto"/>
                      <w:kern w:val="0"/>
                      <w:szCs w:val="21"/>
                    </w:rPr>
                    <w:t>8</w:t>
                  </w:r>
                </w:p>
              </w:tc>
              <w:tc>
                <w:tcPr>
                  <w:tcW w:w="535" w:type="dxa"/>
                  <w:tcBorders>
                    <w:tl2br w:val="nil"/>
                    <w:tr2bl w:val="nil"/>
                  </w:tcBorders>
                  <w:shd w:val="clear" w:color="auto" w:fill="auto"/>
                  <w:vAlign w:val="center"/>
                </w:tcPr>
                <w:p w14:paraId="017B9370">
                  <w:pPr>
                    <w:jc w:val="center"/>
                    <w:rPr>
                      <w:rFonts w:ascii="Times New Roman" w:hAnsi="Times New Roman"/>
                      <w:color w:val="auto"/>
                      <w:kern w:val="0"/>
                      <w:szCs w:val="21"/>
                    </w:rPr>
                  </w:pPr>
                  <w:r>
                    <w:rPr>
                      <w:rFonts w:ascii="Times New Roman" w:hAnsi="Times New Roman"/>
                      <w:color w:val="auto"/>
                      <w:kern w:val="0"/>
                      <w:szCs w:val="21"/>
                    </w:rPr>
                    <w:t>7</w:t>
                  </w:r>
                  <w:r>
                    <w:rPr>
                      <w:rFonts w:hint="eastAsia" w:ascii="Times New Roman" w:hAnsi="Times New Roman"/>
                      <w:color w:val="auto"/>
                      <w:kern w:val="0"/>
                      <w:szCs w:val="21"/>
                    </w:rPr>
                    <w:t>0</w:t>
                  </w:r>
                  <w:r>
                    <w:rPr>
                      <w:rFonts w:ascii="Times New Roman" w:hAnsi="Times New Roman"/>
                      <w:color w:val="auto"/>
                      <w:kern w:val="0"/>
                      <w:szCs w:val="21"/>
                    </w:rPr>
                    <w:t>.</w:t>
                  </w:r>
                  <w:r>
                    <w:rPr>
                      <w:rFonts w:hint="eastAsia" w:ascii="Times New Roman" w:hAnsi="Times New Roman"/>
                      <w:color w:val="auto"/>
                      <w:kern w:val="0"/>
                      <w:szCs w:val="21"/>
                    </w:rPr>
                    <w:t>4</w:t>
                  </w:r>
                </w:p>
              </w:tc>
              <w:tc>
                <w:tcPr>
                  <w:tcW w:w="535" w:type="dxa"/>
                  <w:tcBorders>
                    <w:tl2br w:val="nil"/>
                    <w:tr2bl w:val="nil"/>
                  </w:tcBorders>
                  <w:shd w:val="clear" w:color="auto" w:fill="auto"/>
                  <w:vAlign w:val="center"/>
                </w:tcPr>
                <w:p w14:paraId="7CD3DC7E">
                  <w:pPr>
                    <w:jc w:val="center"/>
                    <w:rPr>
                      <w:rFonts w:ascii="Times New Roman" w:hAnsi="Times New Roman"/>
                      <w:color w:val="auto"/>
                      <w:kern w:val="0"/>
                      <w:szCs w:val="21"/>
                    </w:rPr>
                  </w:pPr>
                  <w:r>
                    <w:rPr>
                      <w:rFonts w:ascii="Times New Roman" w:hAnsi="Times New Roman"/>
                      <w:color w:val="auto"/>
                      <w:kern w:val="0"/>
                      <w:szCs w:val="21"/>
                    </w:rPr>
                    <w:t>6</w:t>
                  </w:r>
                  <w:r>
                    <w:rPr>
                      <w:rFonts w:hint="eastAsia" w:ascii="Times New Roman" w:hAnsi="Times New Roman"/>
                      <w:color w:val="auto"/>
                      <w:kern w:val="0"/>
                      <w:szCs w:val="21"/>
                    </w:rPr>
                    <w:t>7</w:t>
                  </w:r>
                  <w:r>
                    <w:rPr>
                      <w:rFonts w:ascii="Times New Roman" w:hAnsi="Times New Roman"/>
                      <w:color w:val="auto"/>
                      <w:kern w:val="0"/>
                      <w:szCs w:val="21"/>
                    </w:rPr>
                    <w:t>.</w:t>
                  </w:r>
                  <w:r>
                    <w:rPr>
                      <w:rFonts w:hint="eastAsia" w:ascii="Times New Roman" w:hAnsi="Times New Roman"/>
                      <w:color w:val="auto"/>
                      <w:kern w:val="0"/>
                      <w:szCs w:val="21"/>
                    </w:rPr>
                    <w:t>7</w:t>
                  </w:r>
                </w:p>
              </w:tc>
              <w:tc>
                <w:tcPr>
                  <w:tcW w:w="535" w:type="dxa"/>
                  <w:tcBorders>
                    <w:tl2br w:val="nil"/>
                    <w:tr2bl w:val="nil"/>
                  </w:tcBorders>
                  <w:shd w:val="clear" w:color="auto" w:fill="auto"/>
                  <w:vAlign w:val="center"/>
                </w:tcPr>
                <w:p w14:paraId="66BEBF70">
                  <w:pPr>
                    <w:jc w:val="center"/>
                    <w:rPr>
                      <w:rFonts w:ascii="Times New Roman" w:hAnsi="Times New Roman"/>
                      <w:color w:val="auto"/>
                      <w:kern w:val="0"/>
                      <w:szCs w:val="21"/>
                    </w:rPr>
                  </w:pPr>
                  <w:r>
                    <w:rPr>
                      <w:rFonts w:ascii="Times New Roman" w:hAnsi="Times New Roman"/>
                      <w:color w:val="auto"/>
                      <w:kern w:val="0"/>
                      <w:szCs w:val="21"/>
                    </w:rPr>
                    <w:t>6</w:t>
                  </w:r>
                  <w:r>
                    <w:rPr>
                      <w:rFonts w:hint="eastAsia" w:ascii="Times New Roman" w:hAnsi="Times New Roman"/>
                      <w:color w:val="auto"/>
                      <w:kern w:val="0"/>
                      <w:szCs w:val="21"/>
                    </w:rPr>
                    <w:t>4</w:t>
                  </w:r>
                  <w:r>
                    <w:rPr>
                      <w:rFonts w:ascii="Times New Roman" w:hAnsi="Times New Roman"/>
                      <w:color w:val="auto"/>
                      <w:kern w:val="0"/>
                      <w:szCs w:val="21"/>
                    </w:rPr>
                    <w:t>.</w:t>
                  </w:r>
                  <w:r>
                    <w:rPr>
                      <w:rFonts w:hint="eastAsia" w:ascii="Times New Roman" w:hAnsi="Times New Roman"/>
                      <w:color w:val="auto"/>
                      <w:kern w:val="0"/>
                      <w:szCs w:val="21"/>
                    </w:rPr>
                    <w:t>0</w:t>
                  </w:r>
                </w:p>
              </w:tc>
              <w:tc>
                <w:tcPr>
                  <w:tcW w:w="677" w:type="dxa"/>
                  <w:tcBorders>
                    <w:tl2br w:val="nil"/>
                    <w:tr2bl w:val="nil"/>
                  </w:tcBorders>
                  <w:shd w:val="clear" w:color="auto" w:fill="auto"/>
                  <w:vAlign w:val="center"/>
                </w:tcPr>
                <w:p w14:paraId="3EC32632">
                  <w:pPr>
                    <w:jc w:val="center"/>
                    <w:rPr>
                      <w:rFonts w:ascii="Times New Roman" w:hAnsi="Times New Roman"/>
                      <w:color w:val="auto"/>
                      <w:kern w:val="0"/>
                      <w:szCs w:val="21"/>
                    </w:rPr>
                  </w:pPr>
                  <w:r>
                    <w:rPr>
                      <w:rFonts w:ascii="Times New Roman" w:hAnsi="Times New Roman"/>
                      <w:color w:val="auto"/>
                      <w:kern w:val="0"/>
                      <w:szCs w:val="21"/>
                    </w:rPr>
                    <w:t>60.</w:t>
                  </w:r>
                  <w:r>
                    <w:rPr>
                      <w:rFonts w:hint="eastAsia" w:ascii="Times New Roman" w:hAnsi="Times New Roman"/>
                      <w:color w:val="auto"/>
                      <w:kern w:val="0"/>
                      <w:szCs w:val="21"/>
                    </w:rPr>
                    <w:t>2</w:t>
                  </w:r>
                </w:p>
              </w:tc>
              <w:tc>
                <w:tcPr>
                  <w:tcW w:w="677" w:type="dxa"/>
                  <w:tcBorders>
                    <w:tl2br w:val="nil"/>
                    <w:tr2bl w:val="nil"/>
                  </w:tcBorders>
                  <w:shd w:val="clear" w:color="auto" w:fill="auto"/>
                  <w:vAlign w:val="center"/>
                </w:tcPr>
                <w:p w14:paraId="5F9D2554">
                  <w:pPr>
                    <w:jc w:val="center"/>
                    <w:rPr>
                      <w:rFonts w:ascii="Times New Roman" w:hAnsi="Times New Roman"/>
                      <w:color w:val="auto"/>
                      <w:kern w:val="0"/>
                      <w:szCs w:val="21"/>
                    </w:rPr>
                  </w:pPr>
                  <w:r>
                    <w:rPr>
                      <w:rFonts w:ascii="Times New Roman" w:hAnsi="Times New Roman"/>
                      <w:color w:val="auto"/>
                      <w:kern w:val="0"/>
                      <w:szCs w:val="21"/>
                    </w:rPr>
                    <w:t>5</w:t>
                  </w:r>
                  <w:r>
                    <w:rPr>
                      <w:rFonts w:hint="eastAsia" w:ascii="Times New Roman" w:hAnsi="Times New Roman"/>
                      <w:color w:val="auto"/>
                      <w:kern w:val="0"/>
                      <w:szCs w:val="21"/>
                    </w:rPr>
                    <w:t>6</w:t>
                  </w:r>
                  <w:r>
                    <w:rPr>
                      <w:rFonts w:ascii="Times New Roman" w:hAnsi="Times New Roman"/>
                      <w:color w:val="auto"/>
                      <w:kern w:val="0"/>
                      <w:szCs w:val="21"/>
                    </w:rPr>
                    <w:t>.</w:t>
                  </w:r>
                  <w:r>
                    <w:rPr>
                      <w:rFonts w:hint="eastAsia" w:ascii="Times New Roman" w:hAnsi="Times New Roman"/>
                      <w:color w:val="auto"/>
                      <w:kern w:val="0"/>
                      <w:szCs w:val="21"/>
                    </w:rPr>
                    <w:t>5</w:t>
                  </w:r>
                </w:p>
              </w:tc>
              <w:tc>
                <w:tcPr>
                  <w:tcW w:w="677" w:type="dxa"/>
                  <w:tcBorders>
                    <w:tl2br w:val="nil"/>
                    <w:tr2bl w:val="nil"/>
                  </w:tcBorders>
                  <w:shd w:val="clear" w:color="auto" w:fill="auto"/>
                  <w:vAlign w:val="center"/>
                </w:tcPr>
                <w:p w14:paraId="2AADE733">
                  <w:pPr>
                    <w:jc w:val="center"/>
                    <w:rPr>
                      <w:rFonts w:ascii="Times New Roman" w:hAnsi="Times New Roman"/>
                      <w:color w:val="auto"/>
                      <w:kern w:val="0"/>
                      <w:szCs w:val="21"/>
                    </w:rPr>
                  </w:pPr>
                  <w:r>
                    <w:rPr>
                      <w:rFonts w:ascii="Times New Roman" w:hAnsi="Times New Roman"/>
                      <w:color w:val="auto"/>
                      <w:kern w:val="0"/>
                      <w:szCs w:val="21"/>
                    </w:rPr>
                    <w:t>5</w:t>
                  </w:r>
                  <w:r>
                    <w:rPr>
                      <w:rFonts w:hint="eastAsia" w:ascii="Times New Roman" w:hAnsi="Times New Roman"/>
                      <w:color w:val="auto"/>
                      <w:kern w:val="0"/>
                      <w:szCs w:val="21"/>
                    </w:rPr>
                    <w:t>3</w:t>
                  </w:r>
                  <w:r>
                    <w:rPr>
                      <w:rFonts w:ascii="Times New Roman" w:hAnsi="Times New Roman"/>
                      <w:color w:val="auto"/>
                      <w:kern w:val="0"/>
                      <w:szCs w:val="21"/>
                    </w:rPr>
                    <w:t>.</w:t>
                  </w:r>
                  <w:r>
                    <w:rPr>
                      <w:rFonts w:hint="eastAsia" w:ascii="Times New Roman" w:hAnsi="Times New Roman"/>
                      <w:color w:val="auto"/>
                      <w:kern w:val="0"/>
                      <w:szCs w:val="21"/>
                    </w:rPr>
                    <w:t>3</w:t>
                  </w:r>
                </w:p>
              </w:tc>
              <w:tc>
                <w:tcPr>
                  <w:tcW w:w="678" w:type="dxa"/>
                  <w:tcBorders>
                    <w:tl2br w:val="nil"/>
                    <w:tr2bl w:val="nil"/>
                  </w:tcBorders>
                  <w:shd w:val="clear" w:color="auto" w:fill="auto"/>
                  <w:vAlign w:val="center"/>
                </w:tcPr>
                <w:p w14:paraId="6C8B67A4">
                  <w:pPr>
                    <w:jc w:val="center"/>
                    <w:rPr>
                      <w:rFonts w:ascii="Times New Roman" w:hAnsi="Times New Roman"/>
                      <w:color w:val="auto"/>
                      <w:kern w:val="0"/>
                      <w:szCs w:val="21"/>
                    </w:rPr>
                  </w:pPr>
                  <w:r>
                    <w:rPr>
                      <w:rFonts w:ascii="Times New Roman" w:hAnsi="Times New Roman"/>
                      <w:color w:val="auto"/>
                      <w:kern w:val="0"/>
                      <w:szCs w:val="21"/>
                    </w:rPr>
                    <w:t>5</w:t>
                  </w:r>
                  <w:r>
                    <w:rPr>
                      <w:rFonts w:hint="eastAsia" w:ascii="Times New Roman" w:hAnsi="Times New Roman"/>
                      <w:color w:val="auto"/>
                      <w:kern w:val="0"/>
                      <w:szCs w:val="21"/>
                    </w:rPr>
                    <w:t>1</w:t>
                  </w:r>
                  <w:r>
                    <w:rPr>
                      <w:rFonts w:ascii="Times New Roman" w:hAnsi="Times New Roman"/>
                      <w:color w:val="auto"/>
                      <w:kern w:val="0"/>
                      <w:szCs w:val="21"/>
                    </w:rPr>
                    <w:t>.</w:t>
                  </w:r>
                  <w:r>
                    <w:rPr>
                      <w:rFonts w:hint="eastAsia" w:ascii="Times New Roman" w:hAnsi="Times New Roman"/>
                      <w:color w:val="auto"/>
                      <w:kern w:val="0"/>
                      <w:szCs w:val="21"/>
                    </w:rPr>
                    <w:t>4</w:t>
                  </w:r>
                </w:p>
              </w:tc>
              <w:tc>
                <w:tcPr>
                  <w:tcW w:w="718" w:type="dxa"/>
                  <w:tcBorders>
                    <w:tl2br w:val="nil"/>
                    <w:tr2bl w:val="nil"/>
                  </w:tcBorders>
                  <w:shd w:val="clear" w:color="auto" w:fill="auto"/>
                  <w:vAlign w:val="center"/>
                </w:tcPr>
                <w:p w14:paraId="3B13EFCC">
                  <w:pPr>
                    <w:jc w:val="center"/>
                    <w:rPr>
                      <w:rFonts w:ascii="Times New Roman" w:hAnsi="Times New Roman"/>
                      <w:color w:val="auto"/>
                      <w:kern w:val="0"/>
                      <w:szCs w:val="21"/>
                    </w:rPr>
                  </w:pPr>
                  <w:r>
                    <w:rPr>
                      <w:rFonts w:ascii="Times New Roman" w:hAnsi="Times New Roman"/>
                      <w:color w:val="auto"/>
                      <w:kern w:val="0"/>
                      <w:szCs w:val="21"/>
                    </w:rPr>
                    <w:t>5</w:t>
                  </w:r>
                  <w:r>
                    <w:rPr>
                      <w:rFonts w:hint="eastAsia" w:ascii="Times New Roman" w:hAnsi="Times New Roman"/>
                      <w:color w:val="auto"/>
                      <w:kern w:val="0"/>
                      <w:szCs w:val="21"/>
                    </w:rPr>
                    <w:t>0</w:t>
                  </w:r>
                  <w:r>
                    <w:rPr>
                      <w:rFonts w:ascii="Times New Roman" w:hAnsi="Times New Roman"/>
                      <w:color w:val="auto"/>
                      <w:kern w:val="0"/>
                      <w:szCs w:val="21"/>
                    </w:rPr>
                    <w:t>.</w:t>
                  </w:r>
                  <w:r>
                    <w:rPr>
                      <w:rFonts w:hint="eastAsia" w:ascii="Times New Roman" w:hAnsi="Times New Roman"/>
                      <w:color w:val="auto"/>
                      <w:kern w:val="0"/>
                      <w:szCs w:val="21"/>
                    </w:rPr>
                    <w:t>2</w:t>
                  </w:r>
                </w:p>
              </w:tc>
            </w:tr>
          </w:tbl>
          <w:p w14:paraId="53D965A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根据上述计算结果分析，项目施工过程中在3</w:t>
            </w:r>
            <w:r>
              <w:rPr>
                <w:rFonts w:hint="eastAsia" w:ascii="Times New Roman" w:hAnsi="Times New Roman"/>
                <w:color w:val="auto"/>
                <w:sz w:val="24"/>
                <w:szCs w:val="24"/>
              </w:rPr>
              <w:t>5</w:t>
            </w:r>
            <w:r>
              <w:rPr>
                <w:rFonts w:ascii="Times New Roman" w:hAnsi="Times New Roman"/>
                <w:color w:val="auto"/>
                <w:sz w:val="24"/>
                <w:szCs w:val="24"/>
              </w:rPr>
              <w:t>m处能满足昼间《建筑施工噪声排放标准》（GB12523—2025）要求，即昼间</w:t>
            </w:r>
            <w:r>
              <w:rPr>
                <w:rFonts w:hint="eastAsia" w:ascii="宋体" w:hAnsi="宋体" w:cs="宋体"/>
                <w:color w:val="auto"/>
                <w:sz w:val="24"/>
                <w:szCs w:val="24"/>
              </w:rPr>
              <w:t>≤</w:t>
            </w:r>
            <w:r>
              <w:rPr>
                <w:rFonts w:ascii="Times New Roman" w:hAnsi="Times New Roman"/>
                <w:color w:val="auto"/>
                <w:sz w:val="24"/>
                <w:szCs w:val="24"/>
              </w:rPr>
              <w:t>70dB（A）。</w:t>
            </w:r>
          </w:p>
          <w:p w14:paraId="561D36D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本环评采取了最大噪声进行预测，实际施工过程中噪声影响会比预测结果小，且各施工机械不可能同时运行。新建输电线路声环境评价范围内的声环境敏感目标为线路塔基N</w:t>
            </w:r>
            <w:r>
              <w:rPr>
                <w:rFonts w:hint="eastAsia" w:ascii="Times New Roman" w:hAnsi="Times New Roman"/>
                <w:color w:val="auto"/>
                <w:sz w:val="24"/>
                <w:szCs w:val="24"/>
              </w:rPr>
              <w:t>1</w:t>
            </w:r>
            <w:r>
              <w:rPr>
                <w:rFonts w:ascii="Times New Roman" w:hAnsi="Times New Roman"/>
                <w:color w:val="auto"/>
                <w:sz w:val="24"/>
                <w:szCs w:val="24"/>
              </w:rPr>
              <w:t>~N</w:t>
            </w:r>
            <w:r>
              <w:rPr>
                <w:rFonts w:hint="eastAsia" w:ascii="Times New Roman" w:hAnsi="Times New Roman"/>
                <w:color w:val="auto"/>
                <w:sz w:val="24"/>
                <w:szCs w:val="24"/>
              </w:rPr>
              <w:t>2</w:t>
            </w:r>
            <w:r>
              <w:rPr>
                <w:rFonts w:ascii="Times New Roman" w:hAnsi="Times New Roman"/>
                <w:color w:val="auto"/>
                <w:sz w:val="24"/>
                <w:szCs w:val="24"/>
              </w:rPr>
              <w:t>之间</w:t>
            </w:r>
            <w:r>
              <w:rPr>
                <w:rFonts w:hint="eastAsia" w:ascii="Times New Roman" w:hAnsi="Times New Roman"/>
                <w:color w:val="auto"/>
                <w:sz w:val="24"/>
                <w:szCs w:val="24"/>
              </w:rPr>
              <w:t>北侧22</w:t>
            </w:r>
            <w:r>
              <w:rPr>
                <w:rFonts w:ascii="Times New Roman" w:hAnsi="Times New Roman"/>
                <w:color w:val="auto"/>
                <w:sz w:val="24"/>
                <w:szCs w:val="24"/>
              </w:rPr>
              <w:t>m</w:t>
            </w:r>
            <w:r>
              <w:rPr>
                <w:rFonts w:hint="eastAsia" w:ascii="Times New Roman" w:hAnsi="Times New Roman"/>
                <w:color w:val="auto"/>
                <w:sz w:val="24"/>
                <w:szCs w:val="24"/>
              </w:rPr>
              <w:t>处六合村、塔基N11~N12之间东侧30m处石灰窑散户、塔基N23~N24之间南侧32m处隧道工棚、塔基N29~N30之间东侧40m处叶家冲散户、塔基N50~N51之间东侧30m处中梁子散户、塔基N57~N58之间北侧40m国道停车区用房、塔基N57~N58之间南侧16m处山背后村</w:t>
            </w:r>
            <w:r>
              <w:rPr>
                <w:rFonts w:ascii="Times New Roman" w:hAnsi="Times New Roman"/>
                <w:color w:val="auto"/>
                <w:sz w:val="24"/>
                <w:szCs w:val="24"/>
              </w:rPr>
              <w:t>，杆塔位置处为山地</w:t>
            </w:r>
            <w:r>
              <w:rPr>
                <w:rFonts w:hint="eastAsia" w:ascii="Times New Roman" w:hAnsi="Times New Roman"/>
                <w:color w:val="auto"/>
                <w:sz w:val="24"/>
                <w:szCs w:val="24"/>
              </w:rPr>
              <w:t>、林地</w:t>
            </w:r>
            <w:r>
              <w:rPr>
                <w:rFonts w:ascii="Times New Roman" w:hAnsi="Times New Roman"/>
                <w:color w:val="auto"/>
                <w:sz w:val="24"/>
                <w:szCs w:val="24"/>
              </w:rPr>
              <w:t>，杆塔基础为掏挖基础，采取人工掏挖方式，铁塔组立采用内拉线悬浮抱杆分段分片吊装，均不需使用机械设备，控制人为喧哗噪声后，基础施工产生的噪声对声环境敏感目标的影响很小；线路架设采取无人机展放线、牵张机紧线施工方式，牵张场场地远离居民住宅等敏感点，牵张机施工噪声对声环境敏感目标处影响较小。</w:t>
            </w:r>
          </w:p>
          <w:p w14:paraId="39CDD66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另外，线路工程塔基施工点和设置的牵张场分布较为分散，产生的噪声经过地形和林木的阻挡，到达沿线人口密集的居民点时已经大幅衰减，且输电线路夜间不施工；在居民敏感目标附近的塔基施工时，先行建设施工围挡，减少施工噪声对居民的影响，架空线路施工噪声对附近声环境的影响可以接受。</w:t>
            </w:r>
          </w:p>
          <w:p w14:paraId="28A6463E">
            <w:pPr>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（2）运输噪声影响分析</w:t>
            </w:r>
          </w:p>
          <w:p w14:paraId="0DE18DCC">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本工程运输的主要为塔基部件以及施工材料，运输车辆多为中型车，设备、材料运输车辆行驶过程中产生交通噪声，对道路沿线敏感点产生一定的影响。</w:t>
            </w:r>
          </w:p>
          <w:p w14:paraId="21097359">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由于物料运输利用现有道路及新建场内道路，沿线分布有不少村庄，有的村庄居民点直接分布于道路两侧，机电设备、物料运输过程中产生的噪声造成的影响是不可忽视的。从声环境保护目标的分布情况来看，</w:t>
            </w:r>
            <w:r>
              <w:rPr>
                <w:rFonts w:ascii="Times New Roman" w:hAnsi="Times New Roman"/>
                <w:color w:val="auto"/>
                <w:sz w:val="24"/>
                <w:szCs w:val="24"/>
              </w:rPr>
              <w:t>六合村</w:t>
            </w:r>
            <w:r>
              <w:rPr>
                <w:rFonts w:hint="eastAsia" w:ascii="Times New Roman" w:hAnsi="Times New Roman"/>
                <w:color w:val="auto"/>
                <w:sz w:val="24"/>
                <w:szCs w:val="24"/>
              </w:rPr>
              <w:t>、石灰</w:t>
            </w:r>
            <w:r>
              <w:rPr>
                <w:rFonts w:hint="eastAsia" w:ascii="Times New Roman" w:hAnsi="Times New Roman"/>
                <w:color w:val="auto"/>
                <w:sz w:val="24"/>
                <w:szCs w:val="24"/>
                <w:lang w:eastAsia="zh-CN"/>
              </w:rPr>
              <w:t>窑村、</w:t>
            </w:r>
            <w:r>
              <w:rPr>
                <w:rFonts w:hint="eastAsia" w:ascii="Times New Roman" w:hAnsi="Times New Roman"/>
                <w:color w:val="auto"/>
                <w:sz w:val="24"/>
                <w:szCs w:val="24"/>
              </w:rPr>
              <w:t>叶家冲村</w:t>
            </w:r>
            <w:r>
              <w:rPr>
                <w:rFonts w:hint="eastAsia" w:ascii="Times New Roman" w:hAnsi="Times New Roman"/>
                <w:color w:val="auto"/>
                <w:sz w:val="24"/>
                <w:szCs w:val="24"/>
                <w:lang w:eastAsia="zh-CN"/>
              </w:rPr>
              <w:t>、</w:t>
            </w:r>
            <w:r>
              <w:rPr>
                <w:rFonts w:hint="eastAsia" w:ascii="Times New Roman" w:hAnsi="Times New Roman"/>
                <w:color w:val="auto"/>
                <w:sz w:val="24"/>
                <w:szCs w:val="24"/>
              </w:rPr>
              <w:t>中梁子村</w:t>
            </w:r>
            <w:r>
              <w:rPr>
                <w:rFonts w:hint="eastAsia" w:ascii="Times New Roman" w:hAnsi="Times New Roman"/>
                <w:color w:val="auto"/>
                <w:sz w:val="24"/>
                <w:szCs w:val="24"/>
                <w:lang w:eastAsia="zh-CN"/>
              </w:rPr>
              <w:t>、</w:t>
            </w:r>
            <w:r>
              <w:rPr>
                <w:rFonts w:hint="eastAsia" w:ascii="Times New Roman" w:hAnsi="Times New Roman"/>
                <w:color w:val="auto"/>
                <w:sz w:val="24"/>
                <w:szCs w:val="24"/>
              </w:rPr>
              <w:t>山背后村等位于输电线路两侧，容易受到交通噪声的影响。由于本工程施工运输交通量不大，交通噪声影响是短暂、非连续的。施工单位施工时需优化运输时间，物料和设备运输安排在昼间运输，避免夜间运输；途经沿线居民点时注意控制车速、减速慢行，并禁止鸣笛。由于工程运输车流量不大，且运输噪声为短暂影响，施工结束后影响随即消除，在采取以上防治措施后，运输噪声对沿线敏感点声环境的影响在可接受的范围内。</w:t>
            </w:r>
          </w:p>
          <w:p w14:paraId="029AE59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根据输电线路塔基施工特点，各施工点施工量小，施工时间短，施工结束，施工噪声影响亦会结束。</w:t>
            </w:r>
          </w:p>
          <w:p w14:paraId="0B65A30D">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4.1.7项目施工期“三场”（堆料场、临时弃土场、牵张场）设置对环境的影响</w:t>
            </w:r>
          </w:p>
          <w:p w14:paraId="552CE61E">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根据资料</w:t>
            </w:r>
            <w:r>
              <w:rPr>
                <w:rFonts w:ascii="Times New Roman" w:hAnsi="Times New Roman"/>
                <w:color w:val="auto"/>
                <w:sz w:val="24"/>
                <w:szCs w:val="24"/>
              </w:rPr>
              <w:t>，本项目施工时</w:t>
            </w:r>
            <w:r>
              <w:rPr>
                <w:rFonts w:hint="eastAsia" w:ascii="Times New Roman" w:hAnsi="Times New Roman"/>
                <w:color w:val="auto"/>
                <w:sz w:val="24"/>
                <w:szCs w:val="24"/>
              </w:rPr>
              <w:t>不</w:t>
            </w:r>
            <w:r>
              <w:rPr>
                <w:rFonts w:ascii="Times New Roman" w:hAnsi="Times New Roman"/>
                <w:color w:val="auto"/>
                <w:sz w:val="24"/>
                <w:szCs w:val="24"/>
              </w:rPr>
              <w:t>设置施工营地、堆料场</w:t>
            </w:r>
            <w:r>
              <w:rPr>
                <w:rFonts w:hint="eastAsia" w:ascii="Times New Roman" w:hAnsi="Times New Roman"/>
                <w:color w:val="auto"/>
                <w:sz w:val="24"/>
                <w:szCs w:val="24"/>
              </w:rPr>
              <w:t>及弃土场</w:t>
            </w:r>
            <w:r>
              <w:rPr>
                <w:rFonts w:ascii="Times New Roman" w:hAnsi="Times New Roman"/>
                <w:color w:val="auto"/>
                <w:sz w:val="24"/>
                <w:szCs w:val="24"/>
              </w:rPr>
              <w:t>；</w:t>
            </w:r>
            <w:r>
              <w:rPr>
                <w:rFonts w:hint="eastAsia" w:ascii="Times New Roman" w:hAnsi="Times New Roman"/>
                <w:color w:val="auto"/>
                <w:sz w:val="24"/>
                <w:szCs w:val="24"/>
              </w:rPr>
              <w:t>22</w:t>
            </w:r>
            <w:r>
              <w:rPr>
                <w:rFonts w:ascii="Times New Roman" w:hAnsi="Times New Roman"/>
                <w:color w:val="auto"/>
                <w:sz w:val="24"/>
                <w:szCs w:val="24"/>
              </w:rPr>
              <w:t>0</w:t>
            </w:r>
            <w:r>
              <w:rPr>
                <w:rFonts w:hint="eastAsia" w:ascii="Times New Roman" w:hAnsi="Times New Roman"/>
                <w:color w:val="auto"/>
                <w:sz w:val="24"/>
                <w:szCs w:val="24"/>
              </w:rPr>
              <w:t>kV</w:t>
            </w:r>
            <w:r>
              <w:rPr>
                <w:rFonts w:ascii="Times New Roman" w:hAnsi="Times New Roman"/>
                <w:color w:val="auto"/>
                <w:sz w:val="24"/>
                <w:szCs w:val="24"/>
              </w:rPr>
              <w:t>输电线路设置</w:t>
            </w:r>
            <w:r>
              <w:rPr>
                <w:rFonts w:hint="eastAsia" w:ascii="Times New Roman" w:hAnsi="Times New Roman"/>
                <w:color w:val="auto"/>
                <w:sz w:val="24"/>
                <w:szCs w:val="24"/>
              </w:rPr>
              <w:t>4</w:t>
            </w:r>
            <w:r>
              <w:rPr>
                <w:rFonts w:ascii="Times New Roman" w:hAnsi="Times New Roman"/>
                <w:color w:val="auto"/>
                <w:sz w:val="24"/>
                <w:szCs w:val="24"/>
              </w:rPr>
              <w:t>个牵张场。</w:t>
            </w:r>
          </w:p>
          <w:p w14:paraId="3684E6CE">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①牵张场：牵张场的设置在一定程度上占用原有土</w:t>
            </w:r>
            <w:r>
              <w:rPr>
                <w:rFonts w:ascii="Times New Roman" w:hAnsi="Times New Roman" w:cs="Times New Roman"/>
                <w:color w:val="auto"/>
                <w:spacing w:val="-11"/>
                <w:sz w:val="24"/>
              </w:rPr>
              <w:t>地，对占地进行场地平整，将减少地表附着物，减少项目施工区的植被覆盖，造成一定程度的水土流失。</w:t>
            </w:r>
            <w:r>
              <w:rPr>
                <w:rFonts w:ascii="Times New Roman" w:hAnsi="Times New Roman" w:cs="Times New Roman"/>
                <w:color w:val="auto"/>
                <w:sz w:val="24"/>
              </w:rPr>
              <w:t>施工期牵张场的电动卷扬机等牵引设备运行过程中将产生扬尘和施工噪声</w:t>
            </w:r>
            <w:r>
              <w:rPr>
                <w:rFonts w:hint="eastAsia" w:ascii="Times New Roman" w:hAnsi="Times New Roman" w:cs="Times New Roman"/>
                <w:color w:val="auto"/>
                <w:sz w:val="24"/>
              </w:rPr>
              <w:t>。</w:t>
            </w:r>
          </w:p>
          <w:p w14:paraId="23973631">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②弃土场：</w:t>
            </w:r>
            <w:r>
              <w:rPr>
                <w:rFonts w:hint="eastAsia" w:ascii="Times New Roman" w:hAnsi="Times New Roman" w:cs="Times New Roman"/>
                <w:color w:val="auto"/>
                <w:sz w:val="24"/>
              </w:rPr>
              <w:t>不设置弃土场，</w:t>
            </w:r>
            <w:r>
              <w:rPr>
                <w:rFonts w:ascii="Times New Roman" w:hAnsi="Times New Roman" w:cs="Times New Roman"/>
                <w:color w:val="auto"/>
                <w:sz w:val="24"/>
              </w:rPr>
              <w:t>产生</w:t>
            </w:r>
            <w:r>
              <w:rPr>
                <w:rFonts w:hint="eastAsia" w:ascii="Times New Roman" w:hAnsi="Times New Roman" w:cs="Times New Roman"/>
                <w:color w:val="auto"/>
                <w:sz w:val="24"/>
              </w:rPr>
              <w:t>少量</w:t>
            </w:r>
            <w:r>
              <w:rPr>
                <w:rFonts w:ascii="Times New Roman" w:hAnsi="Times New Roman" w:cs="Times New Roman"/>
                <w:color w:val="auto"/>
                <w:sz w:val="24"/>
              </w:rPr>
              <w:t>弃方后用于回填，未随意堆放</w:t>
            </w:r>
            <w:r>
              <w:rPr>
                <w:rFonts w:hint="eastAsia" w:ascii="Times New Roman" w:hAnsi="Times New Roman" w:cs="Times New Roman"/>
                <w:color w:val="auto"/>
                <w:sz w:val="24"/>
              </w:rPr>
              <w:t>。</w:t>
            </w:r>
          </w:p>
          <w:p w14:paraId="7B06C8F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rPr>
              <w:t>③堆料场</w:t>
            </w:r>
            <w:r>
              <w:rPr>
                <w:rFonts w:hint="eastAsia" w:ascii="Times New Roman" w:hAnsi="Times New Roman"/>
                <w:color w:val="auto"/>
                <w:sz w:val="24"/>
              </w:rPr>
              <w:t>：</w:t>
            </w:r>
            <w:r>
              <w:rPr>
                <w:rFonts w:ascii="Times New Roman" w:hAnsi="Times New Roman"/>
                <w:color w:val="auto"/>
                <w:sz w:val="24"/>
                <w:szCs w:val="24"/>
              </w:rPr>
              <w:t>本项目输电线路施工点分散，每个施工点需要堆放的材料不多，因此，施工材料运至施工点附近后，就近安放于较宽阔的路边，由人工运输至施工点逐一进行安装，施工材料堆放时间不长，尽量做到当日安装，若遇需隔天安装的，对施工材料进行篷布覆盖，输电线路不单独另设堆料场</w:t>
            </w:r>
            <w:r>
              <w:rPr>
                <w:rFonts w:hint="eastAsia" w:ascii="Times New Roman" w:hAnsi="Times New Roman"/>
                <w:color w:val="auto"/>
                <w:sz w:val="24"/>
                <w:szCs w:val="24"/>
              </w:rPr>
              <w:t>，对环境影响较小。</w:t>
            </w:r>
          </w:p>
          <w:p w14:paraId="4E58C3C2">
            <w:pPr>
              <w:pStyle w:val="51"/>
              <w:adjustRightInd w:val="0"/>
              <w:snapToGrid w:val="0"/>
              <w:spacing w:line="440" w:lineRule="exact"/>
              <w:ind w:firstLine="480" w:firstLineChars="200"/>
              <w:jc w:val="both"/>
              <w:rPr>
                <w:rFonts w:ascii="Times New Roman" w:hAnsi="Times New Roman" w:cs="Times New Roman"/>
                <w:color w:val="auto"/>
                <w:sz w:val="24"/>
              </w:rPr>
            </w:pPr>
            <w:r>
              <w:rPr>
                <w:rFonts w:hint="eastAsia" w:ascii="Times New Roman" w:hAnsi="Times New Roman" w:cs="Times New Roman"/>
                <w:color w:val="auto"/>
                <w:sz w:val="24"/>
              </w:rPr>
              <w:t>④表土堆场：线路施工期间剥离的表层土临时堆放在塔基红线范围内，并采取临时遮盖措施，施工结束后及时回填平整，不单独设临时表土堆场。</w:t>
            </w:r>
          </w:p>
          <w:p w14:paraId="3E5AD872">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项目施工期“三场”的设置主要产生扬尘、噪声、水土流失和地表植被破坏等环境影响，扬尘和噪声的产生量较小，对线路周边的居民生活影响较小。</w:t>
            </w:r>
          </w:p>
          <w:p w14:paraId="3E2E67A1">
            <w:pPr>
              <w:adjustRightInd w:val="0"/>
              <w:snapToGrid w:val="0"/>
              <w:spacing w:line="440" w:lineRule="exact"/>
              <w:rPr>
                <w:rFonts w:ascii="Times New Roman" w:hAnsi="Times New Roman"/>
                <w:b/>
                <w:bCs/>
                <w:color w:val="auto"/>
                <w:sz w:val="24"/>
                <w:szCs w:val="24"/>
              </w:rPr>
            </w:pPr>
            <w:r>
              <w:rPr>
                <w:rFonts w:ascii="Times New Roman" w:hAnsi="Times New Roman"/>
                <w:b/>
                <w:bCs/>
                <w:color w:val="auto"/>
                <w:sz w:val="24"/>
                <w:szCs w:val="24"/>
              </w:rPr>
              <w:t>4.1.8施工期的水土流失</w:t>
            </w:r>
          </w:p>
          <w:p w14:paraId="154A59A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本项目施工期可能导致水土流失的主要原因是降雨和地表开挖。项目所在地降雨量大部分集中在雨季（6月至8月），夏季暴雨</w:t>
            </w:r>
            <w:r>
              <w:rPr>
                <w:rFonts w:hint="eastAsia" w:ascii="Times New Roman" w:hAnsi="Times New Roman"/>
                <w:color w:val="auto"/>
                <w:sz w:val="24"/>
                <w:szCs w:val="24"/>
              </w:rPr>
              <w:t>较为</w:t>
            </w:r>
            <w:r>
              <w:rPr>
                <w:rFonts w:ascii="Times New Roman" w:hAnsi="Times New Roman"/>
                <w:color w:val="auto"/>
                <w:sz w:val="24"/>
                <w:szCs w:val="24"/>
              </w:rPr>
              <w:t>集中，降雨大，降雨时间长。这些气象条件可能会造成项目建设施工期的水土流失。</w:t>
            </w:r>
          </w:p>
          <w:p w14:paraId="605DAD5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在施工过程中土壤暴露在雨、风和</w:t>
            </w:r>
            <w:r>
              <w:rPr>
                <w:rFonts w:hint="eastAsia" w:ascii="Times New Roman" w:hAnsi="Times New Roman"/>
                <w:color w:val="auto"/>
                <w:sz w:val="24"/>
                <w:szCs w:val="24"/>
              </w:rPr>
              <w:t>其他干扰</w:t>
            </w:r>
            <w:r>
              <w:rPr>
                <w:rFonts w:ascii="Times New Roman" w:hAnsi="Times New Roman"/>
                <w:color w:val="auto"/>
                <w:sz w:val="24"/>
                <w:szCs w:val="24"/>
              </w:rPr>
              <w:t>之中，另外，部分的土方填挖、陡坡、边坡的形成和整理，会使土壤暴露情况加剧。同时，施工中土壤结构会受到破坏，土壤抵抗侵蚀的能力将会大大减弱，在暴雨中由降雨所产生的土壤侵蚀，可能造成项目建设过程中的水土流失。项目建设期间架空线路塔基开挖等工程的施工可能在挖土方处会产生水土流失的现象，将对当地生态环境造成一定影响。</w:t>
            </w:r>
          </w:p>
          <w:p w14:paraId="04D098E3">
            <w:pPr>
              <w:pStyle w:val="75"/>
              <w:adjustRightInd w:val="0"/>
              <w:snapToGrid w:val="0"/>
              <w:spacing w:line="440" w:lineRule="exact"/>
              <w:ind w:firstLineChars="200"/>
              <w:rPr>
                <w:rFonts w:ascii="Times New Roman" w:hAnsi="Times New Roman" w:cs="Times New Roman"/>
                <w:color w:val="auto"/>
                <w:sz w:val="24"/>
                <w:szCs w:val="24"/>
              </w:rPr>
            </w:pPr>
            <w:r>
              <w:rPr>
                <w:rFonts w:ascii="Times New Roman" w:hAnsi="Times New Roman" w:cs="Times New Roman"/>
                <w:color w:val="auto"/>
                <w:sz w:val="24"/>
                <w:szCs w:val="24"/>
              </w:rPr>
              <w:t>根据《</w:t>
            </w:r>
            <w:r>
              <w:rPr>
                <w:rFonts w:hint="eastAsia" w:ascii="Times New Roman" w:hAnsi="Times New Roman" w:cs="Times New Roman"/>
                <w:color w:val="auto"/>
                <w:sz w:val="24"/>
                <w:szCs w:val="24"/>
              </w:rPr>
              <w:t>六合一至乐业变220kV送出线路工程</w:t>
            </w:r>
            <w:r>
              <w:rPr>
                <w:rFonts w:ascii="Times New Roman" w:hAnsi="Times New Roman" w:cs="Times New Roman"/>
                <w:color w:val="auto"/>
                <w:sz w:val="24"/>
                <w:szCs w:val="24"/>
              </w:rPr>
              <w:t>水土保持方案报告表》，本工程选址（线）建设方案，避开了泥石流易发区、崩塌滑坡危险区、易引起严重水土流失和生态恶化地区、国家水土保持观测及试验站点以及重点治理成果区，兼顾了水土保持要求。</w:t>
            </w:r>
          </w:p>
          <w:p w14:paraId="5185F69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工程施工过程中，应对挖方等临时堆土采用苫布遮盖、采取编织袋装土堆砌成护坡等方式减少水土流失。严格控制施工范围，施工</w:t>
            </w:r>
            <w:r>
              <w:rPr>
                <w:rFonts w:hint="eastAsia" w:ascii="Times New Roman" w:hAnsi="Times New Roman"/>
                <w:color w:val="auto"/>
                <w:sz w:val="24"/>
                <w:szCs w:val="24"/>
              </w:rPr>
              <w:t>期间</w:t>
            </w:r>
            <w:r>
              <w:rPr>
                <w:rFonts w:ascii="Times New Roman" w:hAnsi="Times New Roman"/>
                <w:color w:val="auto"/>
                <w:sz w:val="24"/>
                <w:szCs w:val="24"/>
              </w:rPr>
              <w:t>避免在该区范围内弃渣等。尽量缩短施工工期，设置醒目的</w:t>
            </w:r>
            <w:r>
              <w:rPr>
                <w:rFonts w:hint="eastAsia" w:ascii="Times New Roman" w:hAnsi="Times New Roman"/>
                <w:color w:val="auto"/>
                <w:sz w:val="24"/>
                <w:szCs w:val="24"/>
              </w:rPr>
              <w:t>标识牌</w:t>
            </w:r>
            <w:r>
              <w:rPr>
                <w:rFonts w:ascii="Times New Roman" w:hAnsi="Times New Roman"/>
                <w:color w:val="auto"/>
                <w:sz w:val="24"/>
                <w:szCs w:val="24"/>
              </w:rPr>
              <w:t>、边界线，以严控施工环境，保持与其他未扰动区的有效隔离。针对表层的耕植土采取剥离防护措施，利用表土恢复原地貌</w:t>
            </w:r>
            <w:r>
              <w:rPr>
                <w:rFonts w:hint="eastAsia" w:ascii="Times New Roman" w:hAnsi="Times New Roman"/>
                <w:color w:val="auto"/>
                <w:sz w:val="24"/>
                <w:szCs w:val="24"/>
              </w:rPr>
              <w:t>，有</w:t>
            </w:r>
            <w:r>
              <w:rPr>
                <w:rFonts w:ascii="Times New Roman" w:hAnsi="Times New Roman"/>
                <w:color w:val="auto"/>
                <w:sz w:val="24"/>
                <w:szCs w:val="24"/>
              </w:rPr>
              <w:t>利于植被的恢复生长，减少施工带来的不利影响。</w:t>
            </w:r>
          </w:p>
          <w:p w14:paraId="1B5296B7">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在执行水土保持方案提出的措施，施工结束后宜及时对临时占地进行迹地恢复，平整土地，恢复植被，施工期间应注意线路和施工场地占地面积优化，采取先进的施工工艺，将进一步减少对生态环境和自然植被的破坏，最大限度地降低工程建设对生态环境与水土流失的影响。</w:t>
            </w:r>
          </w:p>
          <w:p w14:paraId="4A6CAE5D">
            <w:pPr>
              <w:adjustRightInd w:val="0"/>
              <w:snapToGrid w:val="0"/>
              <w:spacing w:line="440" w:lineRule="exact"/>
              <w:ind w:firstLine="480" w:firstLineChars="200"/>
              <w:rPr>
                <w:color w:val="auto"/>
              </w:rPr>
            </w:pPr>
            <w:r>
              <w:rPr>
                <w:rFonts w:ascii="Times New Roman" w:hAnsi="Times New Roman"/>
                <w:color w:val="auto"/>
                <w:sz w:val="24"/>
                <w:szCs w:val="24"/>
              </w:rPr>
              <w:t>综上所述，工程施工期对环境的影响主要表现在建设中施工扬尘、机械噪声，泥浆废水等对周边环境的影响及进出线路的架设对生态环境产生一定影响，但通过采取适当的环境保护措施后，项目施工期对环境影响较小。</w:t>
            </w:r>
          </w:p>
        </w:tc>
      </w:tr>
      <w:tr w14:paraId="7EB8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dxa"/>
            <w:shd w:val="clear" w:color="auto" w:fill="auto"/>
            <w:vAlign w:val="center"/>
          </w:tcPr>
          <w:p w14:paraId="6EC2094A">
            <w:pPr>
              <w:jc w:val="center"/>
              <w:rPr>
                <w:rFonts w:ascii="Times New Roman" w:hAnsi="Times New Roman"/>
                <w:b/>
                <w:color w:val="auto"/>
                <w:sz w:val="24"/>
                <w:szCs w:val="24"/>
              </w:rPr>
            </w:pPr>
          </w:p>
          <w:p w14:paraId="24EB55CB">
            <w:pPr>
              <w:jc w:val="center"/>
              <w:rPr>
                <w:rFonts w:ascii="Times New Roman" w:hAnsi="Times New Roman"/>
                <w:b/>
                <w:color w:val="auto"/>
                <w:sz w:val="24"/>
                <w:szCs w:val="24"/>
              </w:rPr>
            </w:pPr>
          </w:p>
          <w:p w14:paraId="73471499">
            <w:pPr>
              <w:jc w:val="center"/>
              <w:rPr>
                <w:rFonts w:ascii="Times New Roman" w:hAnsi="Times New Roman"/>
                <w:b/>
                <w:color w:val="auto"/>
                <w:sz w:val="24"/>
                <w:szCs w:val="24"/>
              </w:rPr>
            </w:pPr>
          </w:p>
          <w:p w14:paraId="08EE3935">
            <w:pPr>
              <w:jc w:val="center"/>
              <w:rPr>
                <w:rFonts w:ascii="Times New Roman" w:hAnsi="Times New Roman"/>
                <w:b/>
                <w:color w:val="auto"/>
                <w:sz w:val="24"/>
                <w:szCs w:val="24"/>
              </w:rPr>
            </w:pPr>
          </w:p>
          <w:p w14:paraId="3615510A">
            <w:pPr>
              <w:pStyle w:val="26"/>
              <w:rPr>
                <w:rFonts w:ascii="Times New Roman" w:hAnsi="Times New Roman"/>
                <w:b/>
                <w:color w:val="auto"/>
                <w:sz w:val="24"/>
                <w:szCs w:val="24"/>
              </w:rPr>
            </w:pPr>
          </w:p>
          <w:p w14:paraId="6AD2BB9B">
            <w:pPr>
              <w:pStyle w:val="25"/>
              <w:ind w:firstLine="210"/>
              <w:rPr>
                <w:color w:val="auto"/>
              </w:rPr>
            </w:pPr>
          </w:p>
          <w:p w14:paraId="31741462">
            <w:pPr>
              <w:jc w:val="center"/>
              <w:rPr>
                <w:rFonts w:ascii="Times New Roman" w:hAnsi="Times New Roman"/>
                <w:b/>
                <w:color w:val="auto"/>
                <w:sz w:val="24"/>
                <w:szCs w:val="24"/>
              </w:rPr>
            </w:pPr>
            <w:r>
              <w:rPr>
                <w:rFonts w:ascii="Times New Roman" w:hAnsi="Times New Roman"/>
                <w:b/>
                <w:color w:val="auto"/>
                <w:sz w:val="24"/>
                <w:szCs w:val="24"/>
              </w:rPr>
              <w:t>营期生态环境影响分析</w:t>
            </w:r>
          </w:p>
          <w:p w14:paraId="4D3EBCCE">
            <w:pPr>
              <w:jc w:val="center"/>
              <w:rPr>
                <w:rFonts w:ascii="Times New Roman" w:hAnsi="Times New Roman"/>
                <w:b/>
                <w:color w:val="auto"/>
                <w:sz w:val="24"/>
                <w:szCs w:val="24"/>
              </w:rPr>
            </w:pPr>
          </w:p>
          <w:p w14:paraId="7ADE166E">
            <w:pPr>
              <w:jc w:val="center"/>
              <w:rPr>
                <w:rFonts w:ascii="Times New Roman" w:hAnsi="Times New Roman"/>
                <w:b/>
                <w:color w:val="auto"/>
                <w:sz w:val="24"/>
                <w:szCs w:val="24"/>
              </w:rPr>
            </w:pPr>
          </w:p>
          <w:p w14:paraId="350F73DF">
            <w:pPr>
              <w:jc w:val="center"/>
              <w:rPr>
                <w:rFonts w:ascii="Times New Roman" w:hAnsi="Times New Roman"/>
                <w:b/>
                <w:color w:val="auto"/>
                <w:sz w:val="24"/>
                <w:szCs w:val="24"/>
              </w:rPr>
            </w:pPr>
          </w:p>
          <w:p w14:paraId="2CDCF9DF">
            <w:pPr>
              <w:jc w:val="center"/>
              <w:rPr>
                <w:rFonts w:ascii="Times New Roman" w:hAnsi="Times New Roman"/>
                <w:b/>
                <w:color w:val="auto"/>
                <w:sz w:val="24"/>
                <w:szCs w:val="24"/>
              </w:rPr>
            </w:pPr>
          </w:p>
          <w:p w14:paraId="346A9AE8">
            <w:pPr>
              <w:jc w:val="center"/>
              <w:rPr>
                <w:rFonts w:ascii="Times New Roman" w:hAnsi="Times New Roman"/>
                <w:b/>
                <w:color w:val="auto"/>
                <w:sz w:val="24"/>
                <w:szCs w:val="24"/>
              </w:rPr>
            </w:pPr>
          </w:p>
          <w:p w14:paraId="78C58747">
            <w:pPr>
              <w:jc w:val="center"/>
              <w:rPr>
                <w:rFonts w:ascii="Times New Roman" w:hAnsi="Times New Roman"/>
                <w:b/>
                <w:color w:val="auto"/>
                <w:sz w:val="24"/>
                <w:szCs w:val="24"/>
              </w:rPr>
            </w:pPr>
          </w:p>
          <w:p w14:paraId="4CE39632">
            <w:pPr>
              <w:jc w:val="center"/>
              <w:rPr>
                <w:rFonts w:ascii="Times New Roman" w:hAnsi="Times New Roman"/>
                <w:b/>
                <w:color w:val="auto"/>
                <w:sz w:val="24"/>
                <w:szCs w:val="24"/>
              </w:rPr>
            </w:pPr>
          </w:p>
          <w:p w14:paraId="5205C91D">
            <w:pPr>
              <w:jc w:val="center"/>
              <w:rPr>
                <w:rFonts w:ascii="Times New Roman" w:hAnsi="Times New Roman"/>
                <w:b/>
                <w:color w:val="auto"/>
                <w:sz w:val="24"/>
                <w:szCs w:val="24"/>
              </w:rPr>
            </w:pPr>
          </w:p>
          <w:p w14:paraId="43014C48">
            <w:pPr>
              <w:pStyle w:val="15"/>
              <w:rPr>
                <w:rFonts w:ascii="Times New Roman" w:hAnsi="Times New Roman"/>
                <w:b/>
                <w:color w:val="auto"/>
                <w:sz w:val="24"/>
                <w:szCs w:val="24"/>
              </w:rPr>
            </w:pPr>
          </w:p>
          <w:p w14:paraId="23D82B78">
            <w:pPr>
              <w:rPr>
                <w:rFonts w:ascii="Times New Roman" w:hAnsi="Times New Roman"/>
                <w:b/>
                <w:color w:val="auto"/>
                <w:sz w:val="24"/>
                <w:szCs w:val="24"/>
              </w:rPr>
            </w:pPr>
          </w:p>
          <w:p w14:paraId="37084EBF">
            <w:pPr>
              <w:rPr>
                <w:rFonts w:ascii="Times New Roman" w:hAnsi="Times New Roman"/>
                <w:b/>
                <w:color w:val="auto"/>
                <w:sz w:val="24"/>
                <w:szCs w:val="24"/>
              </w:rPr>
            </w:pPr>
          </w:p>
          <w:p w14:paraId="54C1B90C">
            <w:pPr>
              <w:pStyle w:val="15"/>
              <w:rPr>
                <w:rFonts w:ascii="Times New Roman" w:hAnsi="Times New Roman"/>
                <w:b/>
                <w:color w:val="auto"/>
                <w:sz w:val="24"/>
                <w:szCs w:val="24"/>
              </w:rPr>
            </w:pPr>
          </w:p>
          <w:p w14:paraId="26E4DC06">
            <w:pPr>
              <w:rPr>
                <w:rFonts w:ascii="Times New Roman" w:hAnsi="Times New Roman"/>
                <w:b/>
                <w:color w:val="auto"/>
                <w:sz w:val="24"/>
                <w:szCs w:val="24"/>
              </w:rPr>
            </w:pPr>
          </w:p>
          <w:p w14:paraId="34D9A3C7">
            <w:pPr>
              <w:pStyle w:val="15"/>
              <w:rPr>
                <w:rFonts w:ascii="Times New Roman" w:hAnsi="Times New Roman"/>
                <w:b/>
                <w:color w:val="auto"/>
                <w:sz w:val="24"/>
                <w:szCs w:val="24"/>
              </w:rPr>
            </w:pPr>
          </w:p>
          <w:p w14:paraId="1C6CDBB7">
            <w:pPr>
              <w:rPr>
                <w:rFonts w:ascii="Times New Roman" w:hAnsi="Times New Roman"/>
                <w:b/>
                <w:color w:val="auto"/>
                <w:sz w:val="24"/>
                <w:szCs w:val="24"/>
              </w:rPr>
            </w:pPr>
          </w:p>
          <w:p w14:paraId="1735CDD4">
            <w:pPr>
              <w:pStyle w:val="15"/>
              <w:rPr>
                <w:rFonts w:ascii="Times New Roman" w:hAnsi="Times New Roman"/>
                <w:b/>
                <w:color w:val="auto"/>
                <w:sz w:val="24"/>
                <w:szCs w:val="24"/>
              </w:rPr>
            </w:pPr>
          </w:p>
          <w:p w14:paraId="06260966">
            <w:pPr>
              <w:rPr>
                <w:rFonts w:ascii="Times New Roman" w:hAnsi="Times New Roman"/>
                <w:b/>
                <w:color w:val="auto"/>
                <w:sz w:val="24"/>
                <w:szCs w:val="24"/>
              </w:rPr>
            </w:pPr>
          </w:p>
          <w:p w14:paraId="7C433730">
            <w:pPr>
              <w:pStyle w:val="15"/>
              <w:rPr>
                <w:rFonts w:ascii="Times New Roman" w:hAnsi="Times New Roman"/>
                <w:b/>
                <w:color w:val="auto"/>
                <w:sz w:val="24"/>
                <w:szCs w:val="24"/>
              </w:rPr>
            </w:pPr>
          </w:p>
          <w:p w14:paraId="39A921ED">
            <w:pPr>
              <w:rPr>
                <w:color w:val="auto"/>
              </w:rPr>
            </w:pPr>
          </w:p>
          <w:p w14:paraId="288753BF">
            <w:pPr>
              <w:jc w:val="center"/>
              <w:rPr>
                <w:rFonts w:ascii="Times New Roman" w:hAnsi="Times New Roman"/>
                <w:b/>
                <w:color w:val="auto"/>
                <w:sz w:val="24"/>
                <w:szCs w:val="24"/>
              </w:rPr>
            </w:pPr>
          </w:p>
          <w:p w14:paraId="6AA48746">
            <w:pPr>
              <w:jc w:val="center"/>
              <w:rPr>
                <w:rFonts w:ascii="Times New Roman" w:hAnsi="Times New Roman"/>
                <w:b/>
                <w:color w:val="auto"/>
                <w:sz w:val="24"/>
                <w:szCs w:val="24"/>
              </w:rPr>
            </w:pPr>
          </w:p>
          <w:p w14:paraId="44E66DCF">
            <w:pPr>
              <w:jc w:val="center"/>
              <w:rPr>
                <w:rFonts w:ascii="Times New Roman" w:hAnsi="Times New Roman"/>
                <w:b/>
                <w:color w:val="auto"/>
                <w:sz w:val="24"/>
                <w:szCs w:val="24"/>
              </w:rPr>
            </w:pPr>
          </w:p>
          <w:p w14:paraId="570F6ED2">
            <w:pPr>
              <w:jc w:val="center"/>
              <w:rPr>
                <w:rFonts w:ascii="Times New Roman" w:hAnsi="Times New Roman"/>
                <w:b/>
                <w:color w:val="auto"/>
                <w:sz w:val="24"/>
                <w:szCs w:val="24"/>
              </w:rPr>
            </w:pPr>
          </w:p>
          <w:p w14:paraId="061B5937">
            <w:pPr>
              <w:jc w:val="center"/>
              <w:rPr>
                <w:rFonts w:ascii="Times New Roman" w:hAnsi="Times New Roman"/>
                <w:b/>
                <w:color w:val="auto"/>
                <w:sz w:val="24"/>
                <w:szCs w:val="24"/>
              </w:rPr>
            </w:pPr>
          </w:p>
          <w:p w14:paraId="623A4E2C">
            <w:pPr>
              <w:jc w:val="center"/>
              <w:rPr>
                <w:rFonts w:ascii="Times New Roman" w:hAnsi="Times New Roman"/>
                <w:b/>
                <w:color w:val="auto"/>
                <w:sz w:val="24"/>
                <w:szCs w:val="24"/>
              </w:rPr>
            </w:pPr>
          </w:p>
          <w:p w14:paraId="71D5DADA">
            <w:pPr>
              <w:jc w:val="center"/>
              <w:rPr>
                <w:rFonts w:ascii="Times New Roman" w:hAnsi="Times New Roman"/>
                <w:b/>
                <w:color w:val="auto"/>
                <w:sz w:val="24"/>
                <w:szCs w:val="24"/>
              </w:rPr>
            </w:pPr>
          </w:p>
          <w:p w14:paraId="3439DA7A">
            <w:pPr>
              <w:jc w:val="center"/>
              <w:rPr>
                <w:rFonts w:ascii="Times New Roman" w:hAnsi="Times New Roman"/>
                <w:b/>
                <w:color w:val="auto"/>
                <w:sz w:val="24"/>
                <w:szCs w:val="24"/>
              </w:rPr>
            </w:pPr>
          </w:p>
          <w:p w14:paraId="2A7F48C6">
            <w:pPr>
              <w:jc w:val="center"/>
              <w:rPr>
                <w:rFonts w:ascii="Times New Roman" w:hAnsi="Times New Roman"/>
                <w:b/>
                <w:color w:val="auto"/>
                <w:sz w:val="24"/>
                <w:szCs w:val="24"/>
              </w:rPr>
            </w:pPr>
          </w:p>
          <w:p w14:paraId="70178E39">
            <w:pPr>
              <w:jc w:val="center"/>
              <w:rPr>
                <w:rFonts w:ascii="Times New Roman" w:hAnsi="Times New Roman"/>
                <w:b/>
                <w:color w:val="auto"/>
                <w:sz w:val="24"/>
                <w:szCs w:val="24"/>
              </w:rPr>
            </w:pPr>
            <w:r>
              <w:rPr>
                <w:rFonts w:ascii="Times New Roman" w:hAnsi="Times New Roman"/>
                <w:b/>
                <w:color w:val="auto"/>
                <w:sz w:val="24"/>
                <w:szCs w:val="24"/>
              </w:rPr>
              <w:t>运营期生态环境影响分析</w:t>
            </w:r>
          </w:p>
          <w:p w14:paraId="52B806AF">
            <w:pPr>
              <w:jc w:val="center"/>
              <w:rPr>
                <w:rFonts w:ascii="Times New Roman" w:hAnsi="Times New Roman"/>
                <w:b/>
                <w:color w:val="auto"/>
                <w:sz w:val="24"/>
                <w:szCs w:val="24"/>
              </w:rPr>
            </w:pPr>
          </w:p>
          <w:p w14:paraId="78E549A7">
            <w:pPr>
              <w:jc w:val="center"/>
              <w:rPr>
                <w:rFonts w:ascii="Times New Roman" w:hAnsi="Times New Roman"/>
                <w:b/>
                <w:color w:val="auto"/>
                <w:sz w:val="24"/>
                <w:szCs w:val="24"/>
              </w:rPr>
            </w:pPr>
          </w:p>
          <w:p w14:paraId="0F4782F5">
            <w:pPr>
              <w:jc w:val="center"/>
              <w:rPr>
                <w:rFonts w:ascii="Times New Roman" w:hAnsi="Times New Roman"/>
                <w:b/>
                <w:color w:val="auto"/>
                <w:sz w:val="24"/>
                <w:szCs w:val="24"/>
              </w:rPr>
            </w:pPr>
          </w:p>
          <w:p w14:paraId="4577AB13">
            <w:pPr>
              <w:jc w:val="center"/>
              <w:rPr>
                <w:rFonts w:ascii="Times New Roman" w:hAnsi="Times New Roman"/>
                <w:b/>
                <w:color w:val="auto"/>
                <w:sz w:val="24"/>
                <w:szCs w:val="24"/>
              </w:rPr>
            </w:pPr>
          </w:p>
          <w:p w14:paraId="1AEAC8FA">
            <w:pPr>
              <w:jc w:val="center"/>
              <w:rPr>
                <w:rFonts w:ascii="Times New Roman" w:hAnsi="Times New Roman"/>
                <w:b/>
                <w:color w:val="auto"/>
                <w:sz w:val="24"/>
                <w:szCs w:val="24"/>
              </w:rPr>
            </w:pPr>
          </w:p>
          <w:p w14:paraId="3C2CE6D4">
            <w:pPr>
              <w:jc w:val="center"/>
              <w:rPr>
                <w:rFonts w:ascii="Times New Roman" w:hAnsi="Times New Roman"/>
                <w:b/>
                <w:color w:val="auto"/>
                <w:sz w:val="24"/>
                <w:szCs w:val="24"/>
              </w:rPr>
            </w:pPr>
          </w:p>
          <w:p w14:paraId="21A01BD9">
            <w:pPr>
              <w:jc w:val="center"/>
              <w:rPr>
                <w:rFonts w:ascii="Times New Roman" w:hAnsi="Times New Roman"/>
                <w:b/>
                <w:color w:val="auto"/>
                <w:sz w:val="24"/>
                <w:szCs w:val="24"/>
              </w:rPr>
            </w:pPr>
          </w:p>
          <w:p w14:paraId="16591C97">
            <w:pPr>
              <w:jc w:val="center"/>
              <w:rPr>
                <w:rFonts w:ascii="Times New Roman" w:hAnsi="Times New Roman"/>
                <w:b/>
                <w:color w:val="auto"/>
                <w:sz w:val="24"/>
                <w:szCs w:val="24"/>
              </w:rPr>
            </w:pPr>
          </w:p>
          <w:p w14:paraId="73AA8EA4">
            <w:pPr>
              <w:jc w:val="center"/>
              <w:rPr>
                <w:rFonts w:ascii="Times New Roman" w:hAnsi="Times New Roman"/>
                <w:b/>
                <w:color w:val="auto"/>
                <w:sz w:val="24"/>
                <w:szCs w:val="24"/>
              </w:rPr>
            </w:pPr>
          </w:p>
          <w:p w14:paraId="712F15D9">
            <w:pPr>
              <w:jc w:val="center"/>
              <w:rPr>
                <w:rFonts w:ascii="Times New Roman" w:hAnsi="Times New Roman"/>
                <w:b/>
                <w:color w:val="auto"/>
                <w:sz w:val="24"/>
                <w:szCs w:val="24"/>
              </w:rPr>
            </w:pPr>
          </w:p>
          <w:p w14:paraId="366611CE">
            <w:pPr>
              <w:jc w:val="center"/>
              <w:rPr>
                <w:rFonts w:ascii="Times New Roman" w:hAnsi="Times New Roman"/>
                <w:b/>
                <w:color w:val="auto"/>
                <w:sz w:val="24"/>
                <w:szCs w:val="24"/>
              </w:rPr>
            </w:pPr>
          </w:p>
          <w:p w14:paraId="04C5DBF0">
            <w:pPr>
              <w:jc w:val="center"/>
              <w:rPr>
                <w:rFonts w:ascii="Times New Roman" w:hAnsi="Times New Roman"/>
                <w:b/>
                <w:color w:val="auto"/>
                <w:sz w:val="24"/>
                <w:szCs w:val="24"/>
              </w:rPr>
            </w:pPr>
          </w:p>
          <w:p w14:paraId="35934055">
            <w:pPr>
              <w:jc w:val="center"/>
              <w:rPr>
                <w:rFonts w:ascii="Times New Roman" w:hAnsi="Times New Roman"/>
                <w:b/>
                <w:color w:val="auto"/>
                <w:sz w:val="24"/>
                <w:szCs w:val="24"/>
              </w:rPr>
            </w:pPr>
          </w:p>
          <w:p w14:paraId="6D17D4EB">
            <w:pPr>
              <w:jc w:val="center"/>
              <w:rPr>
                <w:rFonts w:ascii="Times New Roman" w:hAnsi="Times New Roman"/>
                <w:b/>
                <w:color w:val="auto"/>
                <w:sz w:val="24"/>
                <w:szCs w:val="24"/>
              </w:rPr>
            </w:pPr>
          </w:p>
          <w:p w14:paraId="4650259F">
            <w:pPr>
              <w:jc w:val="center"/>
              <w:rPr>
                <w:rFonts w:ascii="Times New Roman" w:hAnsi="Times New Roman"/>
                <w:b/>
                <w:color w:val="auto"/>
                <w:sz w:val="24"/>
                <w:szCs w:val="24"/>
              </w:rPr>
            </w:pPr>
          </w:p>
          <w:p w14:paraId="0BC00E1F">
            <w:pPr>
              <w:jc w:val="center"/>
              <w:rPr>
                <w:rFonts w:ascii="Times New Roman" w:hAnsi="Times New Roman"/>
                <w:b/>
                <w:color w:val="auto"/>
                <w:sz w:val="24"/>
                <w:szCs w:val="24"/>
              </w:rPr>
            </w:pPr>
          </w:p>
          <w:p w14:paraId="61EA6811">
            <w:pPr>
              <w:jc w:val="center"/>
              <w:rPr>
                <w:rFonts w:ascii="Times New Roman" w:hAnsi="Times New Roman"/>
                <w:b/>
                <w:color w:val="auto"/>
                <w:sz w:val="24"/>
                <w:szCs w:val="24"/>
              </w:rPr>
            </w:pPr>
          </w:p>
          <w:p w14:paraId="78A745D7">
            <w:pPr>
              <w:jc w:val="center"/>
              <w:rPr>
                <w:rFonts w:ascii="Times New Roman" w:hAnsi="Times New Roman"/>
                <w:b/>
                <w:color w:val="auto"/>
                <w:sz w:val="24"/>
                <w:szCs w:val="24"/>
              </w:rPr>
            </w:pPr>
          </w:p>
          <w:p w14:paraId="442F3800">
            <w:pPr>
              <w:jc w:val="center"/>
              <w:rPr>
                <w:rFonts w:ascii="Times New Roman" w:hAnsi="Times New Roman"/>
                <w:b/>
                <w:color w:val="auto"/>
                <w:sz w:val="24"/>
                <w:szCs w:val="24"/>
              </w:rPr>
            </w:pPr>
          </w:p>
          <w:p w14:paraId="62842B3E">
            <w:pPr>
              <w:jc w:val="center"/>
              <w:rPr>
                <w:rFonts w:ascii="Times New Roman" w:hAnsi="Times New Roman"/>
                <w:b/>
                <w:color w:val="auto"/>
                <w:sz w:val="24"/>
                <w:szCs w:val="24"/>
              </w:rPr>
            </w:pPr>
          </w:p>
          <w:p w14:paraId="037BE229">
            <w:pPr>
              <w:jc w:val="center"/>
              <w:rPr>
                <w:rFonts w:ascii="Times New Roman" w:hAnsi="Times New Roman"/>
                <w:b/>
                <w:color w:val="auto"/>
                <w:sz w:val="24"/>
                <w:szCs w:val="24"/>
              </w:rPr>
            </w:pPr>
          </w:p>
          <w:p w14:paraId="42A0034E">
            <w:pPr>
              <w:jc w:val="center"/>
              <w:rPr>
                <w:rFonts w:ascii="Times New Roman" w:hAnsi="Times New Roman"/>
                <w:b/>
                <w:color w:val="auto"/>
                <w:sz w:val="24"/>
                <w:szCs w:val="24"/>
              </w:rPr>
            </w:pPr>
          </w:p>
          <w:p w14:paraId="0FAB9AF6">
            <w:pPr>
              <w:jc w:val="center"/>
              <w:rPr>
                <w:rFonts w:ascii="Times New Roman" w:hAnsi="Times New Roman"/>
                <w:b/>
                <w:color w:val="auto"/>
                <w:sz w:val="24"/>
                <w:szCs w:val="24"/>
              </w:rPr>
            </w:pPr>
          </w:p>
          <w:p w14:paraId="456477C1">
            <w:pPr>
              <w:jc w:val="center"/>
              <w:rPr>
                <w:rFonts w:ascii="Times New Roman" w:hAnsi="Times New Roman"/>
                <w:b/>
                <w:color w:val="auto"/>
                <w:sz w:val="24"/>
                <w:szCs w:val="24"/>
              </w:rPr>
            </w:pPr>
          </w:p>
          <w:p w14:paraId="3A52FD48">
            <w:pPr>
              <w:jc w:val="center"/>
              <w:rPr>
                <w:rFonts w:ascii="Times New Roman" w:hAnsi="Times New Roman"/>
                <w:b/>
                <w:color w:val="auto"/>
                <w:sz w:val="24"/>
                <w:szCs w:val="24"/>
              </w:rPr>
            </w:pPr>
          </w:p>
          <w:p w14:paraId="1CCB88A7">
            <w:pPr>
              <w:jc w:val="center"/>
              <w:rPr>
                <w:rFonts w:ascii="Times New Roman" w:hAnsi="Times New Roman"/>
                <w:b/>
                <w:color w:val="auto"/>
                <w:sz w:val="24"/>
                <w:szCs w:val="24"/>
              </w:rPr>
            </w:pPr>
          </w:p>
          <w:p w14:paraId="47462BCF">
            <w:pPr>
              <w:jc w:val="center"/>
              <w:rPr>
                <w:rFonts w:ascii="Times New Roman" w:hAnsi="Times New Roman"/>
                <w:b/>
                <w:color w:val="auto"/>
                <w:sz w:val="24"/>
                <w:szCs w:val="24"/>
              </w:rPr>
            </w:pPr>
          </w:p>
          <w:p w14:paraId="6A0B866E">
            <w:pPr>
              <w:jc w:val="center"/>
              <w:rPr>
                <w:rFonts w:ascii="Times New Roman" w:hAnsi="Times New Roman"/>
                <w:b/>
                <w:color w:val="auto"/>
                <w:sz w:val="24"/>
                <w:szCs w:val="24"/>
              </w:rPr>
            </w:pPr>
          </w:p>
          <w:p w14:paraId="573108D2">
            <w:pPr>
              <w:jc w:val="center"/>
              <w:rPr>
                <w:rFonts w:ascii="Times New Roman" w:hAnsi="Times New Roman"/>
                <w:b/>
                <w:color w:val="auto"/>
                <w:sz w:val="24"/>
                <w:szCs w:val="24"/>
              </w:rPr>
            </w:pPr>
          </w:p>
          <w:p w14:paraId="0F2C387C">
            <w:pPr>
              <w:jc w:val="center"/>
              <w:rPr>
                <w:rFonts w:ascii="Times New Roman" w:hAnsi="Times New Roman"/>
                <w:b/>
                <w:color w:val="auto"/>
                <w:sz w:val="24"/>
                <w:szCs w:val="24"/>
              </w:rPr>
            </w:pPr>
          </w:p>
          <w:p w14:paraId="2E7F9882">
            <w:pPr>
              <w:jc w:val="center"/>
              <w:rPr>
                <w:rFonts w:ascii="Times New Roman" w:hAnsi="Times New Roman"/>
                <w:b/>
                <w:color w:val="auto"/>
                <w:sz w:val="24"/>
                <w:szCs w:val="24"/>
              </w:rPr>
            </w:pPr>
          </w:p>
          <w:p w14:paraId="700A7430">
            <w:pPr>
              <w:jc w:val="center"/>
              <w:rPr>
                <w:rFonts w:ascii="Times New Roman" w:hAnsi="Times New Roman"/>
                <w:b/>
                <w:color w:val="auto"/>
                <w:sz w:val="24"/>
                <w:szCs w:val="24"/>
              </w:rPr>
            </w:pPr>
          </w:p>
          <w:p w14:paraId="5C1841C8">
            <w:pPr>
              <w:jc w:val="center"/>
              <w:rPr>
                <w:rFonts w:ascii="Times New Roman" w:hAnsi="Times New Roman"/>
                <w:b/>
                <w:color w:val="auto"/>
                <w:sz w:val="24"/>
                <w:szCs w:val="24"/>
              </w:rPr>
            </w:pPr>
            <w:r>
              <w:rPr>
                <w:rFonts w:ascii="Times New Roman" w:hAnsi="Times New Roman"/>
                <w:b/>
                <w:color w:val="auto"/>
                <w:sz w:val="24"/>
                <w:szCs w:val="24"/>
              </w:rPr>
              <w:t>运营期生态环境影响分析</w:t>
            </w:r>
          </w:p>
          <w:p w14:paraId="29A088AC">
            <w:pPr>
              <w:jc w:val="center"/>
              <w:rPr>
                <w:rFonts w:ascii="Times New Roman" w:hAnsi="Times New Roman"/>
                <w:b/>
                <w:color w:val="auto"/>
                <w:sz w:val="24"/>
                <w:szCs w:val="24"/>
              </w:rPr>
            </w:pPr>
          </w:p>
          <w:p w14:paraId="0EA8015C">
            <w:pPr>
              <w:jc w:val="center"/>
              <w:rPr>
                <w:rFonts w:ascii="Times New Roman" w:hAnsi="Times New Roman"/>
                <w:b/>
                <w:color w:val="auto"/>
                <w:sz w:val="24"/>
                <w:szCs w:val="24"/>
              </w:rPr>
            </w:pPr>
          </w:p>
          <w:p w14:paraId="5E48D5DA">
            <w:pPr>
              <w:jc w:val="center"/>
              <w:rPr>
                <w:rFonts w:ascii="Times New Roman" w:hAnsi="Times New Roman"/>
                <w:b/>
                <w:color w:val="auto"/>
                <w:sz w:val="24"/>
                <w:szCs w:val="24"/>
              </w:rPr>
            </w:pPr>
          </w:p>
          <w:p w14:paraId="2B40E536">
            <w:pPr>
              <w:jc w:val="center"/>
              <w:rPr>
                <w:rFonts w:ascii="Times New Roman" w:hAnsi="Times New Roman"/>
                <w:b/>
                <w:color w:val="auto"/>
                <w:sz w:val="24"/>
                <w:szCs w:val="24"/>
              </w:rPr>
            </w:pPr>
          </w:p>
          <w:p w14:paraId="73A61A5C">
            <w:pPr>
              <w:jc w:val="center"/>
              <w:rPr>
                <w:rFonts w:ascii="Times New Roman" w:hAnsi="Times New Roman"/>
                <w:b/>
                <w:color w:val="auto"/>
                <w:sz w:val="24"/>
                <w:szCs w:val="24"/>
              </w:rPr>
            </w:pPr>
          </w:p>
          <w:p w14:paraId="464E4225">
            <w:pPr>
              <w:jc w:val="center"/>
              <w:rPr>
                <w:rFonts w:ascii="Times New Roman" w:hAnsi="Times New Roman"/>
                <w:b/>
                <w:color w:val="auto"/>
                <w:sz w:val="24"/>
                <w:szCs w:val="24"/>
              </w:rPr>
            </w:pPr>
          </w:p>
          <w:p w14:paraId="434C4FB2">
            <w:pPr>
              <w:jc w:val="center"/>
              <w:rPr>
                <w:rFonts w:ascii="Times New Roman" w:hAnsi="Times New Roman"/>
                <w:b/>
                <w:color w:val="auto"/>
                <w:sz w:val="24"/>
                <w:szCs w:val="24"/>
              </w:rPr>
            </w:pPr>
          </w:p>
          <w:p w14:paraId="619A39BA">
            <w:pPr>
              <w:jc w:val="center"/>
              <w:rPr>
                <w:rFonts w:ascii="Times New Roman" w:hAnsi="Times New Roman"/>
                <w:b/>
                <w:color w:val="auto"/>
                <w:sz w:val="24"/>
                <w:szCs w:val="24"/>
              </w:rPr>
            </w:pPr>
          </w:p>
          <w:p w14:paraId="74A57B25">
            <w:pPr>
              <w:jc w:val="center"/>
              <w:rPr>
                <w:rFonts w:ascii="Times New Roman" w:hAnsi="Times New Roman"/>
                <w:b/>
                <w:color w:val="auto"/>
                <w:sz w:val="24"/>
                <w:szCs w:val="24"/>
              </w:rPr>
            </w:pPr>
          </w:p>
          <w:p w14:paraId="0B722DD6">
            <w:pPr>
              <w:jc w:val="center"/>
              <w:rPr>
                <w:rFonts w:ascii="Times New Roman" w:hAnsi="Times New Roman"/>
                <w:b/>
                <w:color w:val="auto"/>
                <w:sz w:val="24"/>
                <w:szCs w:val="24"/>
              </w:rPr>
            </w:pPr>
          </w:p>
          <w:p w14:paraId="365513BB">
            <w:pPr>
              <w:jc w:val="center"/>
              <w:rPr>
                <w:rFonts w:ascii="Times New Roman" w:hAnsi="Times New Roman"/>
                <w:b/>
                <w:color w:val="auto"/>
                <w:sz w:val="24"/>
                <w:szCs w:val="24"/>
              </w:rPr>
            </w:pPr>
          </w:p>
          <w:p w14:paraId="78E2AE1E">
            <w:pPr>
              <w:jc w:val="center"/>
              <w:rPr>
                <w:rFonts w:ascii="Times New Roman" w:hAnsi="Times New Roman"/>
                <w:b/>
                <w:color w:val="auto"/>
                <w:sz w:val="24"/>
                <w:szCs w:val="24"/>
              </w:rPr>
            </w:pPr>
          </w:p>
          <w:p w14:paraId="2B3EB627">
            <w:pPr>
              <w:jc w:val="center"/>
              <w:rPr>
                <w:rFonts w:ascii="Times New Roman" w:hAnsi="Times New Roman"/>
                <w:b/>
                <w:color w:val="auto"/>
                <w:sz w:val="24"/>
                <w:szCs w:val="24"/>
              </w:rPr>
            </w:pPr>
          </w:p>
          <w:p w14:paraId="1FDEB662">
            <w:pPr>
              <w:jc w:val="center"/>
              <w:rPr>
                <w:rFonts w:ascii="Times New Roman" w:hAnsi="Times New Roman"/>
                <w:b/>
                <w:color w:val="auto"/>
                <w:sz w:val="24"/>
                <w:szCs w:val="24"/>
              </w:rPr>
            </w:pPr>
          </w:p>
          <w:p w14:paraId="3E079AA1">
            <w:pPr>
              <w:jc w:val="center"/>
              <w:rPr>
                <w:rFonts w:ascii="Times New Roman" w:hAnsi="Times New Roman"/>
                <w:b/>
                <w:color w:val="auto"/>
                <w:sz w:val="24"/>
                <w:szCs w:val="24"/>
              </w:rPr>
            </w:pPr>
          </w:p>
          <w:p w14:paraId="44C3E1D6">
            <w:pPr>
              <w:jc w:val="center"/>
              <w:rPr>
                <w:rFonts w:ascii="Times New Roman" w:hAnsi="Times New Roman"/>
                <w:b/>
                <w:color w:val="auto"/>
                <w:sz w:val="24"/>
                <w:szCs w:val="24"/>
              </w:rPr>
            </w:pPr>
          </w:p>
          <w:p w14:paraId="29BBB64B">
            <w:pPr>
              <w:jc w:val="center"/>
              <w:rPr>
                <w:rFonts w:ascii="Times New Roman" w:hAnsi="Times New Roman"/>
                <w:b/>
                <w:color w:val="auto"/>
                <w:sz w:val="24"/>
                <w:szCs w:val="24"/>
              </w:rPr>
            </w:pPr>
          </w:p>
          <w:p w14:paraId="214D3623">
            <w:pPr>
              <w:jc w:val="center"/>
              <w:rPr>
                <w:rFonts w:ascii="Times New Roman" w:hAnsi="Times New Roman"/>
                <w:b/>
                <w:color w:val="auto"/>
                <w:sz w:val="24"/>
                <w:szCs w:val="24"/>
              </w:rPr>
            </w:pPr>
          </w:p>
          <w:p w14:paraId="2A229CDB">
            <w:pPr>
              <w:jc w:val="center"/>
              <w:rPr>
                <w:rFonts w:ascii="Times New Roman" w:hAnsi="Times New Roman"/>
                <w:b/>
                <w:color w:val="auto"/>
                <w:sz w:val="24"/>
                <w:szCs w:val="24"/>
              </w:rPr>
            </w:pPr>
          </w:p>
          <w:p w14:paraId="0CE8439F">
            <w:pPr>
              <w:jc w:val="center"/>
              <w:rPr>
                <w:rFonts w:ascii="Times New Roman" w:hAnsi="Times New Roman"/>
                <w:b/>
                <w:color w:val="auto"/>
                <w:sz w:val="24"/>
                <w:szCs w:val="24"/>
              </w:rPr>
            </w:pPr>
            <w:r>
              <w:rPr>
                <w:rFonts w:ascii="Times New Roman" w:hAnsi="Times New Roman"/>
                <w:b/>
                <w:color w:val="auto"/>
                <w:sz w:val="24"/>
                <w:szCs w:val="24"/>
              </w:rPr>
              <w:t>运营期生态环境影响分析</w:t>
            </w:r>
          </w:p>
          <w:p w14:paraId="4576D7DE">
            <w:pPr>
              <w:jc w:val="center"/>
              <w:rPr>
                <w:rFonts w:ascii="Times New Roman" w:hAnsi="Times New Roman"/>
                <w:b/>
                <w:color w:val="auto"/>
                <w:sz w:val="24"/>
                <w:szCs w:val="24"/>
              </w:rPr>
            </w:pPr>
          </w:p>
          <w:p w14:paraId="7B4446D2">
            <w:pPr>
              <w:jc w:val="center"/>
              <w:rPr>
                <w:rFonts w:ascii="Times New Roman" w:hAnsi="Times New Roman"/>
                <w:b/>
                <w:color w:val="auto"/>
                <w:sz w:val="24"/>
                <w:szCs w:val="24"/>
              </w:rPr>
            </w:pPr>
          </w:p>
          <w:p w14:paraId="055DEB11">
            <w:pPr>
              <w:jc w:val="center"/>
              <w:rPr>
                <w:rFonts w:ascii="Times New Roman" w:hAnsi="Times New Roman"/>
                <w:b/>
                <w:color w:val="auto"/>
                <w:sz w:val="24"/>
                <w:szCs w:val="24"/>
              </w:rPr>
            </w:pPr>
          </w:p>
          <w:p w14:paraId="7F0F998E">
            <w:pPr>
              <w:jc w:val="center"/>
              <w:rPr>
                <w:rFonts w:ascii="Times New Roman" w:hAnsi="Times New Roman"/>
                <w:b/>
                <w:color w:val="auto"/>
                <w:sz w:val="24"/>
                <w:szCs w:val="24"/>
              </w:rPr>
            </w:pPr>
          </w:p>
          <w:p w14:paraId="1482C723">
            <w:pPr>
              <w:jc w:val="center"/>
              <w:rPr>
                <w:rFonts w:ascii="Times New Roman" w:hAnsi="Times New Roman"/>
                <w:b/>
                <w:color w:val="auto"/>
                <w:sz w:val="24"/>
                <w:szCs w:val="24"/>
              </w:rPr>
            </w:pPr>
          </w:p>
          <w:p w14:paraId="781E4894">
            <w:pPr>
              <w:jc w:val="center"/>
              <w:rPr>
                <w:rFonts w:ascii="Times New Roman" w:hAnsi="Times New Roman"/>
                <w:b/>
                <w:color w:val="auto"/>
                <w:sz w:val="24"/>
                <w:szCs w:val="24"/>
              </w:rPr>
            </w:pPr>
          </w:p>
          <w:p w14:paraId="3CD33ED1">
            <w:pPr>
              <w:jc w:val="center"/>
              <w:rPr>
                <w:rFonts w:ascii="Times New Roman" w:hAnsi="Times New Roman"/>
                <w:b/>
                <w:color w:val="auto"/>
                <w:sz w:val="24"/>
                <w:szCs w:val="24"/>
              </w:rPr>
            </w:pPr>
          </w:p>
          <w:p w14:paraId="0F1DA4E1">
            <w:pPr>
              <w:jc w:val="center"/>
              <w:rPr>
                <w:rFonts w:ascii="Times New Roman" w:hAnsi="Times New Roman"/>
                <w:b/>
                <w:color w:val="auto"/>
                <w:sz w:val="24"/>
                <w:szCs w:val="24"/>
              </w:rPr>
            </w:pPr>
          </w:p>
          <w:p w14:paraId="7F4B141E">
            <w:pPr>
              <w:jc w:val="center"/>
              <w:rPr>
                <w:rFonts w:ascii="Times New Roman" w:hAnsi="Times New Roman"/>
                <w:b/>
                <w:color w:val="auto"/>
                <w:sz w:val="24"/>
                <w:szCs w:val="24"/>
              </w:rPr>
            </w:pPr>
          </w:p>
          <w:p w14:paraId="7E4FAE91">
            <w:pPr>
              <w:jc w:val="center"/>
              <w:rPr>
                <w:rFonts w:ascii="Times New Roman" w:hAnsi="Times New Roman"/>
                <w:b/>
                <w:color w:val="auto"/>
                <w:sz w:val="24"/>
                <w:szCs w:val="24"/>
              </w:rPr>
            </w:pPr>
          </w:p>
          <w:p w14:paraId="51E8F1A0">
            <w:pPr>
              <w:pStyle w:val="15"/>
              <w:rPr>
                <w:rFonts w:ascii="Times New Roman" w:hAnsi="Times New Roman"/>
                <w:b/>
                <w:color w:val="auto"/>
                <w:sz w:val="24"/>
                <w:szCs w:val="24"/>
              </w:rPr>
            </w:pPr>
          </w:p>
          <w:p w14:paraId="708A7830">
            <w:pPr>
              <w:rPr>
                <w:rFonts w:ascii="Times New Roman" w:hAnsi="Times New Roman"/>
                <w:b/>
                <w:color w:val="auto"/>
                <w:sz w:val="24"/>
                <w:szCs w:val="24"/>
              </w:rPr>
            </w:pPr>
          </w:p>
          <w:p w14:paraId="0B31CD51">
            <w:pPr>
              <w:pStyle w:val="15"/>
              <w:rPr>
                <w:rFonts w:ascii="Times New Roman" w:hAnsi="Times New Roman"/>
                <w:b/>
                <w:color w:val="auto"/>
                <w:sz w:val="24"/>
                <w:szCs w:val="24"/>
              </w:rPr>
            </w:pPr>
          </w:p>
          <w:p w14:paraId="109E43EB">
            <w:pPr>
              <w:rPr>
                <w:rFonts w:ascii="Times New Roman" w:hAnsi="Times New Roman"/>
                <w:b/>
                <w:color w:val="auto"/>
                <w:sz w:val="24"/>
                <w:szCs w:val="24"/>
              </w:rPr>
            </w:pPr>
          </w:p>
          <w:p w14:paraId="22A03749">
            <w:pPr>
              <w:pStyle w:val="15"/>
              <w:rPr>
                <w:rFonts w:ascii="Times New Roman" w:hAnsi="Times New Roman"/>
                <w:b/>
                <w:color w:val="auto"/>
                <w:sz w:val="24"/>
                <w:szCs w:val="24"/>
              </w:rPr>
            </w:pPr>
          </w:p>
          <w:p w14:paraId="7775A5BC">
            <w:pPr>
              <w:rPr>
                <w:color w:val="auto"/>
              </w:rPr>
            </w:pPr>
          </w:p>
          <w:p w14:paraId="776422AB">
            <w:pPr>
              <w:jc w:val="center"/>
              <w:rPr>
                <w:rFonts w:ascii="Times New Roman" w:hAnsi="Times New Roman"/>
                <w:b/>
                <w:color w:val="auto"/>
                <w:sz w:val="24"/>
                <w:szCs w:val="24"/>
              </w:rPr>
            </w:pPr>
          </w:p>
          <w:p w14:paraId="5792E03F">
            <w:pPr>
              <w:jc w:val="center"/>
              <w:rPr>
                <w:rFonts w:ascii="Times New Roman" w:hAnsi="Times New Roman"/>
                <w:b/>
                <w:color w:val="auto"/>
                <w:sz w:val="24"/>
                <w:szCs w:val="24"/>
              </w:rPr>
            </w:pPr>
          </w:p>
          <w:p w14:paraId="38B1C0E8">
            <w:pPr>
              <w:jc w:val="center"/>
              <w:rPr>
                <w:rFonts w:ascii="Times New Roman" w:hAnsi="Times New Roman"/>
                <w:b/>
                <w:color w:val="auto"/>
                <w:sz w:val="24"/>
                <w:szCs w:val="24"/>
              </w:rPr>
            </w:pPr>
          </w:p>
          <w:p w14:paraId="16424CF7">
            <w:pPr>
              <w:jc w:val="center"/>
              <w:rPr>
                <w:rFonts w:ascii="Times New Roman" w:hAnsi="Times New Roman"/>
                <w:b/>
                <w:color w:val="auto"/>
                <w:sz w:val="24"/>
                <w:szCs w:val="24"/>
              </w:rPr>
            </w:pPr>
          </w:p>
          <w:p w14:paraId="088F5A8E">
            <w:pPr>
              <w:jc w:val="center"/>
              <w:rPr>
                <w:rFonts w:ascii="Times New Roman" w:hAnsi="Times New Roman"/>
                <w:b/>
                <w:color w:val="auto"/>
                <w:sz w:val="24"/>
                <w:szCs w:val="24"/>
              </w:rPr>
            </w:pPr>
          </w:p>
          <w:p w14:paraId="7E919D40">
            <w:pPr>
              <w:jc w:val="center"/>
              <w:rPr>
                <w:rFonts w:ascii="Times New Roman" w:hAnsi="Times New Roman"/>
                <w:b/>
                <w:color w:val="auto"/>
                <w:sz w:val="24"/>
                <w:szCs w:val="24"/>
              </w:rPr>
            </w:pPr>
          </w:p>
          <w:p w14:paraId="334A8BC6">
            <w:pPr>
              <w:pStyle w:val="15"/>
              <w:rPr>
                <w:rFonts w:ascii="Times New Roman" w:hAnsi="Times New Roman"/>
                <w:b/>
                <w:color w:val="auto"/>
                <w:sz w:val="24"/>
                <w:szCs w:val="24"/>
              </w:rPr>
            </w:pPr>
          </w:p>
          <w:p w14:paraId="4DE0F795">
            <w:pPr>
              <w:rPr>
                <w:rFonts w:ascii="Times New Roman" w:hAnsi="Times New Roman"/>
                <w:b/>
                <w:color w:val="auto"/>
                <w:sz w:val="24"/>
                <w:szCs w:val="24"/>
              </w:rPr>
            </w:pPr>
          </w:p>
          <w:p w14:paraId="4A86E200">
            <w:pPr>
              <w:pStyle w:val="15"/>
              <w:rPr>
                <w:rFonts w:ascii="Times New Roman" w:hAnsi="Times New Roman"/>
                <w:b/>
                <w:color w:val="auto"/>
                <w:sz w:val="24"/>
                <w:szCs w:val="24"/>
              </w:rPr>
            </w:pPr>
          </w:p>
          <w:p w14:paraId="3398EFCB">
            <w:pPr>
              <w:rPr>
                <w:rFonts w:ascii="Times New Roman" w:hAnsi="Times New Roman"/>
                <w:b/>
                <w:color w:val="auto"/>
                <w:sz w:val="24"/>
                <w:szCs w:val="24"/>
              </w:rPr>
            </w:pPr>
          </w:p>
          <w:p w14:paraId="0D3417C4">
            <w:pPr>
              <w:pStyle w:val="15"/>
              <w:rPr>
                <w:color w:val="auto"/>
              </w:rPr>
            </w:pPr>
          </w:p>
          <w:p w14:paraId="22806597">
            <w:pPr>
              <w:jc w:val="center"/>
              <w:rPr>
                <w:rFonts w:ascii="Times New Roman" w:hAnsi="Times New Roman"/>
                <w:b/>
                <w:color w:val="auto"/>
                <w:sz w:val="24"/>
                <w:szCs w:val="24"/>
              </w:rPr>
            </w:pPr>
          </w:p>
          <w:p w14:paraId="32C60BDA">
            <w:pPr>
              <w:jc w:val="center"/>
              <w:rPr>
                <w:rFonts w:ascii="Times New Roman" w:hAnsi="Times New Roman"/>
                <w:b/>
                <w:color w:val="auto"/>
                <w:sz w:val="24"/>
                <w:szCs w:val="24"/>
              </w:rPr>
            </w:pPr>
          </w:p>
          <w:p w14:paraId="72C1744C">
            <w:pPr>
              <w:jc w:val="center"/>
              <w:rPr>
                <w:rFonts w:ascii="Times New Roman" w:hAnsi="Times New Roman"/>
                <w:b/>
                <w:color w:val="auto"/>
                <w:sz w:val="24"/>
                <w:szCs w:val="24"/>
              </w:rPr>
            </w:pPr>
          </w:p>
          <w:p w14:paraId="02977A1B">
            <w:pPr>
              <w:jc w:val="center"/>
              <w:rPr>
                <w:rFonts w:ascii="Times New Roman" w:hAnsi="Times New Roman"/>
                <w:b/>
                <w:color w:val="auto"/>
                <w:sz w:val="24"/>
                <w:szCs w:val="24"/>
              </w:rPr>
            </w:pPr>
          </w:p>
          <w:p w14:paraId="0833FFE8">
            <w:pPr>
              <w:jc w:val="center"/>
              <w:rPr>
                <w:rFonts w:ascii="Times New Roman" w:hAnsi="Times New Roman"/>
                <w:b/>
                <w:color w:val="auto"/>
                <w:sz w:val="24"/>
                <w:szCs w:val="24"/>
              </w:rPr>
            </w:pPr>
          </w:p>
          <w:p w14:paraId="4DED0D32">
            <w:pPr>
              <w:jc w:val="center"/>
              <w:rPr>
                <w:rFonts w:ascii="Times New Roman" w:hAnsi="Times New Roman"/>
                <w:b/>
                <w:color w:val="auto"/>
                <w:sz w:val="24"/>
                <w:szCs w:val="24"/>
              </w:rPr>
            </w:pPr>
          </w:p>
          <w:p w14:paraId="1A20248D">
            <w:pPr>
              <w:jc w:val="center"/>
              <w:rPr>
                <w:rFonts w:ascii="Times New Roman" w:hAnsi="Times New Roman"/>
                <w:b/>
                <w:color w:val="auto"/>
                <w:sz w:val="24"/>
                <w:szCs w:val="24"/>
              </w:rPr>
            </w:pPr>
          </w:p>
          <w:p w14:paraId="5E270745">
            <w:pPr>
              <w:jc w:val="center"/>
              <w:rPr>
                <w:rFonts w:ascii="Times New Roman" w:hAnsi="Times New Roman"/>
                <w:b/>
                <w:color w:val="auto"/>
                <w:sz w:val="24"/>
                <w:szCs w:val="24"/>
              </w:rPr>
            </w:pPr>
            <w:r>
              <w:rPr>
                <w:rFonts w:ascii="Times New Roman" w:hAnsi="Times New Roman"/>
                <w:b/>
                <w:color w:val="auto"/>
                <w:sz w:val="24"/>
                <w:szCs w:val="24"/>
              </w:rPr>
              <w:t>运营期生态环境影响分析</w:t>
            </w:r>
          </w:p>
          <w:p w14:paraId="1A4EB7F0">
            <w:pPr>
              <w:jc w:val="center"/>
              <w:rPr>
                <w:rFonts w:ascii="Times New Roman" w:hAnsi="Times New Roman"/>
                <w:b/>
                <w:color w:val="auto"/>
                <w:sz w:val="24"/>
                <w:szCs w:val="24"/>
              </w:rPr>
            </w:pPr>
          </w:p>
          <w:p w14:paraId="58F32BCE">
            <w:pPr>
              <w:jc w:val="center"/>
              <w:rPr>
                <w:rFonts w:ascii="Times New Roman" w:hAnsi="Times New Roman"/>
                <w:b/>
                <w:color w:val="auto"/>
                <w:sz w:val="24"/>
                <w:szCs w:val="24"/>
              </w:rPr>
            </w:pPr>
          </w:p>
          <w:p w14:paraId="03E471D4">
            <w:pPr>
              <w:jc w:val="center"/>
              <w:rPr>
                <w:rFonts w:ascii="Times New Roman" w:hAnsi="Times New Roman"/>
                <w:b/>
                <w:color w:val="auto"/>
                <w:sz w:val="24"/>
                <w:szCs w:val="24"/>
              </w:rPr>
            </w:pPr>
          </w:p>
          <w:p w14:paraId="6DEF8C62">
            <w:pPr>
              <w:jc w:val="center"/>
              <w:rPr>
                <w:rFonts w:ascii="Times New Roman" w:hAnsi="Times New Roman"/>
                <w:b/>
                <w:color w:val="auto"/>
                <w:sz w:val="24"/>
                <w:szCs w:val="24"/>
              </w:rPr>
            </w:pPr>
          </w:p>
          <w:p w14:paraId="19E9788D">
            <w:pPr>
              <w:jc w:val="center"/>
              <w:rPr>
                <w:rFonts w:ascii="Times New Roman" w:hAnsi="Times New Roman"/>
                <w:b/>
                <w:color w:val="auto"/>
                <w:sz w:val="24"/>
                <w:szCs w:val="24"/>
              </w:rPr>
            </w:pPr>
          </w:p>
          <w:p w14:paraId="2CC270E5">
            <w:pPr>
              <w:jc w:val="center"/>
              <w:rPr>
                <w:rFonts w:ascii="Times New Roman" w:hAnsi="Times New Roman"/>
                <w:b/>
                <w:color w:val="auto"/>
                <w:sz w:val="24"/>
                <w:szCs w:val="24"/>
              </w:rPr>
            </w:pPr>
          </w:p>
          <w:p w14:paraId="3A71D975">
            <w:pPr>
              <w:jc w:val="center"/>
              <w:rPr>
                <w:rFonts w:ascii="Times New Roman" w:hAnsi="Times New Roman"/>
                <w:b/>
                <w:color w:val="auto"/>
                <w:sz w:val="24"/>
                <w:szCs w:val="24"/>
              </w:rPr>
            </w:pPr>
          </w:p>
          <w:p w14:paraId="3CB0364B">
            <w:pPr>
              <w:jc w:val="center"/>
              <w:rPr>
                <w:rFonts w:ascii="Times New Roman" w:hAnsi="Times New Roman"/>
                <w:b/>
                <w:color w:val="auto"/>
                <w:sz w:val="24"/>
                <w:szCs w:val="24"/>
              </w:rPr>
            </w:pPr>
          </w:p>
          <w:p w14:paraId="4F1FBE73">
            <w:pPr>
              <w:pStyle w:val="15"/>
              <w:rPr>
                <w:rFonts w:ascii="Times New Roman" w:hAnsi="Times New Roman"/>
                <w:b/>
                <w:color w:val="auto"/>
                <w:sz w:val="24"/>
                <w:szCs w:val="24"/>
              </w:rPr>
            </w:pPr>
          </w:p>
          <w:p w14:paraId="0FDA2E80">
            <w:pPr>
              <w:rPr>
                <w:rFonts w:ascii="Times New Roman" w:hAnsi="Times New Roman"/>
                <w:b/>
                <w:color w:val="auto"/>
                <w:sz w:val="24"/>
                <w:szCs w:val="24"/>
              </w:rPr>
            </w:pPr>
          </w:p>
          <w:p w14:paraId="4036AD7B">
            <w:pPr>
              <w:pStyle w:val="15"/>
              <w:rPr>
                <w:rFonts w:ascii="Times New Roman" w:hAnsi="Times New Roman"/>
                <w:b/>
                <w:color w:val="auto"/>
                <w:sz w:val="24"/>
                <w:szCs w:val="24"/>
              </w:rPr>
            </w:pPr>
          </w:p>
          <w:p w14:paraId="0CAA1E61">
            <w:pPr>
              <w:rPr>
                <w:rFonts w:ascii="Times New Roman" w:hAnsi="Times New Roman"/>
                <w:b/>
                <w:color w:val="auto"/>
                <w:sz w:val="24"/>
                <w:szCs w:val="24"/>
              </w:rPr>
            </w:pPr>
          </w:p>
          <w:p w14:paraId="755C28C8">
            <w:pPr>
              <w:pStyle w:val="15"/>
              <w:rPr>
                <w:rFonts w:ascii="Times New Roman" w:hAnsi="Times New Roman"/>
                <w:b/>
                <w:color w:val="auto"/>
                <w:sz w:val="24"/>
                <w:szCs w:val="24"/>
              </w:rPr>
            </w:pPr>
          </w:p>
          <w:p w14:paraId="6B956DAD">
            <w:pPr>
              <w:rPr>
                <w:rFonts w:ascii="Times New Roman" w:hAnsi="Times New Roman"/>
                <w:b/>
                <w:color w:val="auto"/>
                <w:sz w:val="24"/>
                <w:szCs w:val="24"/>
              </w:rPr>
            </w:pPr>
          </w:p>
          <w:p w14:paraId="5E9D6AC6">
            <w:pPr>
              <w:pStyle w:val="15"/>
              <w:rPr>
                <w:rFonts w:ascii="Times New Roman" w:hAnsi="Times New Roman"/>
                <w:b/>
                <w:color w:val="auto"/>
                <w:sz w:val="24"/>
                <w:szCs w:val="24"/>
              </w:rPr>
            </w:pPr>
          </w:p>
          <w:p w14:paraId="5816218B">
            <w:pPr>
              <w:rPr>
                <w:rFonts w:ascii="Times New Roman" w:hAnsi="Times New Roman"/>
                <w:b/>
                <w:color w:val="auto"/>
                <w:sz w:val="24"/>
                <w:szCs w:val="24"/>
              </w:rPr>
            </w:pPr>
          </w:p>
          <w:p w14:paraId="6411B5C0">
            <w:pPr>
              <w:pStyle w:val="15"/>
              <w:rPr>
                <w:rFonts w:ascii="Times New Roman" w:hAnsi="Times New Roman"/>
                <w:b/>
                <w:color w:val="auto"/>
                <w:sz w:val="24"/>
                <w:szCs w:val="24"/>
              </w:rPr>
            </w:pPr>
          </w:p>
          <w:p w14:paraId="167661F1">
            <w:pPr>
              <w:rPr>
                <w:rFonts w:ascii="Times New Roman" w:hAnsi="Times New Roman"/>
                <w:b/>
                <w:color w:val="auto"/>
                <w:sz w:val="24"/>
                <w:szCs w:val="24"/>
              </w:rPr>
            </w:pPr>
          </w:p>
          <w:p w14:paraId="56981033">
            <w:pPr>
              <w:pStyle w:val="15"/>
              <w:rPr>
                <w:rFonts w:ascii="Times New Roman" w:hAnsi="Times New Roman"/>
                <w:b/>
                <w:color w:val="auto"/>
                <w:sz w:val="24"/>
                <w:szCs w:val="24"/>
              </w:rPr>
            </w:pPr>
          </w:p>
          <w:p w14:paraId="22B25077">
            <w:pPr>
              <w:rPr>
                <w:rFonts w:ascii="Times New Roman" w:hAnsi="Times New Roman"/>
                <w:b/>
                <w:color w:val="auto"/>
                <w:sz w:val="24"/>
                <w:szCs w:val="24"/>
              </w:rPr>
            </w:pPr>
          </w:p>
          <w:p w14:paraId="2DC5BA33">
            <w:pPr>
              <w:pStyle w:val="15"/>
              <w:rPr>
                <w:rFonts w:ascii="Times New Roman" w:hAnsi="Times New Roman"/>
                <w:b/>
                <w:color w:val="auto"/>
                <w:sz w:val="24"/>
                <w:szCs w:val="24"/>
              </w:rPr>
            </w:pPr>
          </w:p>
          <w:p w14:paraId="15850F9F">
            <w:pPr>
              <w:rPr>
                <w:rFonts w:ascii="Times New Roman" w:hAnsi="Times New Roman"/>
                <w:b/>
                <w:color w:val="auto"/>
                <w:sz w:val="24"/>
                <w:szCs w:val="24"/>
              </w:rPr>
            </w:pPr>
          </w:p>
          <w:p w14:paraId="2CB4F91D">
            <w:pPr>
              <w:pStyle w:val="15"/>
              <w:rPr>
                <w:color w:val="auto"/>
              </w:rPr>
            </w:pPr>
          </w:p>
          <w:p w14:paraId="35C5A9C6">
            <w:pPr>
              <w:jc w:val="center"/>
              <w:rPr>
                <w:rFonts w:ascii="Times New Roman" w:hAnsi="Times New Roman"/>
                <w:b/>
                <w:color w:val="auto"/>
                <w:sz w:val="24"/>
                <w:szCs w:val="24"/>
              </w:rPr>
            </w:pPr>
          </w:p>
          <w:p w14:paraId="7B0EDB68">
            <w:pPr>
              <w:jc w:val="center"/>
              <w:rPr>
                <w:rFonts w:ascii="Times New Roman" w:hAnsi="Times New Roman"/>
                <w:b/>
                <w:color w:val="auto"/>
                <w:sz w:val="24"/>
                <w:szCs w:val="24"/>
              </w:rPr>
            </w:pPr>
          </w:p>
          <w:p w14:paraId="040413C1">
            <w:pPr>
              <w:jc w:val="center"/>
              <w:rPr>
                <w:rFonts w:ascii="Times New Roman" w:hAnsi="Times New Roman"/>
                <w:b/>
                <w:color w:val="auto"/>
                <w:sz w:val="24"/>
                <w:szCs w:val="24"/>
              </w:rPr>
            </w:pPr>
          </w:p>
          <w:p w14:paraId="2B76870A">
            <w:pPr>
              <w:jc w:val="center"/>
              <w:rPr>
                <w:rFonts w:ascii="Times New Roman" w:hAnsi="Times New Roman"/>
                <w:b/>
                <w:color w:val="auto"/>
                <w:sz w:val="24"/>
                <w:szCs w:val="24"/>
              </w:rPr>
            </w:pPr>
          </w:p>
          <w:p w14:paraId="7D275FBF">
            <w:pPr>
              <w:jc w:val="center"/>
              <w:rPr>
                <w:rFonts w:ascii="Times New Roman" w:hAnsi="Times New Roman"/>
                <w:b/>
                <w:color w:val="auto"/>
                <w:sz w:val="24"/>
                <w:szCs w:val="24"/>
              </w:rPr>
            </w:pPr>
          </w:p>
          <w:p w14:paraId="6A912FC6">
            <w:pPr>
              <w:jc w:val="center"/>
              <w:rPr>
                <w:rFonts w:ascii="Times New Roman" w:hAnsi="Times New Roman"/>
                <w:b/>
                <w:color w:val="auto"/>
                <w:sz w:val="24"/>
                <w:szCs w:val="24"/>
              </w:rPr>
            </w:pPr>
            <w:r>
              <w:rPr>
                <w:rFonts w:ascii="Times New Roman" w:hAnsi="Times New Roman"/>
                <w:b/>
                <w:color w:val="auto"/>
                <w:sz w:val="24"/>
                <w:szCs w:val="24"/>
              </w:rPr>
              <w:t>运营期生态环境影响分析</w:t>
            </w:r>
          </w:p>
        </w:tc>
        <w:tc>
          <w:tcPr>
            <w:tcW w:w="8648" w:type="dxa"/>
            <w:shd w:val="clear" w:color="auto" w:fill="auto"/>
          </w:tcPr>
          <w:p w14:paraId="5EE2B5D7">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4.2运营期生态环境影响分析</w:t>
            </w:r>
          </w:p>
          <w:p w14:paraId="3A66DD0F">
            <w:pPr>
              <w:pStyle w:val="51"/>
              <w:adjustRightInd w:val="0"/>
              <w:snapToGrid w:val="0"/>
              <w:spacing w:line="440" w:lineRule="exact"/>
              <w:ind w:firstLine="476" w:firstLineChars="200"/>
              <w:jc w:val="both"/>
              <w:rPr>
                <w:rFonts w:ascii="Times New Roman" w:hAnsi="Times New Roman" w:cs="Times New Roman"/>
                <w:color w:val="auto"/>
                <w:sz w:val="24"/>
              </w:rPr>
            </w:pPr>
            <w:r>
              <w:rPr>
                <w:rFonts w:ascii="Times New Roman" w:hAnsi="Times New Roman" w:cs="Times New Roman"/>
                <w:color w:val="auto"/>
                <w:spacing w:val="-1"/>
                <w:sz w:val="24"/>
              </w:rPr>
              <w:t>根据本工程的性质，输电线路运行期的环境影响主要有工频电场、工频</w:t>
            </w:r>
            <w:r>
              <w:rPr>
                <w:rFonts w:ascii="Times New Roman" w:hAnsi="Times New Roman" w:cs="Times New Roman"/>
                <w:color w:val="auto"/>
                <w:spacing w:val="-12"/>
                <w:sz w:val="24"/>
              </w:rPr>
              <w:t>磁场以及噪声，输电线路运行期不产生废气、</w:t>
            </w:r>
            <w:r>
              <w:rPr>
                <w:rFonts w:hint="eastAsia" w:ascii="Times New Roman" w:hAnsi="Times New Roman" w:cs="Times New Roman"/>
                <w:color w:val="auto"/>
                <w:spacing w:val="-12"/>
                <w:sz w:val="24"/>
              </w:rPr>
              <w:t>废水；产生少量</w:t>
            </w:r>
            <w:r>
              <w:rPr>
                <w:rFonts w:ascii="Times New Roman" w:hAnsi="Times New Roman" w:cs="Times New Roman"/>
                <w:color w:val="auto"/>
                <w:spacing w:val="-12"/>
                <w:sz w:val="24"/>
              </w:rPr>
              <w:t>固体废物。项目运行期</w:t>
            </w:r>
            <w:r>
              <w:rPr>
                <w:rFonts w:ascii="Times New Roman" w:hAnsi="Times New Roman" w:cs="Times New Roman"/>
                <w:color w:val="auto"/>
                <w:spacing w:val="-7"/>
                <w:sz w:val="24"/>
              </w:rPr>
              <w:t>产生的环境影响见表</w:t>
            </w:r>
            <w:r>
              <w:rPr>
                <w:rFonts w:ascii="Times New Roman" w:hAnsi="Times New Roman" w:cs="Times New Roman"/>
                <w:color w:val="auto"/>
                <w:sz w:val="24"/>
              </w:rPr>
              <w:t>4-</w:t>
            </w:r>
            <w:r>
              <w:rPr>
                <w:rFonts w:hint="eastAsia" w:ascii="Times New Roman" w:hAnsi="Times New Roman" w:cs="Times New Roman"/>
                <w:color w:val="auto"/>
                <w:sz w:val="24"/>
              </w:rPr>
              <w:t>11</w:t>
            </w:r>
            <w:r>
              <w:rPr>
                <w:rFonts w:ascii="Times New Roman" w:hAnsi="Times New Roman" w:cs="Times New Roman"/>
                <w:color w:val="auto"/>
                <w:sz w:val="24"/>
              </w:rPr>
              <w:t>。</w:t>
            </w:r>
          </w:p>
          <w:p w14:paraId="173B6E21">
            <w:pPr>
              <w:pStyle w:val="51"/>
              <w:adjustRightInd w:val="0"/>
              <w:snapToGrid w:val="0"/>
              <w:rPr>
                <w:rFonts w:ascii="Times New Roman" w:hAnsi="Times New Roman" w:cs="Times New Roman"/>
                <w:b/>
                <w:color w:val="auto"/>
                <w:sz w:val="24"/>
              </w:rPr>
            </w:pPr>
            <w:r>
              <w:rPr>
                <w:rFonts w:ascii="Times New Roman" w:hAnsi="Times New Roman" w:cs="Times New Roman"/>
                <w:b/>
                <w:color w:val="auto"/>
                <w:sz w:val="24"/>
              </w:rPr>
              <w:t>表4-</w:t>
            </w:r>
            <w:r>
              <w:rPr>
                <w:rFonts w:hint="eastAsia" w:ascii="Times New Roman" w:hAnsi="Times New Roman" w:cs="Times New Roman"/>
                <w:b/>
                <w:color w:val="auto"/>
                <w:sz w:val="24"/>
              </w:rPr>
              <w:t>11</w:t>
            </w:r>
            <w:r>
              <w:rPr>
                <w:rFonts w:ascii="Times New Roman" w:hAnsi="Times New Roman" w:cs="Times New Roman"/>
                <w:b/>
                <w:color w:val="auto"/>
                <w:sz w:val="24"/>
              </w:rPr>
              <w:t xml:space="preserve">  工程运行期主要环境影响识别</w:t>
            </w:r>
          </w:p>
          <w:tbl>
            <w:tblPr>
              <w:tblStyle w:val="27"/>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937"/>
              <w:gridCol w:w="5493"/>
            </w:tblGrid>
            <w:tr w14:paraId="333777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vAlign w:val="center"/>
                </w:tcPr>
                <w:p w14:paraId="5DFCAE1F">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环境识别</w:t>
                  </w:r>
                </w:p>
              </w:tc>
              <w:tc>
                <w:tcPr>
                  <w:tcW w:w="3257" w:type="pct"/>
                  <w:tcBorders>
                    <w:tl2br w:val="nil"/>
                    <w:tr2bl w:val="nil"/>
                  </w:tcBorders>
                  <w:vAlign w:val="center"/>
                </w:tcPr>
                <w:p w14:paraId="41B0B5B3">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输电线路</w:t>
                  </w:r>
                </w:p>
              </w:tc>
            </w:tr>
            <w:tr w14:paraId="2FBC59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vAlign w:val="center"/>
                </w:tcPr>
                <w:p w14:paraId="71E03F69">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电磁环境</w:t>
                  </w:r>
                </w:p>
              </w:tc>
              <w:tc>
                <w:tcPr>
                  <w:tcW w:w="3257" w:type="pct"/>
                  <w:tcBorders>
                    <w:tl2br w:val="nil"/>
                    <w:tr2bl w:val="nil"/>
                  </w:tcBorders>
                  <w:vAlign w:val="center"/>
                </w:tcPr>
                <w:p w14:paraId="42ED96BB">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工频电场、工频磁场</w:t>
                  </w:r>
                </w:p>
              </w:tc>
            </w:tr>
            <w:tr w14:paraId="54CF75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vAlign w:val="center"/>
                </w:tcPr>
                <w:p w14:paraId="67D0CD53">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声环境</w:t>
                  </w:r>
                </w:p>
              </w:tc>
              <w:tc>
                <w:tcPr>
                  <w:tcW w:w="3257" w:type="pct"/>
                  <w:tcBorders>
                    <w:tl2br w:val="nil"/>
                    <w:tr2bl w:val="nil"/>
                  </w:tcBorders>
                  <w:vAlign w:val="center"/>
                </w:tcPr>
                <w:p w14:paraId="5061D905">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噪声</w:t>
                  </w:r>
                </w:p>
              </w:tc>
            </w:tr>
            <w:tr w14:paraId="611008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vAlign w:val="center"/>
                </w:tcPr>
                <w:p w14:paraId="35EBC829">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固废</w:t>
                  </w:r>
                </w:p>
              </w:tc>
              <w:tc>
                <w:tcPr>
                  <w:tcW w:w="3257" w:type="pct"/>
                  <w:tcBorders>
                    <w:tl2br w:val="nil"/>
                    <w:tr2bl w:val="nil"/>
                  </w:tcBorders>
                  <w:vAlign w:val="center"/>
                </w:tcPr>
                <w:p w14:paraId="316A962D">
                  <w:pPr>
                    <w:pStyle w:val="51"/>
                    <w:adjustRightInd w:val="0"/>
                    <w:snapToGrid w:val="0"/>
                    <w:rPr>
                      <w:rFonts w:ascii="Times New Roman" w:hAnsi="Times New Roman" w:cs="Times New Roman"/>
                      <w:color w:val="auto"/>
                      <w:sz w:val="21"/>
                    </w:rPr>
                  </w:pPr>
                  <w:r>
                    <w:rPr>
                      <w:rFonts w:ascii="Times New Roman" w:hAnsi="Times New Roman" w:cs="Times New Roman"/>
                      <w:color w:val="auto"/>
                      <w:sz w:val="21"/>
                    </w:rPr>
                    <w:t>生活垃圾、废旧</w:t>
                  </w:r>
                  <w:r>
                    <w:rPr>
                      <w:rFonts w:hint="eastAsia" w:ascii="Times New Roman" w:hAnsi="Times New Roman" w:cs="Times New Roman"/>
                      <w:color w:val="auto"/>
                      <w:sz w:val="21"/>
                    </w:rPr>
                    <w:t>材料</w:t>
                  </w:r>
                  <w:r>
                    <w:rPr>
                      <w:rFonts w:ascii="Times New Roman" w:hAnsi="Times New Roman" w:cs="Times New Roman"/>
                      <w:color w:val="auto"/>
                      <w:sz w:val="21"/>
                    </w:rPr>
                    <w:t>—</w:t>
                  </w:r>
                </w:p>
              </w:tc>
            </w:tr>
          </w:tbl>
          <w:p w14:paraId="3F24D8A6">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4.2.1 电磁环境影响分析</w:t>
            </w:r>
          </w:p>
          <w:p w14:paraId="03982077">
            <w:pPr>
              <w:pStyle w:val="51"/>
              <w:adjustRightInd w:val="0"/>
              <w:snapToGrid w:val="0"/>
              <w:spacing w:line="440" w:lineRule="exact"/>
              <w:ind w:firstLine="460" w:firstLineChars="200"/>
              <w:jc w:val="both"/>
              <w:rPr>
                <w:rFonts w:ascii="Times New Roman" w:hAnsi="Times New Roman" w:cs="Times New Roman"/>
                <w:color w:val="auto"/>
                <w:sz w:val="24"/>
              </w:rPr>
            </w:pPr>
            <w:r>
              <w:rPr>
                <w:rFonts w:hint="eastAsia" w:ascii="Times New Roman" w:hAnsi="Times New Roman" w:cs="Times New Roman"/>
                <w:color w:val="auto"/>
                <w:spacing w:val="-5"/>
                <w:sz w:val="24"/>
              </w:rPr>
              <w:t>项目</w:t>
            </w:r>
            <w:r>
              <w:rPr>
                <w:rFonts w:ascii="Times New Roman" w:hAnsi="Times New Roman" w:cs="Times New Roman"/>
                <w:color w:val="auto"/>
                <w:spacing w:val="-5"/>
                <w:sz w:val="24"/>
              </w:rPr>
              <w:t>运行期间产生的电磁场主要存在于配电装置母线、电气设备附近。</w:t>
            </w:r>
          </w:p>
          <w:p w14:paraId="7E2225A1">
            <w:pPr>
              <w:pStyle w:val="51"/>
              <w:adjustRightInd w:val="0"/>
              <w:snapToGrid w:val="0"/>
              <w:spacing w:line="440" w:lineRule="exact"/>
              <w:ind w:firstLine="480" w:firstLineChars="200"/>
              <w:jc w:val="both"/>
              <w:rPr>
                <w:rFonts w:ascii="Times New Roman" w:hAnsi="Times New Roman" w:cs="Times New Roman"/>
                <w:color w:val="auto"/>
                <w:sz w:val="24"/>
              </w:rPr>
            </w:pPr>
            <w:r>
              <w:rPr>
                <w:rFonts w:ascii="Times New Roman" w:hAnsi="Times New Roman" w:cs="Times New Roman"/>
                <w:color w:val="auto"/>
                <w:sz w:val="24"/>
              </w:rPr>
              <w:t>输电线路在运行时，高压送电线路（高电位）与大地（零电位）</w:t>
            </w:r>
            <w:r>
              <w:rPr>
                <w:rFonts w:ascii="Times New Roman" w:hAnsi="Times New Roman" w:cs="Times New Roman"/>
                <w:color w:val="auto"/>
                <w:spacing w:val="-4"/>
                <w:sz w:val="24"/>
              </w:rPr>
              <w:t>之间的</w:t>
            </w:r>
            <w:r>
              <w:rPr>
                <w:rFonts w:ascii="Times New Roman" w:hAnsi="Times New Roman" w:cs="Times New Roman"/>
                <w:color w:val="auto"/>
                <w:spacing w:val="-3"/>
                <w:sz w:val="24"/>
              </w:rPr>
              <w:t>位差，形成较强的工频</w:t>
            </w:r>
            <w:r>
              <w:rPr>
                <w:rFonts w:ascii="Times New Roman" w:hAnsi="Times New Roman" w:cs="Times New Roman"/>
                <w:color w:val="auto"/>
                <w:sz w:val="24"/>
              </w:rPr>
              <w:t>（50Hz）</w:t>
            </w:r>
            <w:r>
              <w:rPr>
                <w:rFonts w:ascii="Times New Roman" w:hAnsi="Times New Roman" w:cs="Times New Roman"/>
                <w:color w:val="auto"/>
                <w:spacing w:val="-4"/>
                <w:sz w:val="24"/>
              </w:rPr>
              <w:t>电场；电流通过，产生一定的工频磁场；交</w:t>
            </w:r>
            <w:r>
              <w:rPr>
                <w:rFonts w:ascii="Times New Roman" w:hAnsi="Times New Roman" w:cs="Times New Roman"/>
                <w:color w:val="auto"/>
                <w:sz w:val="24"/>
              </w:rPr>
              <w:t>变电流产生了交变的电磁场，向空间传播电磁波，在线路导线的周围空间形成工频电磁场，工频电磁场是一种极低频率的电磁场，也是一种准静态场，对周围环境有一定影响。</w:t>
            </w:r>
          </w:p>
          <w:p w14:paraId="7F0A9EB9">
            <w:pPr>
              <w:pStyle w:val="51"/>
              <w:adjustRightInd w:val="0"/>
              <w:snapToGrid w:val="0"/>
              <w:spacing w:line="440" w:lineRule="exact"/>
              <w:ind w:firstLine="460" w:firstLineChars="200"/>
              <w:jc w:val="both"/>
              <w:rPr>
                <w:rFonts w:ascii="Times New Roman" w:hAnsi="Times New Roman" w:cs="Times New Roman"/>
                <w:color w:val="auto"/>
                <w:spacing w:val="-5"/>
                <w:sz w:val="24"/>
              </w:rPr>
            </w:pPr>
            <w:r>
              <w:rPr>
                <w:rFonts w:ascii="Times New Roman" w:hAnsi="Times New Roman" w:cs="Times New Roman"/>
                <w:color w:val="auto"/>
                <w:spacing w:val="-5"/>
                <w:sz w:val="24"/>
              </w:rPr>
              <w:t>电磁环境影响分析详见《</w:t>
            </w:r>
            <w:r>
              <w:rPr>
                <w:rFonts w:hint="eastAsia" w:ascii="Times New Roman" w:hAnsi="Times New Roman" w:cs="Times New Roman"/>
                <w:color w:val="auto"/>
                <w:spacing w:val="-5"/>
                <w:sz w:val="24"/>
              </w:rPr>
              <w:t>六合一至乐业变220kV送出线路工程</w:t>
            </w:r>
            <w:r>
              <w:rPr>
                <w:rFonts w:ascii="Times New Roman" w:hAnsi="Times New Roman" w:cs="Times New Roman"/>
                <w:color w:val="auto"/>
                <w:spacing w:val="-5"/>
                <w:sz w:val="24"/>
              </w:rPr>
              <w:t>电磁环境影响专题评价》，摘录主要结论如下：</w:t>
            </w:r>
          </w:p>
          <w:p w14:paraId="55782E8B">
            <w:pPr>
              <w:adjustRightInd w:val="0"/>
              <w:snapToGrid w:val="0"/>
              <w:spacing w:line="440" w:lineRule="exact"/>
              <w:ind w:firstLine="482" w:firstLineChars="200"/>
              <w:rPr>
                <w:rFonts w:ascii="Times New Roman" w:hAnsi="Times New Roman"/>
                <w:b/>
                <w:color w:val="auto"/>
                <w:sz w:val="24"/>
              </w:rPr>
            </w:pPr>
            <w:r>
              <w:rPr>
                <w:rFonts w:hint="eastAsia" w:ascii="Times New Roman" w:hAnsi="Times New Roman"/>
                <w:b/>
                <w:bCs/>
                <w:color w:val="auto"/>
                <w:sz w:val="24"/>
                <w:szCs w:val="24"/>
              </w:rPr>
              <w:t>（1）</w:t>
            </w:r>
            <w:r>
              <w:rPr>
                <w:rFonts w:hint="eastAsia" w:ascii="Times New Roman" w:hAnsi="Times New Roman"/>
                <w:b/>
                <w:color w:val="auto"/>
                <w:sz w:val="24"/>
              </w:rPr>
              <w:t>输电线路电磁环境影响分析</w:t>
            </w:r>
          </w:p>
          <w:p w14:paraId="7E9E76C4">
            <w:pPr>
              <w:adjustRightInd w:val="0"/>
              <w:snapToGrid w:val="0"/>
              <w:spacing w:line="440" w:lineRule="exact"/>
              <w:ind w:firstLine="480" w:firstLineChars="200"/>
              <w:rPr>
                <w:rFonts w:ascii="Times New Roman" w:hAnsi="Times New Roman"/>
                <w:bCs/>
                <w:color w:val="auto"/>
                <w:spacing w:val="-6"/>
                <w:sz w:val="24"/>
              </w:rPr>
            </w:pPr>
            <w:r>
              <w:rPr>
                <w:rFonts w:ascii="Times New Roman" w:hAnsi="Times New Roman"/>
                <w:bCs/>
                <w:color w:val="auto"/>
                <w:kern w:val="44"/>
                <w:sz w:val="24"/>
                <w:szCs w:val="24"/>
              </w:rPr>
              <w:t>本项目输电线路采用220kV单回路架设导线离地高度6.5m、距地面1.5m时，</w:t>
            </w:r>
            <w:r>
              <w:rPr>
                <w:rFonts w:ascii="Times New Roman" w:hAnsi="Times New Roman"/>
                <w:bCs/>
                <w:color w:val="auto"/>
                <w:spacing w:val="-6"/>
                <w:sz w:val="24"/>
              </w:rPr>
              <w:t>220kV单回路三角排列架设线路产生的工频电场强度最大值出现在距离线路中心-8m处，为7.2556kV/m；工频磁感应强度最大值出现在距离线路中心-6m处，为47.9438μT。预测结果满足《电磁环境控制限值》（GB8702-2014）中</w:t>
            </w:r>
            <w:r>
              <w:rPr>
                <w:rFonts w:hint="eastAsia" w:ascii="Times New Roman" w:hAnsi="Times New Roman"/>
                <w:bCs/>
                <w:color w:val="auto"/>
                <w:spacing w:val="-6"/>
                <w:sz w:val="24"/>
                <w:lang w:eastAsia="zh-CN"/>
              </w:rPr>
              <w:t>其他地区</w:t>
            </w:r>
            <w:r>
              <w:rPr>
                <w:rFonts w:ascii="Times New Roman" w:hAnsi="Times New Roman"/>
                <w:bCs/>
                <w:color w:val="auto"/>
                <w:spacing w:val="-6"/>
                <w:sz w:val="24"/>
              </w:rPr>
              <w:t>工频电场强度10kV/m的标准要求</w:t>
            </w:r>
            <w:r>
              <w:rPr>
                <w:rFonts w:hint="eastAsia" w:ascii="Times New Roman" w:hAnsi="Times New Roman"/>
                <w:bCs/>
                <w:color w:val="auto"/>
                <w:spacing w:val="-6"/>
                <w:sz w:val="24"/>
              </w:rPr>
              <w:t>；220kV单回路水平排列架设线路产生的工频电场强度最大值出现在距离线路中心-10m处，为7.5887kV/m；工频磁感应强度最大值出现在线路中心线正下方，为55.8425μT。预测结果满足《电磁环境控制限值》（GB8702-2014）中</w:t>
            </w:r>
            <w:r>
              <w:rPr>
                <w:rFonts w:hint="eastAsia" w:ascii="Times New Roman" w:hAnsi="Times New Roman"/>
                <w:bCs/>
                <w:color w:val="auto"/>
                <w:spacing w:val="-6"/>
                <w:sz w:val="24"/>
                <w:lang w:eastAsia="zh-CN"/>
              </w:rPr>
              <w:t>其他地区</w:t>
            </w:r>
            <w:r>
              <w:rPr>
                <w:rFonts w:hint="eastAsia" w:ascii="Times New Roman" w:hAnsi="Times New Roman"/>
                <w:bCs/>
                <w:color w:val="auto"/>
                <w:spacing w:val="-6"/>
                <w:sz w:val="24"/>
              </w:rPr>
              <w:t>工频电场强度10kV/m的标准要求。</w:t>
            </w:r>
          </w:p>
          <w:p w14:paraId="203F291A">
            <w:pPr>
              <w:adjustRightInd w:val="0"/>
              <w:snapToGrid w:val="0"/>
              <w:spacing w:line="440" w:lineRule="exact"/>
              <w:ind w:firstLine="480" w:firstLineChars="200"/>
              <w:rPr>
                <w:rFonts w:ascii="Times New Roman" w:hAnsi="Times New Roman"/>
                <w:bCs/>
                <w:color w:val="auto"/>
                <w:kern w:val="44"/>
                <w:sz w:val="24"/>
                <w:szCs w:val="24"/>
              </w:rPr>
            </w:pPr>
            <w:r>
              <w:rPr>
                <w:rFonts w:hint="eastAsia" w:ascii="Times New Roman" w:hAnsi="Times New Roman"/>
                <w:bCs/>
                <w:color w:val="auto"/>
                <w:kern w:val="44"/>
                <w:sz w:val="24"/>
                <w:szCs w:val="24"/>
              </w:rPr>
              <w:t>本项目采用220kV双设单挂</w:t>
            </w:r>
            <w:r>
              <w:rPr>
                <w:rFonts w:ascii="Times New Roman" w:hAnsi="Times New Roman"/>
                <w:bCs/>
                <w:color w:val="auto"/>
                <w:kern w:val="44"/>
                <w:sz w:val="24"/>
                <w:szCs w:val="24"/>
              </w:rPr>
              <w:t>线路</w:t>
            </w:r>
            <w:r>
              <w:rPr>
                <w:rFonts w:hint="eastAsia" w:ascii="Times New Roman" w:hAnsi="Times New Roman"/>
                <w:bCs/>
                <w:color w:val="auto"/>
                <w:kern w:val="44"/>
                <w:sz w:val="24"/>
                <w:szCs w:val="24"/>
              </w:rPr>
              <w:t>，导线离地高度为6.5m、距地面1.5m时</w:t>
            </w:r>
            <w:r>
              <w:rPr>
                <w:rFonts w:hint="eastAsia" w:ascii="Times New Roman" w:hAnsi="Times New Roman"/>
                <w:bCs/>
                <w:color w:val="auto"/>
                <w:kern w:val="44"/>
                <w:sz w:val="24"/>
                <w:szCs w:val="24"/>
                <w:lang w:eastAsia="zh-CN"/>
              </w:rPr>
              <w:t>，</w:t>
            </w:r>
            <w:r>
              <w:rPr>
                <w:rFonts w:hint="eastAsia" w:ascii="Times New Roman" w:hAnsi="Times New Roman"/>
                <w:bCs/>
                <w:color w:val="auto"/>
                <w:kern w:val="44"/>
                <w:sz w:val="24"/>
                <w:szCs w:val="24"/>
              </w:rPr>
              <w:t>本项目220kV双设单挂架设线路产生的工频电场强度最大值出现在距离线路中心-8m处，为6.8217kV/m；工频磁感应强度最大值出现在距离线路中心-8处，为35.5568μT。预测结果满足《电磁环境控制限值》（GB8702-2014）中</w:t>
            </w:r>
            <w:r>
              <w:rPr>
                <w:rFonts w:hint="eastAsia" w:ascii="Times New Roman" w:hAnsi="Times New Roman"/>
                <w:bCs/>
                <w:color w:val="auto"/>
                <w:kern w:val="44"/>
                <w:sz w:val="24"/>
                <w:szCs w:val="24"/>
                <w:lang w:eastAsia="zh-CN"/>
              </w:rPr>
              <w:t>其他地区</w:t>
            </w:r>
            <w:r>
              <w:rPr>
                <w:rFonts w:hint="eastAsia" w:ascii="Times New Roman" w:hAnsi="Times New Roman"/>
                <w:bCs/>
                <w:color w:val="auto"/>
                <w:kern w:val="44"/>
                <w:sz w:val="24"/>
                <w:szCs w:val="24"/>
              </w:rPr>
              <w:t>工频电场强度10kV/m的标准要求；当按照非居民区导线设计最小对地高度为14.5m、距地面1.5m的设计要求架设线路时，本项目220kV双设单挂架设线路产生的工频电场强度最大值出现在距离线路中心-8m处，为1.8971kV/m；工频磁感应强度最大值出现在距离线路中心-8处，为9.286μT。预测结果满足《电磁环境控制限值》（GB8702-2014）中</w:t>
            </w:r>
            <w:r>
              <w:rPr>
                <w:rFonts w:hint="eastAsia" w:ascii="Times New Roman" w:hAnsi="Times New Roman"/>
                <w:bCs/>
                <w:color w:val="auto"/>
                <w:kern w:val="44"/>
                <w:sz w:val="24"/>
                <w:szCs w:val="24"/>
                <w:lang w:eastAsia="zh-CN"/>
              </w:rPr>
              <w:t>其他地区</w:t>
            </w:r>
            <w:r>
              <w:rPr>
                <w:rFonts w:hint="eastAsia" w:ascii="Times New Roman" w:hAnsi="Times New Roman"/>
                <w:bCs/>
                <w:color w:val="auto"/>
                <w:kern w:val="44"/>
                <w:sz w:val="24"/>
                <w:szCs w:val="24"/>
              </w:rPr>
              <w:t>工频电场强度10kV/m的标准要求。</w:t>
            </w:r>
          </w:p>
          <w:p w14:paraId="32189380">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根据预测计算结果，220kV单回路三角排列架设</w:t>
            </w:r>
            <w:r>
              <w:rPr>
                <w:rFonts w:hint="eastAsia" w:ascii="Times New Roman" w:hAnsi="Times New Roman"/>
                <w:color w:val="auto"/>
                <w:sz w:val="24"/>
              </w:rPr>
              <w:t>时，按</w:t>
            </w:r>
            <w:r>
              <w:rPr>
                <w:rFonts w:ascii="Times New Roman" w:hAnsi="Times New Roman"/>
                <w:color w:val="auto"/>
                <w:sz w:val="24"/>
              </w:rPr>
              <w:t>照居民区导线最小对地高度为</w:t>
            </w:r>
            <w:r>
              <w:rPr>
                <w:rFonts w:hint="eastAsia" w:ascii="Times New Roman" w:hAnsi="Times New Roman"/>
                <w:color w:val="auto"/>
                <w:sz w:val="24"/>
              </w:rPr>
              <w:t>7</w:t>
            </w:r>
            <w:r>
              <w:rPr>
                <w:rFonts w:ascii="Times New Roman" w:hAnsi="Times New Roman"/>
                <w:color w:val="auto"/>
                <w:sz w:val="24"/>
              </w:rPr>
              <w:t>.5m、距地面1.5m的设计要求架设线路时，项目220kV</w:t>
            </w:r>
            <w:r>
              <w:rPr>
                <w:rFonts w:hint="eastAsia" w:ascii="Times New Roman" w:hAnsi="Times New Roman"/>
                <w:color w:val="auto"/>
                <w:sz w:val="24"/>
              </w:rPr>
              <w:t>单回路</w:t>
            </w:r>
            <w:r>
              <w:rPr>
                <w:rFonts w:ascii="Times New Roman" w:hAnsi="Times New Roman"/>
                <w:color w:val="auto"/>
                <w:sz w:val="24"/>
              </w:rPr>
              <w:t>架设线路产生的工频电场强度最大值出现在距离线路中心-</w:t>
            </w:r>
            <w:r>
              <w:rPr>
                <w:rFonts w:hint="eastAsia" w:ascii="Times New Roman" w:hAnsi="Times New Roman"/>
                <w:color w:val="auto"/>
                <w:sz w:val="24"/>
              </w:rPr>
              <w:t>9</w:t>
            </w:r>
            <w:r>
              <w:rPr>
                <w:rFonts w:ascii="Times New Roman" w:hAnsi="Times New Roman"/>
                <w:color w:val="auto"/>
                <w:sz w:val="24"/>
              </w:rPr>
              <w:t>m处，为</w:t>
            </w:r>
            <w:r>
              <w:rPr>
                <w:rFonts w:hint="eastAsia" w:ascii="Times New Roman" w:hAnsi="Times New Roman"/>
                <w:color w:val="auto"/>
                <w:sz w:val="24"/>
              </w:rPr>
              <w:t>5.8631</w:t>
            </w:r>
            <w:r>
              <w:rPr>
                <w:rFonts w:ascii="Times New Roman" w:hAnsi="Times New Roman"/>
                <w:color w:val="auto"/>
                <w:sz w:val="24"/>
              </w:rPr>
              <w:t>kV/m；工频磁感应强度最大值出现在距离线路中心-</w:t>
            </w:r>
            <w:r>
              <w:rPr>
                <w:rFonts w:hint="eastAsia" w:ascii="Times New Roman" w:hAnsi="Times New Roman"/>
                <w:color w:val="auto"/>
                <w:sz w:val="24"/>
              </w:rPr>
              <w:t>6</w:t>
            </w:r>
            <w:r>
              <w:rPr>
                <w:rFonts w:ascii="Times New Roman" w:hAnsi="Times New Roman"/>
                <w:color w:val="auto"/>
                <w:sz w:val="24"/>
              </w:rPr>
              <w:t>处，为</w:t>
            </w:r>
            <w:r>
              <w:rPr>
                <w:rFonts w:hint="eastAsia" w:ascii="Times New Roman" w:hAnsi="Times New Roman"/>
                <w:color w:val="auto"/>
                <w:sz w:val="24"/>
              </w:rPr>
              <w:t>39.4543</w:t>
            </w:r>
            <w:r>
              <w:rPr>
                <w:rFonts w:ascii="Times New Roman" w:hAnsi="Times New Roman"/>
                <w:color w:val="auto"/>
                <w:sz w:val="24"/>
              </w:rPr>
              <w:t>μT</w:t>
            </w:r>
            <w:r>
              <w:rPr>
                <w:rFonts w:hint="eastAsia" w:ascii="Times New Roman" w:hAnsi="Times New Roman"/>
                <w:color w:val="auto"/>
                <w:sz w:val="24"/>
              </w:rPr>
              <w:t>，</w:t>
            </w:r>
            <w:r>
              <w:rPr>
                <w:rFonts w:ascii="Times New Roman" w:hAnsi="Times New Roman"/>
                <w:color w:val="auto"/>
                <w:sz w:val="24"/>
              </w:rPr>
              <w:t>预测结果</w:t>
            </w:r>
            <w:r>
              <w:rPr>
                <w:rFonts w:hint="eastAsia" w:ascii="Times New Roman" w:hAnsi="Times New Roman"/>
                <w:color w:val="auto"/>
                <w:sz w:val="24"/>
              </w:rPr>
              <w:t>不</w:t>
            </w:r>
            <w:r>
              <w:rPr>
                <w:rFonts w:ascii="Times New Roman" w:hAnsi="Times New Roman"/>
                <w:color w:val="auto"/>
                <w:sz w:val="24"/>
              </w:rPr>
              <w:t>满足《电磁环境控制限值》（GB8702-2014）中工频电场4000V/m、工频磁场100μT公众曝露限值要求。</w:t>
            </w:r>
          </w:p>
          <w:p w14:paraId="73DF7328">
            <w:pPr>
              <w:adjustRightInd w:val="0"/>
              <w:snapToGrid w:val="0"/>
              <w:spacing w:line="440" w:lineRule="exact"/>
              <w:ind w:firstLine="480" w:firstLineChars="200"/>
              <w:rPr>
                <w:rFonts w:ascii="Times New Roman" w:hAnsi="Times New Roman"/>
                <w:color w:val="auto"/>
                <w:sz w:val="24"/>
              </w:rPr>
            </w:pPr>
            <w:r>
              <w:rPr>
                <w:rFonts w:hint="eastAsia" w:ascii="Times New Roman" w:hAnsi="Times New Roman"/>
                <w:color w:val="auto"/>
                <w:sz w:val="24"/>
              </w:rPr>
              <w:t>因此，本项目要求按照设计导线最低高度进行架设，</w:t>
            </w:r>
            <w:r>
              <w:rPr>
                <w:rFonts w:ascii="Times New Roman" w:hAnsi="Times New Roman"/>
                <w:color w:val="auto"/>
                <w:sz w:val="24"/>
              </w:rPr>
              <w:t>项目220kV架空线路采用单回架设设计导线最低高度13.</w:t>
            </w:r>
            <w:r>
              <w:rPr>
                <w:rFonts w:hint="eastAsia" w:ascii="Times New Roman" w:hAnsi="Times New Roman"/>
                <w:color w:val="auto"/>
                <w:sz w:val="24"/>
              </w:rPr>
              <w:t>8</w:t>
            </w:r>
            <w:r>
              <w:rPr>
                <w:rFonts w:ascii="Times New Roman" w:hAnsi="Times New Roman"/>
                <w:color w:val="auto"/>
                <w:sz w:val="24"/>
              </w:rPr>
              <w:t>m</w:t>
            </w:r>
            <w:r>
              <w:rPr>
                <w:rFonts w:hint="eastAsia" w:ascii="Times New Roman" w:hAnsi="Times New Roman"/>
                <w:color w:val="auto"/>
                <w:sz w:val="24"/>
              </w:rPr>
              <w:t>时</w:t>
            </w:r>
            <w:r>
              <w:rPr>
                <w:rFonts w:ascii="Times New Roman" w:hAnsi="Times New Roman"/>
                <w:color w:val="auto"/>
                <w:sz w:val="24"/>
              </w:rPr>
              <w:t>，线路下方距地面1.5m处的工频电场强度最大值出现在距离线路中心-</w:t>
            </w:r>
            <w:r>
              <w:rPr>
                <w:rFonts w:hint="eastAsia" w:ascii="Times New Roman" w:hAnsi="Times New Roman"/>
                <w:color w:val="auto"/>
                <w:sz w:val="24"/>
              </w:rPr>
              <w:t>10</w:t>
            </w:r>
            <w:r>
              <w:rPr>
                <w:rFonts w:ascii="Times New Roman" w:hAnsi="Times New Roman"/>
                <w:color w:val="auto"/>
                <w:sz w:val="24"/>
              </w:rPr>
              <w:t>m处，为</w:t>
            </w:r>
            <w:r>
              <w:rPr>
                <w:rFonts w:hint="eastAsia" w:ascii="Times New Roman" w:hAnsi="Times New Roman"/>
                <w:color w:val="auto"/>
                <w:sz w:val="24"/>
              </w:rPr>
              <w:t>2.1391</w:t>
            </w:r>
            <w:r>
              <w:rPr>
                <w:rFonts w:ascii="Times New Roman" w:hAnsi="Times New Roman"/>
                <w:color w:val="auto"/>
                <w:sz w:val="24"/>
              </w:rPr>
              <w:t>kV/m；工频磁感应强度最大值出现在距离线路中心-</w:t>
            </w:r>
            <w:r>
              <w:rPr>
                <w:rFonts w:hint="eastAsia" w:ascii="Times New Roman" w:hAnsi="Times New Roman"/>
                <w:color w:val="auto"/>
                <w:sz w:val="24"/>
              </w:rPr>
              <w:t>1</w:t>
            </w:r>
            <w:r>
              <w:rPr>
                <w:rFonts w:ascii="Times New Roman" w:hAnsi="Times New Roman"/>
                <w:color w:val="auto"/>
                <w:sz w:val="24"/>
              </w:rPr>
              <w:t>处，为</w:t>
            </w:r>
            <w:r>
              <w:rPr>
                <w:rFonts w:hint="eastAsia" w:ascii="Times New Roman" w:hAnsi="Times New Roman"/>
                <w:color w:val="auto"/>
                <w:sz w:val="24"/>
              </w:rPr>
              <w:t>16.591</w:t>
            </w:r>
            <w:r>
              <w:rPr>
                <w:rFonts w:ascii="Times New Roman" w:hAnsi="Times New Roman"/>
                <w:color w:val="auto"/>
                <w:sz w:val="24"/>
              </w:rPr>
              <w:t>μT</w:t>
            </w:r>
            <w:r>
              <w:rPr>
                <w:rFonts w:hint="eastAsia" w:ascii="Times New Roman" w:hAnsi="Times New Roman"/>
                <w:color w:val="auto"/>
                <w:sz w:val="24"/>
              </w:rPr>
              <w:t>，</w:t>
            </w:r>
            <w:r>
              <w:rPr>
                <w:rFonts w:ascii="Times New Roman" w:hAnsi="Times New Roman"/>
                <w:color w:val="auto"/>
                <w:sz w:val="24"/>
              </w:rPr>
              <w:t>工频电场、工频磁场能同时满足《电磁环境控制限值》（GB8702-2014）表1中工频电场4000V/m、工频磁场100μT公众曝露限值要求。</w:t>
            </w:r>
          </w:p>
          <w:p w14:paraId="5E51C7AE">
            <w:pPr>
              <w:pStyle w:val="51"/>
              <w:adjustRightInd w:val="0"/>
              <w:snapToGrid w:val="0"/>
              <w:spacing w:line="440" w:lineRule="exact"/>
              <w:ind w:firstLine="482" w:firstLineChars="200"/>
              <w:jc w:val="both"/>
              <w:rPr>
                <w:rFonts w:ascii="Times New Roman" w:hAnsi="Times New Roman" w:cs="Times New Roman"/>
                <w:b/>
                <w:color w:val="auto"/>
                <w:sz w:val="24"/>
              </w:rPr>
            </w:pPr>
            <w:r>
              <w:rPr>
                <w:rFonts w:hint="eastAsia" w:ascii="Times New Roman" w:hAnsi="Times New Roman" w:cs="Times New Roman"/>
                <w:b/>
                <w:color w:val="auto"/>
                <w:sz w:val="24"/>
              </w:rPr>
              <w:t>（2）</w:t>
            </w:r>
            <w:r>
              <w:rPr>
                <w:rFonts w:ascii="Times New Roman" w:hAnsi="Times New Roman" w:cs="Times New Roman"/>
                <w:b/>
                <w:color w:val="auto"/>
                <w:sz w:val="24"/>
              </w:rPr>
              <w:t>对敏感点的电磁环境影响分析</w:t>
            </w:r>
          </w:p>
          <w:p w14:paraId="4C48C3FC">
            <w:pPr>
              <w:pStyle w:val="51"/>
              <w:adjustRightInd w:val="0"/>
              <w:snapToGrid w:val="0"/>
              <w:spacing w:line="440" w:lineRule="exact"/>
              <w:ind w:firstLine="480" w:firstLineChars="200"/>
              <w:jc w:val="both"/>
              <w:rPr>
                <w:rFonts w:hint="default" w:ascii="Times New Roman" w:hAnsi="Times New Roman" w:cs="Times New Roman"/>
                <w:color w:val="auto"/>
                <w:sz w:val="24"/>
                <w:szCs w:val="24"/>
              </w:rPr>
            </w:pPr>
            <w:r>
              <w:rPr>
                <w:rFonts w:ascii="Times New Roman" w:hAnsi="Times New Roman" w:cs="Times New Roman"/>
                <w:color w:val="auto"/>
                <w:sz w:val="24"/>
                <w:szCs w:val="24"/>
              </w:rPr>
              <w:t>本项目输电线路评价范围内有</w:t>
            </w:r>
            <w:r>
              <w:rPr>
                <w:rFonts w:hint="eastAsia" w:ascii="Times New Roman" w:hAnsi="Times New Roman" w:cs="Times New Roman"/>
                <w:color w:val="auto"/>
                <w:sz w:val="24"/>
                <w:szCs w:val="24"/>
                <w:lang w:val="en-US" w:eastAsia="zh-CN"/>
              </w:rPr>
              <w:t>7</w:t>
            </w:r>
            <w:r>
              <w:rPr>
                <w:rFonts w:ascii="Times New Roman" w:hAnsi="Times New Roman" w:cs="Times New Roman"/>
                <w:color w:val="auto"/>
                <w:sz w:val="24"/>
                <w:szCs w:val="24"/>
              </w:rPr>
              <w:t>个电磁环境敏感目标，由预测结果可知，</w:t>
            </w:r>
            <w:r>
              <w:rPr>
                <w:rFonts w:hint="default" w:ascii="Times New Roman" w:hAnsi="Times New Roman" w:cs="Times New Roman"/>
                <w:color w:val="auto"/>
                <w:sz w:val="24"/>
                <w:szCs w:val="24"/>
              </w:rPr>
              <w:t>导线最小对地高度为设计方案中的设计高度时，电磁环境敏感目标处工频电场强度为</w:t>
            </w:r>
            <w:r>
              <w:rPr>
                <w:rFonts w:hint="eastAsia" w:ascii="Times New Roman" w:hAnsi="Times New Roman" w:cs="Times New Roman"/>
                <w:color w:val="auto"/>
                <w:sz w:val="24"/>
                <w:szCs w:val="24"/>
                <w:lang w:val="en-US" w:eastAsia="zh-CN"/>
              </w:rPr>
              <w:t>230.061</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1851.858</w:t>
            </w:r>
            <w:r>
              <w:rPr>
                <w:rFonts w:hint="default" w:ascii="Times New Roman" w:hAnsi="Times New Roman" w:cs="Times New Roman"/>
                <w:color w:val="auto"/>
                <w:sz w:val="24"/>
                <w:szCs w:val="24"/>
              </w:rPr>
              <w:t>V/m，工频磁感应强度为</w:t>
            </w:r>
            <w:r>
              <w:rPr>
                <w:rFonts w:hint="eastAsia" w:ascii="Times New Roman" w:hAnsi="Times New Roman" w:cs="Times New Roman"/>
                <w:color w:val="auto"/>
                <w:sz w:val="24"/>
                <w:szCs w:val="24"/>
                <w:lang w:val="en-US" w:eastAsia="zh-CN"/>
              </w:rPr>
              <w:t>2.050</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15.204</w:t>
            </w:r>
            <w:r>
              <w:rPr>
                <w:rFonts w:hint="default" w:ascii="Times New Roman" w:hAnsi="Times New Roman" w:cs="Times New Roman"/>
                <w:color w:val="auto"/>
                <w:sz w:val="24"/>
                <w:szCs w:val="24"/>
              </w:rPr>
              <w:t>μT，本工程建成后对各电磁环境敏感目标的电磁环境影响满足《电磁环境控制限值》（GB8702-2014）中公众曝露限值工频电场4000V/m及工频磁场100μT的要求。</w:t>
            </w:r>
          </w:p>
          <w:p w14:paraId="29723A83">
            <w:pPr>
              <w:adjustRightInd w:val="0"/>
              <w:snapToGrid w:val="0"/>
              <w:spacing w:line="440" w:lineRule="exact"/>
              <w:ind w:firstLine="482" w:firstLineChars="200"/>
              <w:textAlignment w:val="baseline"/>
              <w:rPr>
                <w:rFonts w:ascii="Times New Roman" w:hAnsi="Times New Roman"/>
                <w:b/>
                <w:color w:val="auto"/>
                <w:sz w:val="24"/>
              </w:rPr>
            </w:pPr>
            <w:r>
              <w:rPr>
                <w:rFonts w:hint="eastAsia" w:ascii="Times New Roman" w:hAnsi="Times New Roman"/>
                <w:b/>
                <w:color w:val="auto"/>
                <w:sz w:val="24"/>
              </w:rPr>
              <w:t>（3）</w:t>
            </w:r>
            <w:r>
              <w:rPr>
                <w:rFonts w:ascii="Times New Roman" w:hAnsi="Times New Roman"/>
                <w:b/>
                <w:color w:val="auto"/>
                <w:sz w:val="24"/>
              </w:rPr>
              <w:t>电磁环境达标距离</w:t>
            </w:r>
          </w:p>
          <w:p w14:paraId="1E3B8770">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预测结果可知，本项目220kV输电线路采用单回和双设单挂架设时，经过耕地及其他公众偶尔停留、活动场所时，当按照《110kV~750kV架空输电线路设计规范》（GB50545-2010）要求的非居民区导线对地面的最小距离6.5m架设时，该场所的工频电场强度预测结果均能满足10kV/m的控制限值要求。</w:t>
            </w:r>
          </w:p>
          <w:p w14:paraId="6CC7A7FB">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根据预测计算结果，</w:t>
            </w:r>
            <w:r>
              <w:rPr>
                <w:rFonts w:hint="eastAsia" w:ascii="Times New Roman" w:hAnsi="Times New Roman"/>
                <w:color w:val="auto"/>
                <w:sz w:val="24"/>
                <w:szCs w:val="24"/>
              </w:rPr>
              <w:t>本项目</w:t>
            </w:r>
            <w:r>
              <w:rPr>
                <w:rFonts w:ascii="Times New Roman" w:hAnsi="Times New Roman"/>
                <w:color w:val="auto"/>
                <w:sz w:val="24"/>
                <w:szCs w:val="24"/>
              </w:rPr>
              <w:t>22</w:t>
            </w:r>
            <w:r>
              <w:rPr>
                <w:rFonts w:hint="eastAsia" w:ascii="Times New Roman" w:hAnsi="Times New Roman"/>
                <w:color w:val="auto"/>
                <w:sz w:val="24"/>
                <w:szCs w:val="24"/>
              </w:rPr>
              <w:t>0kV架空线路采用单回架设时对地高度按照设计最小高度13.1m时，线路下方距地面1.5m处的工频电场、工频磁场能同时满足《电磁环境控制限值》（</w:t>
            </w:r>
            <w:r>
              <w:rPr>
                <w:rFonts w:ascii="Times New Roman" w:hAnsi="Times New Roman"/>
                <w:color w:val="auto"/>
                <w:sz w:val="24"/>
                <w:szCs w:val="24"/>
              </w:rPr>
              <w:t>GB8702-2014</w:t>
            </w:r>
            <w:r>
              <w:rPr>
                <w:rFonts w:hint="eastAsia" w:ascii="Times New Roman" w:hAnsi="Times New Roman"/>
                <w:color w:val="auto"/>
                <w:sz w:val="24"/>
                <w:szCs w:val="24"/>
              </w:rPr>
              <w:t>）表</w:t>
            </w:r>
            <w:r>
              <w:rPr>
                <w:rFonts w:ascii="Times New Roman" w:hAnsi="Times New Roman"/>
                <w:color w:val="auto"/>
                <w:sz w:val="24"/>
                <w:szCs w:val="24"/>
              </w:rPr>
              <w:t>1</w:t>
            </w:r>
            <w:r>
              <w:rPr>
                <w:rFonts w:hint="eastAsia" w:ascii="Times New Roman" w:hAnsi="Times New Roman"/>
                <w:color w:val="auto"/>
                <w:sz w:val="24"/>
                <w:szCs w:val="24"/>
              </w:rPr>
              <w:t>中工频电场</w:t>
            </w:r>
            <w:r>
              <w:rPr>
                <w:rFonts w:ascii="Times New Roman" w:hAnsi="Times New Roman"/>
                <w:color w:val="auto"/>
                <w:sz w:val="24"/>
                <w:szCs w:val="24"/>
              </w:rPr>
              <w:t>4000V/m</w:t>
            </w:r>
            <w:r>
              <w:rPr>
                <w:rFonts w:hint="eastAsia" w:ascii="Times New Roman" w:hAnsi="Times New Roman"/>
                <w:color w:val="auto"/>
                <w:sz w:val="24"/>
                <w:szCs w:val="24"/>
              </w:rPr>
              <w:t>、工频磁场</w:t>
            </w:r>
            <w:r>
              <w:rPr>
                <w:rFonts w:ascii="Times New Roman" w:hAnsi="Times New Roman"/>
                <w:color w:val="auto"/>
                <w:sz w:val="24"/>
                <w:szCs w:val="24"/>
              </w:rPr>
              <w:t>100μT</w:t>
            </w:r>
            <w:r>
              <w:rPr>
                <w:rFonts w:hint="eastAsia" w:ascii="Times New Roman" w:hAnsi="Times New Roman"/>
                <w:color w:val="auto"/>
                <w:sz w:val="24"/>
                <w:szCs w:val="24"/>
              </w:rPr>
              <w:t>公众曝露限值要求。</w:t>
            </w:r>
          </w:p>
          <w:p w14:paraId="42842F49">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根据预测计算结果，</w:t>
            </w:r>
            <w:r>
              <w:rPr>
                <w:rFonts w:hint="eastAsia" w:ascii="Times New Roman" w:hAnsi="Times New Roman"/>
                <w:color w:val="auto"/>
                <w:sz w:val="24"/>
                <w:szCs w:val="24"/>
              </w:rPr>
              <w:t>本项目</w:t>
            </w:r>
            <w:r>
              <w:rPr>
                <w:rFonts w:ascii="Times New Roman" w:hAnsi="Times New Roman"/>
                <w:color w:val="auto"/>
                <w:sz w:val="24"/>
                <w:szCs w:val="24"/>
              </w:rPr>
              <w:t>22</w:t>
            </w:r>
            <w:r>
              <w:rPr>
                <w:rFonts w:hint="eastAsia" w:ascii="Times New Roman" w:hAnsi="Times New Roman"/>
                <w:color w:val="auto"/>
                <w:sz w:val="24"/>
                <w:szCs w:val="24"/>
              </w:rPr>
              <w:t>0kV架空线路采用双设单挂架设时对地高度按照设计最小高度14.5m时，线路下方距地面1.5m处的工频电场、工频磁场能同时满足《电磁环境控制限值》（</w:t>
            </w:r>
            <w:r>
              <w:rPr>
                <w:rFonts w:ascii="Times New Roman" w:hAnsi="Times New Roman"/>
                <w:color w:val="auto"/>
                <w:sz w:val="24"/>
                <w:szCs w:val="24"/>
              </w:rPr>
              <w:t>GB8702-2014</w:t>
            </w:r>
            <w:r>
              <w:rPr>
                <w:rFonts w:hint="eastAsia" w:ascii="Times New Roman" w:hAnsi="Times New Roman"/>
                <w:color w:val="auto"/>
                <w:sz w:val="24"/>
                <w:szCs w:val="24"/>
              </w:rPr>
              <w:t>）表</w:t>
            </w:r>
            <w:r>
              <w:rPr>
                <w:rFonts w:ascii="Times New Roman" w:hAnsi="Times New Roman"/>
                <w:color w:val="auto"/>
                <w:sz w:val="24"/>
                <w:szCs w:val="24"/>
              </w:rPr>
              <w:t>1</w:t>
            </w:r>
            <w:r>
              <w:rPr>
                <w:rFonts w:hint="eastAsia" w:ascii="Times New Roman" w:hAnsi="Times New Roman"/>
                <w:color w:val="auto"/>
                <w:sz w:val="24"/>
                <w:szCs w:val="24"/>
              </w:rPr>
              <w:t>中工频电场</w:t>
            </w:r>
            <w:r>
              <w:rPr>
                <w:rFonts w:ascii="Times New Roman" w:hAnsi="Times New Roman"/>
                <w:color w:val="auto"/>
                <w:sz w:val="24"/>
                <w:szCs w:val="24"/>
              </w:rPr>
              <w:t>4000V/m</w:t>
            </w:r>
            <w:r>
              <w:rPr>
                <w:rFonts w:hint="eastAsia" w:ascii="Times New Roman" w:hAnsi="Times New Roman"/>
                <w:color w:val="auto"/>
                <w:sz w:val="24"/>
                <w:szCs w:val="24"/>
              </w:rPr>
              <w:t>、工频磁场</w:t>
            </w:r>
            <w:r>
              <w:rPr>
                <w:rFonts w:ascii="Times New Roman" w:hAnsi="Times New Roman"/>
                <w:color w:val="auto"/>
                <w:sz w:val="24"/>
                <w:szCs w:val="24"/>
              </w:rPr>
              <w:t>100μT</w:t>
            </w:r>
            <w:r>
              <w:rPr>
                <w:rFonts w:hint="eastAsia" w:ascii="Times New Roman" w:hAnsi="Times New Roman"/>
                <w:color w:val="auto"/>
                <w:sz w:val="24"/>
                <w:szCs w:val="24"/>
              </w:rPr>
              <w:t>公众曝露限值要求。</w:t>
            </w:r>
          </w:p>
          <w:p w14:paraId="6416DAF5">
            <w:pPr>
              <w:widowControl/>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因此</w:t>
            </w:r>
            <w:r>
              <w:rPr>
                <w:rFonts w:ascii="Times New Roman" w:hAnsi="Times New Roman"/>
                <w:color w:val="auto"/>
                <w:sz w:val="24"/>
                <w:szCs w:val="24"/>
              </w:rPr>
              <w:t>，无需采取进一步抬高导线或环保拆迁措施。</w:t>
            </w:r>
          </w:p>
          <w:p w14:paraId="5BDAE83B">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4.2.2 运行期声环境影响分析</w:t>
            </w:r>
          </w:p>
          <w:p w14:paraId="780C099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根据《环境影响评价技术导则</w:t>
            </w:r>
            <w:r>
              <w:rPr>
                <w:rFonts w:hint="eastAsia" w:ascii="Times New Roman" w:hAnsi="Times New Roman"/>
                <w:color w:val="auto"/>
                <w:sz w:val="24"/>
                <w:szCs w:val="24"/>
              </w:rPr>
              <w:t xml:space="preserve"> </w:t>
            </w:r>
            <w:r>
              <w:rPr>
                <w:rFonts w:ascii="Times New Roman" w:hAnsi="Times New Roman"/>
                <w:color w:val="auto"/>
                <w:sz w:val="24"/>
                <w:szCs w:val="24"/>
              </w:rPr>
              <w:t xml:space="preserve"> 输变电》（HJ24-2020），本项目架空输电线路声环境影响采用类比评价</w:t>
            </w:r>
            <w:r>
              <w:rPr>
                <w:rFonts w:hint="eastAsia" w:ascii="Times New Roman" w:hAnsi="Times New Roman"/>
                <w:color w:val="auto"/>
                <w:sz w:val="24"/>
                <w:szCs w:val="24"/>
              </w:rPr>
              <w:t>。</w:t>
            </w:r>
          </w:p>
          <w:p w14:paraId="00D967EA">
            <w:pPr>
              <w:adjustRightInd w:val="0"/>
              <w:snapToGrid w:val="0"/>
              <w:spacing w:line="440" w:lineRule="exact"/>
              <w:ind w:firstLine="482" w:firstLineChars="200"/>
              <w:rPr>
                <w:rFonts w:ascii="Times New Roman" w:hAnsi="Times New Roman"/>
                <w:b/>
                <w:color w:val="auto"/>
                <w:sz w:val="24"/>
              </w:rPr>
            </w:pPr>
            <w:r>
              <w:rPr>
                <w:rFonts w:ascii="Times New Roman" w:hAnsi="Times New Roman"/>
                <w:b/>
                <w:color w:val="auto"/>
                <w:sz w:val="24"/>
                <w:szCs w:val="24"/>
              </w:rPr>
              <w:t>4.2.2.1</w:t>
            </w:r>
            <w:r>
              <w:rPr>
                <w:rFonts w:ascii="Times New Roman" w:hAnsi="Times New Roman"/>
                <w:b/>
                <w:color w:val="auto"/>
                <w:sz w:val="24"/>
              </w:rPr>
              <w:t>输电线路声环境影响分析</w:t>
            </w:r>
          </w:p>
          <w:p w14:paraId="2F741F00">
            <w:pPr>
              <w:tabs>
                <w:tab w:val="left" w:pos="8814"/>
              </w:tabs>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 xml:space="preserve">本项目线路为架空线路。根据《环境影响评价技术导则 </w:t>
            </w:r>
            <w:r>
              <w:rPr>
                <w:rFonts w:hint="eastAsia" w:ascii="Times New Roman" w:hAnsi="Times New Roman"/>
                <w:color w:val="auto"/>
                <w:sz w:val="24"/>
              </w:rPr>
              <w:t xml:space="preserve"> </w:t>
            </w:r>
            <w:r>
              <w:rPr>
                <w:rFonts w:ascii="Times New Roman" w:hAnsi="Times New Roman"/>
                <w:color w:val="auto"/>
                <w:sz w:val="24"/>
              </w:rPr>
              <w:t>输变电》（HJ24-2020）。架空输电线路运行</w:t>
            </w:r>
            <w:r>
              <w:rPr>
                <w:rFonts w:hint="eastAsia" w:ascii="Times New Roman" w:hAnsi="Times New Roman"/>
                <w:color w:val="auto"/>
                <w:sz w:val="24"/>
              </w:rPr>
              <w:t>期间</w:t>
            </w:r>
            <w:r>
              <w:rPr>
                <w:rFonts w:ascii="Times New Roman" w:hAnsi="Times New Roman"/>
                <w:color w:val="auto"/>
                <w:sz w:val="24"/>
              </w:rPr>
              <w:t>，由于电晕放电会产生一定的可听噪声。架空输电线路噪声与电力负载和气象条件有着十分密切的关系，电力负载较大时，发出声音也就越大，反之声音减小。在晴天干燥天气条件下，导线通常在起晕水平以下运行，很少有电晕放电现象，因而噪声很小；在湿度较高或雨天条件下，由于水滴导致架空输电线局部电场强度的增加，从而产生频繁的电晕放电现象。本工程为拟建输电线路一般情况下，在干燥的天气条件下，导线通常运行在电晕起始电压水平以下，线路上只有很少的电晕源，因而不会产生很大的可听噪声。本工程输电线路投入运行后，对周边环境的噪声采用已运行的同类型线路监测进行类比分析。</w:t>
            </w:r>
          </w:p>
          <w:p w14:paraId="14D6162D">
            <w:pPr>
              <w:adjustRightInd w:val="0"/>
              <w:snapToGrid w:val="0"/>
              <w:spacing w:line="440" w:lineRule="exact"/>
              <w:ind w:firstLine="482" w:firstLineChars="200"/>
              <w:rPr>
                <w:rFonts w:ascii="Times New Roman" w:hAnsi="Times New Roman"/>
                <w:b/>
                <w:bCs/>
                <w:color w:val="auto"/>
                <w:sz w:val="24"/>
              </w:rPr>
            </w:pPr>
            <w:r>
              <w:rPr>
                <w:rFonts w:hint="eastAsia" w:ascii="Times New Roman" w:hAnsi="Times New Roman"/>
                <w:b/>
                <w:bCs/>
                <w:color w:val="auto"/>
                <w:sz w:val="24"/>
              </w:rPr>
              <w:t>（1）类比对象</w:t>
            </w:r>
          </w:p>
          <w:p w14:paraId="741D6CC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为预测本工程架空线路投运后的噪声水平，对同等级的线路进行了类比监测，本项目220</w:t>
            </w:r>
            <w:r>
              <w:rPr>
                <w:rFonts w:hint="eastAsia" w:ascii="Times New Roman" w:hAnsi="Times New Roman"/>
                <w:color w:val="auto"/>
                <w:sz w:val="24"/>
              </w:rPr>
              <w:t>kV</w:t>
            </w:r>
            <w:r>
              <w:rPr>
                <w:rFonts w:ascii="Times New Roman" w:hAnsi="Times New Roman"/>
                <w:color w:val="auto"/>
                <w:sz w:val="24"/>
              </w:rPr>
              <w:t>架空线路</w:t>
            </w:r>
            <w:r>
              <w:rPr>
                <w:rFonts w:hint="eastAsia" w:ascii="Times New Roman" w:hAnsi="Times New Roman"/>
                <w:color w:val="auto"/>
                <w:sz w:val="24"/>
              </w:rPr>
              <w:t>采用单回及双回路终端塔（双设单挂）架设，本项目单回路采用</w:t>
            </w:r>
            <w:r>
              <w:rPr>
                <w:rFonts w:ascii="Times New Roman" w:hAnsi="Times New Roman"/>
                <w:color w:val="auto"/>
                <w:sz w:val="24"/>
              </w:rPr>
              <w:t>类比</w:t>
            </w:r>
            <w:r>
              <w:rPr>
                <w:rFonts w:hint="eastAsia" w:ascii="Times New Roman" w:hAnsi="Times New Roman"/>
                <w:color w:val="auto"/>
                <w:sz w:val="24"/>
              </w:rPr>
              <w:t>220kV兰河线（</w:t>
            </w:r>
            <w:r>
              <w:rPr>
                <w:rFonts w:ascii="Times New Roman" w:hAnsi="Times New Roman"/>
                <w:color w:val="auto"/>
                <w:sz w:val="24"/>
              </w:rPr>
              <w:t>单回架设</w:t>
            </w:r>
            <w:r>
              <w:rPr>
                <w:rFonts w:hint="eastAsia" w:ascii="Times New Roman" w:hAnsi="Times New Roman"/>
                <w:color w:val="auto"/>
                <w:sz w:val="24"/>
              </w:rPr>
              <w:t>）</w:t>
            </w:r>
            <w:r>
              <w:rPr>
                <w:rFonts w:ascii="Times New Roman" w:hAnsi="Times New Roman"/>
                <w:color w:val="auto"/>
                <w:sz w:val="24"/>
              </w:rPr>
              <w:t>噪声监测值进行类比验证</w:t>
            </w:r>
            <w:r>
              <w:rPr>
                <w:rFonts w:hint="eastAsia" w:ascii="Times New Roman" w:hAnsi="Times New Roman"/>
                <w:color w:val="auto"/>
                <w:sz w:val="24"/>
              </w:rPr>
              <w:t>，双设单挂架设采用类比220kV兰昌I回、220kV兰河线同塔双回噪声监测值进行类比验证</w:t>
            </w:r>
            <w:r>
              <w:rPr>
                <w:rFonts w:ascii="Times New Roman" w:hAnsi="Times New Roman"/>
                <w:color w:val="auto"/>
                <w:sz w:val="24"/>
              </w:rPr>
              <w:t>。本工程拟建</w:t>
            </w:r>
            <w:r>
              <w:rPr>
                <w:rFonts w:hint="eastAsia" w:ascii="Times New Roman" w:hAnsi="Times New Roman"/>
                <w:color w:val="auto"/>
                <w:sz w:val="24"/>
              </w:rPr>
              <w:t>220kV</w:t>
            </w:r>
            <w:r>
              <w:rPr>
                <w:rFonts w:ascii="Times New Roman" w:hAnsi="Times New Roman"/>
                <w:color w:val="auto"/>
                <w:sz w:val="24"/>
              </w:rPr>
              <w:t>架空线路与类比线路主要技术指标对比见表4-</w:t>
            </w:r>
            <w:r>
              <w:rPr>
                <w:rFonts w:hint="eastAsia" w:ascii="Times New Roman" w:hAnsi="Times New Roman"/>
                <w:color w:val="auto"/>
                <w:sz w:val="24"/>
              </w:rPr>
              <w:t>12</w:t>
            </w:r>
            <w:r>
              <w:rPr>
                <w:rFonts w:ascii="Times New Roman" w:hAnsi="Times New Roman"/>
                <w:color w:val="auto"/>
                <w:sz w:val="24"/>
              </w:rPr>
              <w:t>。</w:t>
            </w:r>
          </w:p>
          <w:p w14:paraId="27E35890">
            <w:pPr>
              <w:adjustRightInd w:val="0"/>
              <w:snapToGrid w:val="0"/>
              <w:ind w:firstLine="482" w:firstLineChars="200"/>
              <w:jc w:val="center"/>
              <w:rPr>
                <w:rFonts w:ascii="Times New Roman" w:hAnsi="Times New Roman"/>
                <w:b/>
                <w:color w:val="auto"/>
                <w:sz w:val="24"/>
                <w:szCs w:val="24"/>
              </w:rPr>
            </w:pPr>
            <w:r>
              <w:rPr>
                <w:rFonts w:ascii="Times New Roman" w:hAnsi="Times New Roman"/>
                <w:b/>
                <w:color w:val="auto"/>
                <w:sz w:val="24"/>
                <w:szCs w:val="24"/>
              </w:rPr>
              <w:t>表4-</w:t>
            </w:r>
            <w:r>
              <w:rPr>
                <w:rFonts w:hint="eastAsia" w:ascii="Times New Roman" w:hAnsi="Times New Roman"/>
                <w:b/>
                <w:color w:val="auto"/>
                <w:sz w:val="24"/>
                <w:szCs w:val="24"/>
              </w:rPr>
              <w:t xml:space="preserve">12  </w:t>
            </w:r>
            <w:r>
              <w:rPr>
                <w:rFonts w:ascii="Times New Roman" w:hAnsi="Times New Roman"/>
                <w:b/>
                <w:color w:val="auto"/>
                <w:sz w:val="24"/>
                <w:szCs w:val="24"/>
              </w:rPr>
              <w:t>类比线路参数一览表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505"/>
              <w:gridCol w:w="1493"/>
              <w:gridCol w:w="1644"/>
              <w:gridCol w:w="1743"/>
              <w:gridCol w:w="801"/>
            </w:tblGrid>
            <w:tr w14:paraId="34B56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57C96002">
                  <w:pPr>
                    <w:adjustRightInd w:val="0"/>
                    <w:snapToGrid w:val="0"/>
                    <w:jc w:val="center"/>
                    <w:rPr>
                      <w:rFonts w:ascii="Times New Roman" w:hAnsi="Times New Roman"/>
                      <w:b/>
                      <w:color w:val="auto"/>
                      <w:szCs w:val="21"/>
                    </w:rPr>
                  </w:pPr>
                  <w:r>
                    <w:rPr>
                      <w:rFonts w:ascii="Times New Roman" w:hAnsi="Times New Roman"/>
                      <w:b/>
                      <w:color w:val="auto"/>
                      <w:szCs w:val="21"/>
                    </w:rPr>
                    <w:t>主要指标</w:t>
                  </w:r>
                </w:p>
              </w:tc>
              <w:tc>
                <w:tcPr>
                  <w:tcW w:w="1777" w:type="pct"/>
                  <w:gridSpan w:val="2"/>
                  <w:vAlign w:val="center"/>
                </w:tcPr>
                <w:p w14:paraId="63750271">
                  <w:pPr>
                    <w:adjustRightInd w:val="0"/>
                    <w:snapToGrid w:val="0"/>
                    <w:jc w:val="center"/>
                    <w:rPr>
                      <w:rFonts w:ascii="Times New Roman" w:hAnsi="Times New Roman"/>
                      <w:b/>
                      <w:color w:val="auto"/>
                      <w:szCs w:val="21"/>
                    </w:rPr>
                  </w:pPr>
                  <w:r>
                    <w:rPr>
                      <w:rFonts w:ascii="Times New Roman" w:hAnsi="Times New Roman"/>
                      <w:b/>
                      <w:color w:val="auto"/>
                      <w:szCs w:val="21"/>
                    </w:rPr>
                    <w:t>本次</w:t>
                  </w:r>
                  <w:r>
                    <w:rPr>
                      <w:rFonts w:hint="eastAsia" w:ascii="Times New Roman" w:hAnsi="Times New Roman"/>
                      <w:b/>
                      <w:color w:val="auto"/>
                      <w:szCs w:val="21"/>
                    </w:rPr>
                    <w:t>评价项目</w:t>
                  </w:r>
                </w:p>
              </w:tc>
              <w:tc>
                <w:tcPr>
                  <w:tcW w:w="2009" w:type="pct"/>
                  <w:gridSpan w:val="2"/>
                  <w:vAlign w:val="center"/>
                </w:tcPr>
                <w:p w14:paraId="1AEBA177">
                  <w:pPr>
                    <w:adjustRightInd w:val="0"/>
                    <w:snapToGrid w:val="0"/>
                    <w:jc w:val="center"/>
                    <w:rPr>
                      <w:rFonts w:ascii="Times New Roman" w:hAnsi="Times New Roman"/>
                      <w:b/>
                      <w:color w:val="auto"/>
                      <w:szCs w:val="21"/>
                    </w:rPr>
                  </w:pPr>
                  <w:r>
                    <w:rPr>
                      <w:rFonts w:ascii="Times New Roman" w:hAnsi="Times New Roman"/>
                      <w:b/>
                      <w:color w:val="auto"/>
                      <w:szCs w:val="21"/>
                    </w:rPr>
                    <w:t>类比项目</w:t>
                  </w:r>
                </w:p>
              </w:tc>
              <w:tc>
                <w:tcPr>
                  <w:tcW w:w="475" w:type="pct"/>
                  <w:vAlign w:val="center"/>
                </w:tcPr>
                <w:p w14:paraId="5C9E01BC">
                  <w:pPr>
                    <w:adjustRightInd w:val="0"/>
                    <w:snapToGrid w:val="0"/>
                    <w:jc w:val="center"/>
                    <w:rPr>
                      <w:rFonts w:ascii="Times New Roman" w:hAnsi="Times New Roman"/>
                      <w:b/>
                      <w:color w:val="auto"/>
                      <w:szCs w:val="21"/>
                    </w:rPr>
                  </w:pPr>
                </w:p>
              </w:tc>
            </w:tr>
            <w:tr w14:paraId="03ED9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2E94BCC9">
                  <w:pPr>
                    <w:adjustRightInd w:val="0"/>
                    <w:snapToGrid w:val="0"/>
                    <w:jc w:val="center"/>
                    <w:rPr>
                      <w:rFonts w:ascii="Times New Roman" w:hAnsi="Times New Roman"/>
                      <w:color w:val="auto"/>
                      <w:szCs w:val="21"/>
                    </w:rPr>
                  </w:pPr>
                  <w:r>
                    <w:rPr>
                      <w:rFonts w:hint="eastAsia" w:ascii="Times New Roman" w:hAnsi="Times New Roman"/>
                      <w:color w:val="auto"/>
                      <w:szCs w:val="21"/>
                    </w:rPr>
                    <w:t>线路</w:t>
                  </w:r>
                </w:p>
              </w:tc>
              <w:tc>
                <w:tcPr>
                  <w:tcW w:w="1777" w:type="pct"/>
                  <w:gridSpan w:val="2"/>
                  <w:vAlign w:val="center"/>
                </w:tcPr>
                <w:p w14:paraId="1B1B2564">
                  <w:pPr>
                    <w:adjustRightInd w:val="0"/>
                    <w:snapToGrid w:val="0"/>
                    <w:jc w:val="center"/>
                    <w:rPr>
                      <w:rFonts w:ascii="Times New Roman" w:hAnsi="Times New Roman"/>
                      <w:bCs/>
                      <w:color w:val="auto"/>
                      <w:szCs w:val="21"/>
                    </w:rPr>
                  </w:pPr>
                  <w:r>
                    <w:rPr>
                      <w:rFonts w:hint="eastAsia" w:ascii="Times New Roman" w:hAnsi="Times New Roman"/>
                      <w:bCs/>
                      <w:color w:val="auto"/>
                      <w:szCs w:val="21"/>
                    </w:rPr>
                    <w:t>新建1回220kV线路</w:t>
                  </w:r>
                </w:p>
              </w:tc>
              <w:tc>
                <w:tcPr>
                  <w:tcW w:w="975" w:type="pct"/>
                  <w:vAlign w:val="center"/>
                </w:tcPr>
                <w:p w14:paraId="7B7633E8">
                  <w:pPr>
                    <w:adjustRightInd w:val="0"/>
                    <w:snapToGrid w:val="0"/>
                    <w:jc w:val="center"/>
                    <w:rPr>
                      <w:rFonts w:ascii="Times New Roman" w:hAnsi="Times New Roman"/>
                      <w:bCs/>
                      <w:color w:val="auto"/>
                      <w:szCs w:val="21"/>
                    </w:rPr>
                  </w:pPr>
                  <w:r>
                    <w:rPr>
                      <w:rFonts w:hint="eastAsia" w:ascii="Times New Roman" w:hAnsi="Times New Roman"/>
                      <w:bCs/>
                      <w:color w:val="auto"/>
                      <w:szCs w:val="21"/>
                    </w:rPr>
                    <w:t>220kV兰河线</w:t>
                  </w:r>
                </w:p>
              </w:tc>
              <w:tc>
                <w:tcPr>
                  <w:tcW w:w="1034" w:type="pct"/>
                  <w:vAlign w:val="center"/>
                </w:tcPr>
                <w:p w14:paraId="00B24F89">
                  <w:pPr>
                    <w:adjustRightInd w:val="0"/>
                    <w:snapToGrid w:val="0"/>
                    <w:jc w:val="center"/>
                    <w:rPr>
                      <w:rFonts w:ascii="Times New Roman" w:hAnsi="Times New Roman"/>
                      <w:bCs/>
                      <w:color w:val="auto"/>
                      <w:szCs w:val="21"/>
                    </w:rPr>
                  </w:pPr>
                  <w:r>
                    <w:rPr>
                      <w:rFonts w:hint="eastAsia" w:ascii="Times New Roman" w:hAnsi="Times New Roman"/>
                      <w:bCs/>
                      <w:color w:val="auto"/>
                      <w:szCs w:val="21"/>
                    </w:rPr>
                    <w:t>220kV兰昌I回、220kV兰河线</w:t>
                  </w:r>
                </w:p>
              </w:tc>
              <w:tc>
                <w:tcPr>
                  <w:tcW w:w="475" w:type="pct"/>
                  <w:vAlign w:val="center"/>
                </w:tcPr>
                <w:p w14:paraId="53A1DECF">
                  <w:pPr>
                    <w:adjustRightInd w:val="0"/>
                    <w:snapToGrid w:val="0"/>
                    <w:jc w:val="center"/>
                    <w:rPr>
                      <w:rFonts w:ascii="Times New Roman" w:hAnsi="Times New Roman"/>
                      <w:bCs/>
                      <w:color w:val="auto"/>
                      <w:szCs w:val="21"/>
                    </w:rPr>
                  </w:pPr>
                  <w:r>
                    <w:rPr>
                      <w:rFonts w:hint="eastAsia" w:ascii="Times New Roman" w:hAnsi="Times New Roman"/>
                      <w:bCs/>
                      <w:color w:val="auto"/>
                      <w:szCs w:val="21"/>
                    </w:rPr>
                    <w:t>类比结果</w:t>
                  </w:r>
                </w:p>
              </w:tc>
            </w:tr>
            <w:tr w14:paraId="43C1D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4C34F553">
                  <w:pPr>
                    <w:adjustRightInd w:val="0"/>
                    <w:snapToGrid w:val="0"/>
                    <w:jc w:val="center"/>
                    <w:rPr>
                      <w:rFonts w:ascii="Times New Roman" w:hAnsi="Times New Roman"/>
                      <w:color w:val="auto"/>
                      <w:szCs w:val="21"/>
                    </w:rPr>
                  </w:pPr>
                  <w:r>
                    <w:rPr>
                      <w:rFonts w:ascii="Times New Roman" w:hAnsi="Times New Roman"/>
                      <w:color w:val="auto"/>
                      <w:szCs w:val="21"/>
                    </w:rPr>
                    <w:t>电压等级</w:t>
                  </w:r>
                </w:p>
              </w:tc>
              <w:tc>
                <w:tcPr>
                  <w:tcW w:w="1777" w:type="pct"/>
                  <w:gridSpan w:val="2"/>
                  <w:vAlign w:val="center"/>
                </w:tcPr>
                <w:p w14:paraId="26B45D47">
                  <w:pPr>
                    <w:adjustRightInd w:val="0"/>
                    <w:snapToGrid w:val="0"/>
                    <w:jc w:val="center"/>
                    <w:rPr>
                      <w:rFonts w:ascii="Times New Roman" w:hAnsi="Times New Roman"/>
                      <w:color w:val="auto"/>
                      <w:szCs w:val="21"/>
                    </w:rPr>
                  </w:pPr>
                  <w:r>
                    <w:rPr>
                      <w:rFonts w:hint="eastAsia" w:ascii="Times New Roman" w:hAnsi="Times New Roman"/>
                      <w:color w:val="auto"/>
                      <w:szCs w:val="21"/>
                    </w:rPr>
                    <w:t>22</w:t>
                  </w:r>
                  <w:r>
                    <w:rPr>
                      <w:rFonts w:ascii="Times New Roman" w:hAnsi="Times New Roman"/>
                      <w:color w:val="auto"/>
                      <w:szCs w:val="21"/>
                    </w:rPr>
                    <w:t>0</w:t>
                  </w:r>
                  <w:r>
                    <w:rPr>
                      <w:rFonts w:hint="eastAsia" w:ascii="Times New Roman" w:hAnsi="Times New Roman"/>
                      <w:color w:val="auto"/>
                      <w:szCs w:val="21"/>
                    </w:rPr>
                    <w:t>kV</w:t>
                  </w:r>
                </w:p>
              </w:tc>
              <w:tc>
                <w:tcPr>
                  <w:tcW w:w="975" w:type="pct"/>
                  <w:vAlign w:val="center"/>
                </w:tcPr>
                <w:p w14:paraId="706B2463">
                  <w:pPr>
                    <w:adjustRightInd w:val="0"/>
                    <w:snapToGrid w:val="0"/>
                    <w:jc w:val="center"/>
                    <w:rPr>
                      <w:rFonts w:ascii="Times New Roman" w:hAnsi="Times New Roman"/>
                      <w:color w:val="auto"/>
                      <w:szCs w:val="21"/>
                    </w:rPr>
                  </w:pPr>
                  <w:r>
                    <w:rPr>
                      <w:rFonts w:hint="eastAsia" w:ascii="Times New Roman" w:hAnsi="Times New Roman"/>
                      <w:color w:val="auto"/>
                      <w:szCs w:val="21"/>
                    </w:rPr>
                    <w:t>22</w:t>
                  </w:r>
                  <w:r>
                    <w:rPr>
                      <w:rFonts w:ascii="Times New Roman" w:hAnsi="Times New Roman"/>
                      <w:color w:val="auto"/>
                      <w:szCs w:val="21"/>
                    </w:rPr>
                    <w:t>0</w:t>
                  </w:r>
                  <w:r>
                    <w:rPr>
                      <w:rFonts w:hint="eastAsia" w:ascii="Times New Roman" w:hAnsi="Times New Roman"/>
                      <w:color w:val="auto"/>
                      <w:szCs w:val="21"/>
                    </w:rPr>
                    <w:t>kV</w:t>
                  </w:r>
                </w:p>
              </w:tc>
              <w:tc>
                <w:tcPr>
                  <w:tcW w:w="1034" w:type="pct"/>
                  <w:shd w:val="clear" w:color="auto" w:fill="auto"/>
                  <w:vAlign w:val="center"/>
                </w:tcPr>
                <w:p w14:paraId="595FE1A0">
                  <w:pPr>
                    <w:adjustRightInd w:val="0"/>
                    <w:snapToGrid w:val="0"/>
                    <w:jc w:val="center"/>
                    <w:rPr>
                      <w:rFonts w:ascii="Times New Roman" w:hAnsi="Times New Roman"/>
                      <w:color w:val="auto"/>
                      <w:szCs w:val="21"/>
                    </w:rPr>
                  </w:pPr>
                  <w:r>
                    <w:rPr>
                      <w:rFonts w:hint="eastAsia" w:ascii="Times New Roman" w:hAnsi="Times New Roman"/>
                      <w:color w:val="auto"/>
                      <w:szCs w:val="21"/>
                    </w:rPr>
                    <w:t>22</w:t>
                  </w:r>
                  <w:r>
                    <w:rPr>
                      <w:rFonts w:ascii="Times New Roman" w:hAnsi="Times New Roman"/>
                      <w:color w:val="auto"/>
                      <w:szCs w:val="21"/>
                    </w:rPr>
                    <w:t>0</w:t>
                  </w:r>
                  <w:r>
                    <w:rPr>
                      <w:rFonts w:hint="eastAsia" w:ascii="Times New Roman" w:hAnsi="Times New Roman"/>
                      <w:color w:val="auto"/>
                      <w:szCs w:val="21"/>
                    </w:rPr>
                    <w:t>kV</w:t>
                  </w:r>
                </w:p>
              </w:tc>
              <w:tc>
                <w:tcPr>
                  <w:tcW w:w="475" w:type="pct"/>
                  <w:vAlign w:val="center"/>
                </w:tcPr>
                <w:p w14:paraId="4E5F941C">
                  <w:pPr>
                    <w:adjustRightInd w:val="0"/>
                    <w:snapToGrid w:val="0"/>
                    <w:jc w:val="center"/>
                    <w:rPr>
                      <w:rFonts w:ascii="Times New Roman" w:hAnsi="Times New Roman"/>
                      <w:color w:val="auto"/>
                      <w:szCs w:val="21"/>
                    </w:rPr>
                  </w:pPr>
                  <w:r>
                    <w:rPr>
                      <w:rFonts w:hint="eastAsia" w:ascii="Times New Roman" w:hAnsi="Times New Roman"/>
                      <w:color w:val="auto"/>
                      <w:szCs w:val="21"/>
                    </w:rPr>
                    <w:t>一致</w:t>
                  </w:r>
                </w:p>
              </w:tc>
            </w:tr>
            <w:tr w14:paraId="272E4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7FBA1936">
                  <w:pPr>
                    <w:adjustRightInd w:val="0"/>
                    <w:snapToGrid w:val="0"/>
                    <w:jc w:val="center"/>
                    <w:rPr>
                      <w:rFonts w:ascii="Times New Roman" w:hAnsi="Times New Roman"/>
                      <w:color w:val="auto"/>
                      <w:szCs w:val="21"/>
                    </w:rPr>
                  </w:pPr>
                  <w:r>
                    <w:rPr>
                      <w:rFonts w:hint="eastAsia" w:ascii="Times New Roman" w:hAnsi="Times New Roman"/>
                      <w:color w:val="auto"/>
                      <w:szCs w:val="21"/>
                    </w:rPr>
                    <w:t>建设规模</w:t>
                  </w:r>
                </w:p>
              </w:tc>
              <w:tc>
                <w:tcPr>
                  <w:tcW w:w="1777" w:type="pct"/>
                  <w:gridSpan w:val="2"/>
                  <w:vAlign w:val="center"/>
                </w:tcPr>
                <w:p w14:paraId="216630F1">
                  <w:pPr>
                    <w:adjustRightInd w:val="0"/>
                    <w:snapToGrid w:val="0"/>
                    <w:jc w:val="center"/>
                    <w:rPr>
                      <w:rFonts w:ascii="Times New Roman" w:hAnsi="Times New Roman"/>
                      <w:color w:val="auto"/>
                      <w:szCs w:val="21"/>
                    </w:rPr>
                  </w:pPr>
                  <w:r>
                    <w:rPr>
                      <w:rFonts w:hint="eastAsia" w:ascii="Times New Roman" w:hAnsi="Times New Roman"/>
                      <w:color w:val="auto"/>
                      <w:szCs w:val="21"/>
                    </w:rPr>
                    <w:t>1回</w:t>
                  </w:r>
                </w:p>
              </w:tc>
              <w:tc>
                <w:tcPr>
                  <w:tcW w:w="975" w:type="pct"/>
                  <w:vAlign w:val="center"/>
                </w:tcPr>
                <w:p w14:paraId="68705EFF">
                  <w:pPr>
                    <w:adjustRightInd w:val="0"/>
                    <w:snapToGrid w:val="0"/>
                    <w:jc w:val="center"/>
                    <w:rPr>
                      <w:rFonts w:ascii="Times New Roman" w:hAnsi="Times New Roman"/>
                      <w:color w:val="auto"/>
                      <w:szCs w:val="21"/>
                    </w:rPr>
                  </w:pPr>
                  <w:r>
                    <w:rPr>
                      <w:rFonts w:hint="eastAsia" w:ascii="Times New Roman" w:hAnsi="Times New Roman"/>
                      <w:color w:val="auto"/>
                      <w:szCs w:val="21"/>
                    </w:rPr>
                    <w:t>1回</w:t>
                  </w:r>
                </w:p>
              </w:tc>
              <w:tc>
                <w:tcPr>
                  <w:tcW w:w="1034" w:type="pct"/>
                  <w:shd w:val="clear" w:color="auto" w:fill="auto"/>
                  <w:vAlign w:val="center"/>
                </w:tcPr>
                <w:p w14:paraId="39F9477C">
                  <w:pPr>
                    <w:adjustRightInd w:val="0"/>
                    <w:snapToGrid w:val="0"/>
                    <w:jc w:val="center"/>
                    <w:rPr>
                      <w:rFonts w:ascii="Times New Roman" w:hAnsi="Times New Roman"/>
                      <w:color w:val="auto"/>
                      <w:szCs w:val="21"/>
                    </w:rPr>
                  </w:pPr>
                  <w:r>
                    <w:rPr>
                      <w:rFonts w:hint="eastAsia" w:ascii="Times New Roman" w:hAnsi="Times New Roman"/>
                      <w:color w:val="auto"/>
                      <w:szCs w:val="21"/>
                    </w:rPr>
                    <w:t>1回</w:t>
                  </w:r>
                </w:p>
              </w:tc>
              <w:tc>
                <w:tcPr>
                  <w:tcW w:w="475" w:type="pct"/>
                  <w:vAlign w:val="center"/>
                </w:tcPr>
                <w:p w14:paraId="2B383AA3">
                  <w:pPr>
                    <w:adjustRightInd w:val="0"/>
                    <w:snapToGrid w:val="0"/>
                    <w:jc w:val="center"/>
                    <w:rPr>
                      <w:rFonts w:ascii="Times New Roman" w:hAnsi="Times New Roman"/>
                      <w:color w:val="auto"/>
                      <w:szCs w:val="21"/>
                    </w:rPr>
                  </w:pPr>
                  <w:r>
                    <w:rPr>
                      <w:rFonts w:hint="eastAsia" w:ascii="Times New Roman" w:hAnsi="Times New Roman"/>
                      <w:color w:val="auto"/>
                      <w:szCs w:val="21"/>
                    </w:rPr>
                    <w:t>一致</w:t>
                  </w:r>
                </w:p>
              </w:tc>
            </w:tr>
            <w:tr w14:paraId="1DCD8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35D3BA03">
                  <w:pPr>
                    <w:adjustRightInd w:val="0"/>
                    <w:snapToGrid w:val="0"/>
                    <w:jc w:val="center"/>
                    <w:rPr>
                      <w:rFonts w:ascii="Times New Roman" w:hAnsi="Times New Roman"/>
                      <w:color w:val="auto"/>
                      <w:szCs w:val="21"/>
                    </w:rPr>
                  </w:pPr>
                  <w:r>
                    <w:rPr>
                      <w:rFonts w:ascii="Times New Roman" w:hAnsi="Times New Roman"/>
                      <w:color w:val="auto"/>
                      <w:szCs w:val="21"/>
                    </w:rPr>
                    <w:t>架设方式</w:t>
                  </w:r>
                </w:p>
              </w:tc>
              <w:tc>
                <w:tcPr>
                  <w:tcW w:w="892" w:type="pct"/>
                  <w:vAlign w:val="center"/>
                </w:tcPr>
                <w:p w14:paraId="1693D710">
                  <w:pPr>
                    <w:adjustRightInd w:val="0"/>
                    <w:snapToGrid w:val="0"/>
                    <w:jc w:val="center"/>
                    <w:rPr>
                      <w:rFonts w:ascii="Times New Roman" w:hAnsi="Times New Roman"/>
                      <w:color w:val="auto"/>
                      <w:szCs w:val="21"/>
                    </w:rPr>
                  </w:pPr>
                  <w:r>
                    <w:rPr>
                      <w:rFonts w:hint="eastAsia" w:ascii="Times New Roman" w:hAnsi="Times New Roman"/>
                      <w:color w:val="auto"/>
                      <w:szCs w:val="21"/>
                    </w:rPr>
                    <w:t>单</w:t>
                  </w:r>
                  <w:r>
                    <w:rPr>
                      <w:rFonts w:ascii="Times New Roman" w:hAnsi="Times New Roman"/>
                      <w:color w:val="auto"/>
                      <w:szCs w:val="21"/>
                    </w:rPr>
                    <w:t>回架设</w:t>
                  </w:r>
                </w:p>
              </w:tc>
              <w:tc>
                <w:tcPr>
                  <w:tcW w:w="885" w:type="pct"/>
                  <w:vAlign w:val="center"/>
                </w:tcPr>
                <w:p w14:paraId="40AE4FB6">
                  <w:pPr>
                    <w:adjustRightInd w:val="0"/>
                    <w:snapToGrid w:val="0"/>
                    <w:jc w:val="center"/>
                    <w:rPr>
                      <w:rFonts w:ascii="Times New Roman" w:hAnsi="Times New Roman"/>
                      <w:color w:val="auto"/>
                      <w:szCs w:val="21"/>
                    </w:rPr>
                  </w:pPr>
                  <w:r>
                    <w:rPr>
                      <w:rFonts w:hint="eastAsia" w:ascii="Times New Roman" w:hAnsi="Times New Roman"/>
                      <w:color w:val="auto"/>
                      <w:szCs w:val="21"/>
                    </w:rPr>
                    <w:t>双设单挂架设</w:t>
                  </w:r>
                </w:p>
              </w:tc>
              <w:tc>
                <w:tcPr>
                  <w:tcW w:w="975" w:type="pct"/>
                  <w:vAlign w:val="center"/>
                </w:tcPr>
                <w:p w14:paraId="7A34DD38">
                  <w:pPr>
                    <w:adjustRightInd w:val="0"/>
                    <w:snapToGrid w:val="0"/>
                    <w:jc w:val="center"/>
                    <w:rPr>
                      <w:rFonts w:ascii="Times New Roman" w:hAnsi="Times New Roman"/>
                      <w:color w:val="auto"/>
                      <w:szCs w:val="21"/>
                    </w:rPr>
                  </w:pPr>
                  <w:r>
                    <w:rPr>
                      <w:rFonts w:hint="eastAsia" w:ascii="Times New Roman" w:hAnsi="Times New Roman"/>
                      <w:color w:val="auto"/>
                      <w:szCs w:val="21"/>
                    </w:rPr>
                    <w:t>单</w:t>
                  </w:r>
                  <w:r>
                    <w:rPr>
                      <w:rFonts w:ascii="Times New Roman" w:hAnsi="Times New Roman"/>
                      <w:color w:val="auto"/>
                      <w:szCs w:val="21"/>
                    </w:rPr>
                    <w:t>回架设</w:t>
                  </w:r>
                </w:p>
              </w:tc>
              <w:tc>
                <w:tcPr>
                  <w:tcW w:w="1034" w:type="pct"/>
                  <w:vAlign w:val="center"/>
                </w:tcPr>
                <w:p w14:paraId="5917A0F5">
                  <w:pPr>
                    <w:adjustRightInd w:val="0"/>
                    <w:snapToGrid w:val="0"/>
                    <w:jc w:val="center"/>
                    <w:rPr>
                      <w:rFonts w:ascii="Times New Roman" w:hAnsi="Times New Roman"/>
                      <w:color w:val="auto"/>
                      <w:szCs w:val="21"/>
                    </w:rPr>
                  </w:pPr>
                  <w:r>
                    <w:rPr>
                      <w:rFonts w:hint="eastAsia" w:ascii="Times New Roman" w:hAnsi="Times New Roman"/>
                      <w:color w:val="auto"/>
                      <w:szCs w:val="21"/>
                    </w:rPr>
                    <w:t>双回路</w:t>
                  </w:r>
                </w:p>
              </w:tc>
              <w:tc>
                <w:tcPr>
                  <w:tcW w:w="475" w:type="pct"/>
                  <w:vAlign w:val="center"/>
                </w:tcPr>
                <w:p w14:paraId="7A86BB54">
                  <w:pPr>
                    <w:adjustRightInd w:val="0"/>
                    <w:snapToGrid w:val="0"/>
                    <w:jc w:val="center"/>
                    <w:rPr>
                      <w:rFonts w:ascii="Times New Roman" w:hAnsi="Times New Roman"/>
                      <w:color w:val="auto"/>
                      <w:szCs w:val="21"/>
                    </w:rPr>
                  </w:pPr>
                  <w:r>
                    <w:rPr>
                      <w:rFonts w:hint="eastAsia" w:ascii="Times New Roman" w:hAnsi="Times New Roman"/>
                      <w:color w:val="auto"/>
                      <w:szCs w:val="21"/>
                    </w:rPr>
                    <w:t>一致</w:t>
                  </w:r>
                </w:p>
              </w:tc>
            </w:tr>
            <w:tr w14:paraId="1B471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71CEC74F">
                  <w:pPr>
                    <w:adjustRightInd w:val="0"/>
                    <w:snapToGrid w:val="0"/>
                    <w:jc w:val="center"/>
                    <w:rPr>
                      <w:rFonts w:ascii="Times New Roman" w:hAnsi="Times New Roman"/>
                      <w:color w:val="auto"/>
                      <w:szCs w:val="21"/>
                    </w:rPr>
                  </w:pPr>
                  <w:r>
                    <w:rPr>
                      <w:rFonts w:ascii="Times New Roman" w:hAnsi="Times New Roman"/>
                      <w:color w:val="auto"/>
                      <w:szCs w:val="21"/>
                    </w:rPr>
                    <w:t>悬挂方式</w:t>
                  </w:r>
                </w:p>
              </w:tc>
              <w:tc>
                <w:tcPr>
                  <w:tcW w:w="892" w:type="pct"/>
                  <w:vAlign w:val="center"/>
                </w:tcPr>
                <w:p w14:paraId="24C10BF3">
                  <w:pPr>
                    <w:adjustRightInd w:val="0"/>
                    <w:snapToGrid w:val="0"/>
                    <w:jc w:val="center"/>
                    <w:rPr>
                      <w:rFonts w:ascii="Times New Roman" w:hAnsi="Times New Roman"/>
                      <w:color w:val="auto"/>
                      <w:szCs w:val="21"/>
                    </w:rPr>
                  </w:pPr>
                  <w:r>
                    <w:rPr>
                      <w:rFonts w:hint="eastAsia" w:ascii="Times New Roman" w:hAnsi="Times New Roman"/>
                      <w:color w:val="auto"/>
                      <w:szCs w:val="21"/>
                    </w:rPr>
                    <w:t>三角</w:t>
                  </w:r>
                  <w:r>
                    <w:rPr>
                      <w:rFonts w:ascii="Times New Roman" w:hAnsi="Times New Roman"/>
                      <w:color w:val="auto"/>
                      <w:szCs w:val="21"/>
                    </w:rPr>
                    <w:t>排列</w:t>
                  </w:r>
                  <w:r>
                    <w:rPr>
                      <w:rFonts w:hint="eastAsia" w:ascii="Times New Roman" w:hAnsi="Times New Roman"/>
                      <w:color w:val="auto"/>
                      <w:szCs w:val="21"/>
                    </w:rPr>
                    <w:t>、水平排列</w:t>
                  </w:r>
                </w:p>
              </w:tc>
              <w:tc>
                <w:tcPr>
                  <w:tcW w:w="885" w:type="pct"/>
                  <w:vAlign w:val="center"/>
                </w:tcPr>
                <w:p w14:paraId="1CF432A2">
                  <w:pPr>
                    <w:adjustRightInd w:val="0"/>
                    <w:snapToGrid w:val="0"/>
                    <w:jc w:val="center"/>
                    <w:rPr>
                      <w:rFonts w:ascii="Times New Roman" w:hAnsi="Times New Roman"/>
                      <w:color w:val="auto"/>
                      <w:szCs w:val="21"/>
                    </w:rPr>
                  </w:pPr>
                  <w:r>
                    <w:rPr>
                      <w:rFonts w:hint="eastAsia" w:ascii="Times New Roman" w:hAnsi="Times New Roman"/>
                      <w:color w:val="auto"/>
                      <w:szCs w:val="21"/>
                    </w:rPr>
                    <w:t>垂直排列</w:t>
                  </w:r>
                </w:p>
              </w:tc>
              <w:tc>
                <w:tcPr>
                  <w:tcW w:w="975" w:type="pct"/>
                  <w:vAlign w:val="center"/>
                </w:tcPr>
                <w:p w14:paraId="5F474405">
                  <w:pPr>
                    <w:adjustRightInd w:val="0"/>
                    <w:snapToGrid w:val="0"/>
                    <w:jc w:val="center"/>
                    <w:rPr>
                      <w:rFonts w:ascii="Times New Roman" w:hAnsi="Times New Roman"/>
                      <w:color w:val="auto"/>
                      <w:szCs w:val="21"/>
                    </w:rPr>
                  </w:pPr>
                  <w:r>
                    <w:rPr>
                      <w:rFonts w:hint="eastAsia" w:ascii="Times New Roman" w:hAnsi="Times New Roman"/>
                      <w:color w:val="auto"/>
                      <w:szCs w:val="21"/>
                    </w:rPr>
                    <w:t>三角</w:t>
                  </w:r>
                  <w:r>
                    <w:rPr>
                      <w:rFonts w:ascii="Times New Roman" w:hAnsi="Times New Roman"/>
                      <w:color w:val="auto"/>
                      <w:szCs w:val="21"/>
                    </w:rPr>
                    <w:t>排列</w:t>
                  </w:r>
                </w:p>
              </w:tc>
              <w:tc>
                <w:tcPr>
                  <w:tcW w:w="1034" w:type="pct"/>
                  <w:vAlign w:val="center"/>
                </w:tcPr>
                <w:p w14:paraId="4C09657B">
                  <w:pPr>
                    <w:adjustRightInd w:val="0"/>
                    <w:snapToGrid w:val="0"/>
                    <w:jc w:val="center"/>
                    <w:rPr>
                      <w:rFonts w:ascii="Times New Roman" w:hAnsi="Times New Roman"/>
                      <w:color w:val="auto"/>
                      <w:szCs w:val="21"/>
                    </w:rPr>
                  </w:pPr>
                  <w:r>
                    <w:rPr>
                      <w:rFonts w:hint="eastAsia" w:ascii="Times New Roman" w:hAnsi="Times New Roman"/>
                      <w:color w:val="auto"/>
                      <w:szCs w:val="21"/>
                    </w:rPr>
                    <w:t>垂直排列</w:t>
                  </w:r>
                </w:p>
              </w:tc>
              <w:tc>
                <w:tcPr>
                  <w:tcW w:w="475" w:type="pct"/>
                  <w:vAlign w:val="center"/>
                </w:tcPr>
                <w:p w14:paraId="1F870E94">
                  <w:pPr>
                    <w:adjustRightInd w:val="0"/>
                    <w:snapToGrid w:val="0"/>
                    <w:jc w:val="center"/>
                    <w:rPr>
                      <w:rFonts w:ascii="Times New Roman" w:hAnsi="Times New Roman"/>
                      <w:color w:val="auto"/>
                      <w:szCs w:val="21"/>
                    </w:rPr>
                  </w:pPr>
                  <w:r>
                    <w:rPr>
                      <w:rFonts w:hint="eastAsia" w:ascii="Times New Roman" w:hAnsi="Times New Roman"/>
                      <w:color w:val="auto"/>
                      <w:szCs w:val="21"/>
                    </w:rPr>
                    <w:t>一致</w:t>
                  </w:r>
                </w:p>
              </w:tc>
            </w:tr>
            <w:tr w14:paraId="6F233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114AA05D">
                  <w:pPr>
                    <w:adjustRightInd w:val="0"/>
                    <w:snapToGrid w:val="0"/>
                    <w:jc w:val="center"/>
                    <w:rPr>
                      <w:rFonts w:ascii="Times New Roman" w:hAnsi="Times New Roman"/>
                      <w:color w:val="auto"/>
                      <w:szCs w:val="21"/>
                    </w:rPr>
                  </w:pPr>
                  <w:r>
                    <w:rPr>
                      <w:rFonts w:hint="eastAsia" w:ascii="Times New Roman" w:hAnsi="Times New Roman"/>
                      <w:color w:val="auto"/>
                      <w:szCs w:val="21"/>
                    </w:rPr>
                    <w:t>分裂方式</w:t>
                  </w:r>
                </w:p>
              </w:tc>
              <w:tc>
                <w:tcPr>
                  <w:tcW w:w="1777" w:type="pct"/>
                  <w:gridSpan w:val="2"/>
                  <w:vAlign w:val="center"/>
                </w:tcPr>
                <w:p w14:paraId="76F6D431">
                  <w:pPr>
                    <w:adjustRightInd w:val="0"/>
                    <w:snapToGrid w:val="0"/>
                    <w:jc w:val="center"/>
                    <w:rPr>
                      <w:rFonts w:ascii="Times New Roman" w:hAnsi="Times New Roman"/>
                      <w:color w:val="auto"/>
                      <w:szCs w:val="21"/>
                    </w:rPr>
                  </w:pPr>
                  <w:r>
                    <w:rPr>
                      <w:rFonts w:hint="eastAsia" w:ascii="Times New Roman" w:hAnsi="Times New Roman"/>
                      <w:color w:val="auto"/>
                      <w:szCs w:val="21"/>
                    </w:rPr>
                    <w:t>双分裂</w:t>
                  </w:r>
                </w:p>
              </w:tc>
              <w:tc>
                <w:tcPr>
                  <w:tcW w:w="2009" w:type="pct"/>
                  <w:gridSpan w:val="2"/>
                  <w:vAlign w:val="center"/>
                </w:tcPr>
                <w:p w14:paraId="763755C8">
                  <w:pPr>
                    <w:adjustRightInd w:val="0"/>
                    <w:snapToGrid w:val="0"/>
                    <w:jc w:val="center"/>
                    <w:rPr>
                      <w:rFonts w:ascii="Times New Roman" w:hAnsi="Times New Roman"/>
                      <w:color w:val="auto"/>
                      <w:szCs w:val="21"/>
                    </w:rPr>
                  </w:pPr>
                  <w:r>
                    <w:rPr>
                      <w:rFonts w:hint="eastAsia" w:ascii="Times New Roman" w:hAnsi="Times New Roman"/>
                      <w:color w:val="auto"/>
                      <w:szCs w:val="21"/>
                    </w:rPr>
                    <w:t>双分裂</w:t>
                  </w:r>
                </w:p>
              </w:tc>
              <w:tc>
                <w:tcPr>
                  <w:tcW w:w="475" w:type="pct"/>
                  <w:vAlign w:val="center"/>
                </w:tcPr>
                <w:p w14:paraId="43E2CEC5">
                  <w:pPr>
                    <w:adjustRightInd w:val="0"/>
                    <w:snapToGrid w:val="0"/>
                    <w:jc w:val="center"/>
                    <w:rPr>
                      <w:rFonts w:ascii="Times New Roman" w:hAnsi="Times New Roman"/>
                      <w:color w:val="auto"/>
                      <w:szCs w:val="21"/>
                    </w:rPr>
                  </w:pPr>
                  <w:r>
                    <w:rPr>
                      <w:rFonts w:hint="eastAsia" w:ascii="Times New Roman" w:hAnsi="Times New Roman"/>
                      <w:color w:val="auto"/>
                      <w:szCs w:val="21"/>
                    </w:rPr>
                    <w:t>一致</w:t>
                  </w:r>
                </w:p>
              </w:tc>
            </w:tr>
            <w:tr w14:paraId="4448D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343AAEA9">
                  <w:pPr>
                    <w:adjustRightInd w:val="0"/>
                    <w:snapToGrid w:val="0"/>
                    <w:jc w:val="center"/>
                    <w:rPr>
                      <w:rFonts w:ascii="Times New Roman" w:hAnsi="Times New Roman"/>
                      <w:color w:val="auto"/>
                      <w:szCs w:val="21"/>
                    </w:rPr>
                  </w:pPr>
                  <w:r>
                    <w:rPr>
                      <w:rFonts w:ascii="Times New Roman" w:hAnsi="Times New Roman"/>
                      <w:color w:val="auto"/>
                      <w:szCs w:val="21"/>
                    </w:rPr>
                    <w:t>环境条件</w:t>
                  </w:r>
                </w:p>
              </w:tc>
              <w:tc>
                <w:tcPr>
                  <w:tcW w:w="1777" w:type="pct"/>
                  <w:gridSpan w:val="2"/>
                  <w:vAlign w:val="center"/>
                </w:tcPr>
                <w:p w14:paraId="4A4B68EE">
                  <w:pPr>
                    <w:adjustRightInd w:val="0"/>
                    <w:snapToGrid w:val="0"/>
                    <w:jc w:val="center"/>
                    <w:rPr>
                      <w:rFonts w:ascii="Times New Roman" w:hAnsi="Times New Roman"/>
                      <w:color w:val="auto"/>
                      <w:szCs w:val="21"/>
                    </w:rPr>
                  </w:pPr>
                  <w:r>
                    <w:rPr>
                      <w:rFonts w:hint="eastAsia" w:ascii="Times New Roman" w:hAnsi="Times New Roman"/>
                      <w:color w:val="auto"/>
                      <w:szCs w:val="21"/>
                    </w:rPr>
                    <w:t>曲靖市会泽县，农村地区</w:t>
                  </w:r>
                </w:p>
              </w:tc>
              <w:tc>
                <w:tcPr>
                  <w:tcW w:w="2009" w:type="pct"/>
                  <w:gridSpan w:val="2"/>
                  <w:vAlign w:val="center"/>
                </w:tcPr>
                <w:p w14:paraId="4A053CA4">
                  <w:pPr>
                    <w:adjustRightInd w:val="0"/>
                    <w:snapToGrid w:val="0"/>
                    <w:jc w:val="center"/>
                    <w:rPr>
                      <w:rFonts w:ascii="Times New Roman" w:hAnsi="Times New Roman"/>
                      <w:color w:val="auto"/>
                      <w:szCs w:val="21"/>
                    </w:rPr>
                  </w:pPr>
                  <w:r>
                    <w:rPr>
                      <w:rFonts w:hint="eastAsia" w:ascii="Times New Roman" w:hAnsi="Times New Roman"/>
                      <w:color w:val="auto"/>
                      <w:szCs w:val="21"/>
                    </w:rPr>
                    <w:t>保山市隆阳区，农村地区</w:t>
                  </w:r>
                </w:p>
              </w:tc>
              <w:tc>
                <w:tcPr>
                  <w:tcW w:w="475" w:type="pct"/>
                  <w:vAlign w:val="center"/>
                </w:tcPr>
                <w:p w14:paraId="45F432AC">
                  <w:pPr>
                    <w:adjustRightInd w:val="0"/>
                    <w:snapToGrid w:val="0"/>
                    <w:jc w:val="center"/>
                    <w:rPr>
                      <w:rFonts w:ascii="Times New Roman" w:hAnsi="Times New Roman"/>
                      <w:color w:val="auto"/>
                      <w:szCs w:val="21"/>
                    </w:rPr>
                  </w:pPr>
                  <w:r>
                    <w:rPr>
                      <w:rFonts w:hint="eastAsia" w:ascii="Times New Roman" w:hAnsi="Times New Roman"/>
                      <w:color w:val="auto"/>
                      <w:szCs w:val="21"/>
                    </w:rPr>
                    <w:t>类似</w:t>
                  </w:r>
                </w:p>
              </w:tc>
            </w:tr>
            <w:tr w14:paraId="579F5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3A0D66BA">
                  <w:pPr>
                    <w:adjustRightInd w:val="0"/>
                    <w:snapToGrid w:val="0"/>
                    <w:jc w:val="center"/>
                    <w:rPr>
                      <w:rFonts w:ascii="Times New Roman" w:hAnsi="Times New Roman"/>
                      <w:color w:val="auto"/>
                      <w:szCs w:val="21"/>
                    </w:rPr>
                  </w:pPr>
                  <w:r>
                    <w:rPr>
                      <w:rFonts w:ascii="Times New Roman" w:hAnsi="Times New Roman"/>
                      <w:color w:val="auto"/>
                      <w:szCs w:val="21"/>
                    </w:rPr>
                    <w:t>导线距地弧垂</w:t>
                  </w:r>
                  <w:r>
                    <w:rPr>
                      <w:rFonts w:hint="eastAsia" w:ascii="Times New Roman" w:hAnsi="Times New Roman"/>
                      <w:color w:val="auto"/>
                      <w:szCs w:val="21"/>
                    </w:rPr>
                    <w:t>（居民区）</w:t>
                  </w:r>
                </w:p>
              </w:tc>
              <w:tc>
                <w:tcPr>
                  <w:tcW w:w="892" w:type="pct"/>
                  <w:vAlign w:val="center"/>
                </w:tcPr>
                <w:p w14:paraId="2F2AC071">
                  <w:pPr>
                    <w:adjustRightInd w:val="0"/>
                    <w:snapToGrid w:val="0"/>
                    <w:jc w:val="center"/>
                    <w:rPr>
                      <w:rFonts w:ascii="Times New Roman" w:hAnsi="Times New Roman"/>
                      <w:color w:val="auto"/>
                      <w:szCs w:val="21"/>
                    </w:rPr>
                  </w:pPr>
                  <w:r>
                    <w:rPr>
                      <w:rFonts w:hint="eastAsia" w:ascii="Times New Roman" w:hAnsi="Times New Roman"/>
                      <w:color w:val="auto"/>
                      <w:szCs w:val="21"/>
                    </w:rPr>
                    <w:t>单回路</w:t>
                  </w:r>
                  <w:r>
                    <w:rPr>
                      <w:rFonts w:ascii="Times New Roman" w:hAnsi="Times New Roman"/>
                      <w:color w:val="auto"/>
                      <w:szCs w:val="21"/>
                    </w:rPr>
                    <w:t>导线设计距地</w:t>
                  </w:r>
                  <w:r>
                    <w:rPr>
                      <w:rFonts w:hint="eastAsia" w:ascii="Times New Roman" w:hAnsi="Times New Roman"/>
                      <w:color w:val="auto"/>
                      <w:szCs w:val="21"/>
                    </w:rPr>
                    <w:t>最小</w:t>
                  </w:r>
                  <w:r>
                    <w:rPr>
                      <w:rFonts w:ascii="Times New Roman" w:hAnsi="Times New Roman"/>
                      <w:color w:val="auto"/>
                      <w:szCs w:val="21"/>
                    </w:rPr>
                    <w:t>高度</w:t>
                  </w:r>
                  <w:r>
                    <w:rPr>
                      <w:rFonts w:hint="eastAsia" w:ascii="Times New Roman" w:hAnsi="Times New Roman"/>
                      <w:color w:val="auto"/>
                      <w:szCs w:val="21"/>
                    </w:rPr>
                    <w:t>13.8</w:t>
                  </w:r>
                  <w:r>
                    <w:rPr>
                      <w:rFonts w:ascii="Times New Roman" w:hAnsi="Times New Roman"/>
                      <w:color w:val="auto"/>
                      <w:szCs w:val="21"/>
                    </w:rPr>
                    <w:t>m</w:t>
                  </w:r>
                </w:p>
              </w:tc>
              <w:tc>
                <w:tcPr>
                  <w:tcW w:w="885" w:type="pct"/>
                  <w:vAlign w:val="center"/>
                </w:tcPr>
                <w:p w14:paraId="162584D9">
                  <w:pPr>
                    <w:adjustRightInd w:val="0"/>
                    <w:snapToGrid w:val="0"/>
                    <w:jc w:val="center"/>
                    <w:rPr>
                      <w:rFonts w:ascii="Times New Roman" w:hAnsi="Times New Roman"/>
                      <w:color w:val="auto"/>
                      <w:szCs w:val="21"/>
                    </w:rPr>
                  </w:pPr>
                  <w:r>
                    <w:rPr>
                      <w:rFonts w:hint="eastAsia" w:ascii="Times New Roman" w:hAnsi="Times New Roman"/>
                      <w:color w:val="auto"/>
                      <w:szCs w:val="21"/>
                    </w:rPr>
                    <w:t>双回路</w:t>
                  </w:r>
                  <w:r>
                    <w:rPr>
                      <w:rFonts w:ascii="Times New Roman" w:hAnsi="Times New Roman"/>
                      <w:color w:val="auto"/>
                      <w:szCs w:val="21"/>
                    </w:rPr>
                    <w:t>导线设计距地</w:t>
                  </w:r>
                  <w:r>
                    <w:rPr>
                      <w:rFonts w:hint="eastAsia" w:ascii="Times New Roman" w:hAnsi="Times New Roman"/>
                      <w:color w:val="auto"/>
                      <w:szCs w:val="21"/>
                    </w:rPr>
                    <w:t>最小</w:t>
                  </w:r>
                  <w:r>
                    <w:rPr>
                      <w:rFonts w:ascii="Times New Roman" w:hAnsi="Times New Roman"/>
                      <w:color w:val="auto"/>
                      <w:szCs w:val="21"/>
                    </w:rPr>
                    <w:t>高度</w:t>
                  </w:r>
                  <w:r>
                    <w:rPr>
                      <w:rFonts w:hint="eastAsia" w:ascii="Times New Roman" w:hAnsi="Times New Roman"/>
                      <w:color w:val="auto"/>
                      <w:szCs w:val="21"/>
                    </w:rPr>
                    <w:t>14.5</w:t>
                  </w:r>
                  <w:r>
                    <w:rPr>
                      <w:rFonts w:ascii="Times New Roman" w:hAnsi="Times New Roman"/>
                      <w:color w:val="auto"/>
                      <w:szCs w:val="21"/>
                    </w:rPr>
                    <w:t>m</w:t>
                  </w:r>
                </w:p>
              </w:tc>
              <w:tc>
                <w:tcPr>
                  <w:tcW w:w="975" w:type="pct"/>
                  <w:vAlign w:val="center"/>
                </w:tcPr>
                <w:p w14:paraId="38662B7C">
                  <w:pPr>
                    <w:adjustRightInd w:val="0"/>
                    <w:snapToGrid w:val="0"/>
                    <w:jc w:val="center"/>
                    <w:rPr>
                      <w:rFonts w:ascii="Times New Roman" w:hAnsi="Times New Roman"/>
                      <w:color w:val="auto"/>
                      <w:szCs w:val="21"/>
                    </w:rPr>
                  </w:pPr>
                  <w:r>
                    <w:rPr>
                      <w:rFonts w:hint="eastAsia" w:ascii="Times New Roman" w:hAnsi="Times New Roman"/>
                      <w:color w:val="auto"/>
                      <w:szCs w:val="21"/>
                    </w:rPr>
                    <w:t>9</w:t>
                  </w:r>
                  <w:r>
                    <w:rPr>
                      <w:rFonts w:ascii="Times New Roman" w:hAnsi="Times New Roman"/>
                      <w:color w:val="auto"/>
                      <w:szCs w:val="21"/>
                    </w:rPr>
                    <w:t>m</w:t>
                  </w:r>
                  <w:r>
                    <w:rPr>
                      <w:rFonts w:hint="eastAsia" w:ascii="Times New Roman" w:hAnsi="Times New Roman"/>
                      <w:color w:val="auto"/>
                      <w:szCs w:val="21"/>
                    </w:rPr>
                    <w:t>（监测值）</w:t>
                  </w:r>
                </w:p>
              </w:tc>
              <w:tc>
                <w:tcPr>
                  <w:tcW w:w="1034" w:type="pct"/>
                  <w:vAlign w:val="center"/>
                </w:tcPr>
                <w:p w14:paraId="429F05CB">
                  <w:pPr>
                    <w:adjustRightInd w:val="0"/>
                    <w:snapToGrid w:val="0"/>
                    <w:jc w:val="center"/>
                    <w:rPr>
                      <w:rFonts w:ascii="Times New Roman" w:hAnsi="Times New Roman"/>
                      <w:color w:val="auto"/>
                      <w:szCs w:val="21"/>
                    </w:rPr>
                  </w:pPr>
                  <w:r>
                    <w:rPr>
                      <w:rFonts w:hint="eastAsia" w:ascii="Times New Roman" w:hAnsi="Times New Roman"/>
                      <w:color w:val="auto"/>
                      <w:szCs w:val="21"/>
                    </w:rPr>
                    <w:t>13m（监测值）</w:t>
                  </w:r>
                </w:p>
              </w:tc>
              <w:tc>
                <w:tcPr>
                  <w:tcW w:w="475" w:type="pct"/>
                  <w:vAlign w:val="center"/>
                </w:tcPr>
                <w:p w14:paraId="69AE1D1A">
                  <w:pPr>
                    <w:adjustRightInd w:val="0"/>
                    <w:snapToGrid w:val="0"/>
                    <w:jc w:val="center"/>
                    <w:rPr>
                      <w:rFonts w:ascii="Times New Roman" w:hAnsi="Times New Roman"/>
                      <w:color w:val="auto"/>
                      <w:szCs w:val="21"/>
                    </w:rPr>
                  </w:pPr>
                  <w:r>
                    <w:rPr>
                      <w:rFonts w:hint="eastAsia" w:ascii="Times New Roman" w:hAnsi="Times New Roman"/>
                      <w:color w:val="auto"/>
                      <w:szCs w:val="21"/>
                    </w:rPr>
                    <w:t>相当</w:t>
                  </w:r>
                </w:p>
              </w:tc>
            </w:tr>
            <w:tr w14:paraId="11841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7" w:type="pct"/>
                  <w:vAlign w:val="center"/>
                </w:tcPr>
                <w:p w14:paraId="18090323">
                  <w:pPr>
                    <w:adjustRightInd w:val="0"/>
                    <w:snapToGrid w:val="0"/>
                    <w:jc w:val="center"/>
                    <w:rPr>
                      <w:rFonts w:ascii="Times New Roman" w:hAnsi="Times New Roman"/>
                      <w:color w:val="auto"/>
                      <w:szCs w:val="21"/>
                    </w:rPr>
                  </w:pPr>
                  <w:r>
                    <w:rPr>
                      <w:rFonts w:hint="eastAsia" w:ascii="Times New Roman" w:hAnsi="Times New Roman"/>
                      <w:color w:val="auto"/>
                      <w:szCs w:val="21"/>
                    </w:rPr>
                    <w:t>运行工况</w:t>
                  </w:r>
                </w:p>
              </w:tc>
              <w:tc>
                <w:tcPr>
                  <w:tcW w:w="892" w:type="pct"/>
                  <w:vAlign w:val="center"/>
                </w:tcPr>
                <w:p w14:paraId="2CCA1E2C">
                  <w:pPr>
                    <w:adjustRightInd w:val="0"/>
                    <w:snapToGrid w:val="0"/>
                    <w:jc w:val="center"/>
                    <w:rPr>
                      <w:rFonts w:ascii="Times New Roman" w:hAnsi="Times New Roman"/>
                      <w:color w:val="auto"/>
                      <w:szCs w:val="21"/>
                    </w:rPr>
                  </w:pPr>
                  <w:r>
                    <w:rPr>
                      <w:rFonts w:hint="eastAsia" w:ascii="Times New Roman" w:hAnsi="Times New Roman"/>
                      <w:color w:val="auto"/>
                      <w:szCs w:val="21"/>
                    </w:rPr>
                    <w:t>/</w:t>
                  </w:r>
                </w:p>
              </w:tc>
              <w:tc>
                <w:tcPr>
                  <w:tcW w:w="885" w:type="pct"/>
                  <w:vAlign w:val="center"/>
                </w:tcPr>
                <w:p w14:paraId="60F44A42">
                  <w:pPr>
                    <w:adjustRightInd w:val="0"/>
                    <w:snapToGrid w:val="0"/>
                    <w:jc w:val="center"/>
                    <w:rPr>
                      <w:rFonts w:ascii="Times New Roman" w:hAnsi="Times New Roman"/>
                      <w:color w:val="auto"/>
                      <w:szCs w:val="21"/>
                    </w:rPr>
                  </w:pPr>
                  <w:r>
                    <w:rPr>
                      <w:rFonts w:hint="eastAsia" w:ascii="Times New Roman" w:hAnsi="Times New Roman"/>
                      <w:color w:val="auto"/>
                      <w:szCs w:val="21"/>
                    </w:rPr>
                    <w:t>/</w:t>
                  </w:r>
                </w:p>
              </w:tc>
              <w:tc>
                <w:tcPr>
                  <w:tcW w:w="2009" w:type="pct"/>
                  <w:gridSpan w:val="2"/>
                  <w:vAlign w:val="center"/>
                </w:tcPr>
                <w:p w14:paraId="16D1C2BC">
                  <w:pPr>
                    <w:adjustRightInd w:val="0"/>
                    <w:snapToGrid w:val="0"/>
                    <w:jc w:val="center"/>
                    <w:rPr>
                      <w:rFonts w:ascii="Times New Roman" w:hAnsi="Times New Roman"/>
                      <w:color w:val="auto"/>
                      <w:szCs w:val="21"/>
                    </w:rPr>
                  </w:pPr>
                  <w:r>
                    <w:rPr>
                      <w:rFonts w:hint="eastAsia" w:ascii="Times New Roman" w:hAnsi="Times New Roman"/>
                      <w:color w:val="auto"/>
                      <w:szCs w:val="21"/>
                    </w:rPr>
                    <w:t>正常运行</w:t>
                  </w:r>
                </w:p>
              </w:tc>
              <w:tc>
                <w:tcPr>
                  <w:tcW w:w="475" w:type="pct"/>
                  <w:vAlign w:val="center"/>
                </w:tcPr>
                <w:p w14:paraId="08286A56">
                  <w:pPr>
                    <w:adjustRightInd w:val="0"/>
                    <w:snapToGrid w:val="0"/>
                    <w:jc w:val="center"/>
                    <w:rPr>
                      <w:rFonts w:ascii="Times New Roman" w:hAnsi="Times New Roman"/>
                      <w:color w:val="auto"/>
                      <w:szCs w:val="21"/>
                    </w:rPr>
                  </w:pPr>
                  <w:r>
                    <w:rPr>
                      <w:rFonts w:hint="eastAsia" w:ascii="Times New Roman" w:hAnsi="Times New Roman"/>
                      <w:color w:val="auto"/>
                      <w:szCs w:val="21"/>
                    </w:rPr>
                    <w:t>/</w:t>
                  </w:r>
                </w:p>
              </w:tc>
            </w:tr>
          </w:tbl>
          <w:p w14:paraId="134DA12D">
            <w:pPr>
              <w:widowControl/>
              <w:tabs>
                <w:tab w:val="left" w:pos="8814"/>
              </w:tabs>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rPr>
              <w:t>本项目线路与类比线路为单回架空架设，在电压等级、架线型式和导线排列方式等方面</w:t>
            </w:r>
            <w:r>
              <w:rPr>
                <w:rFonts w:hint="eastAsia" w:ascii="Times New Roman" w:hAnsi="Times New Roman"/>
                <w:color w:val="auto"/>
                <w:sz w:val="24"/>
              </w:rPr>
              <w:t>均类似，</w:t>
            </w:r>
            <w:r>
              <w:rPr>
                <w:rFonts w:ascii="Times New Roman" w:hAnsi="Times New Roman"/>
                <w:color w:val="auto"/>
                <w:sz w:val="24"/>
              </w:rPr>
              <w:t>本项目导线设计最低距地高度</w:t>
            </w:r>
            <w:r>
              <w:rPr>
                <w:rFonts w:hint="eastAsia" w:ascii="Times New Roman" w:hAnsi="Times New Roman"/>
                <w:color w:val="auto"/>
                <w:sz w:val="24"/>
              </w:rPr>
              <w:t>（单回路13.8m、双回路14.5m），优于</w:t>
            </w:r>
            <w:r>
              <w:rPr>
                <w:rFonts w:ascii="Times New Roman" w:hAnsi="Times New Roman"/>
                <w:color w:val="auto"/>
                <w:sz w:val="24"/>
              </w:rPr>
              <w:t>类比线路监测点导线距地高度</w:t>
            </w:r>
            <w:r>
              <w:rPr>
                <w:rFonts w:hint="eastAsia" w:ascii="Times New Roman" w:hAnsi="Times New Roman"/>
                <w:color w:val="auto"/>
                <w:sz w:val="24"/>
              </w:rPr>
              <w:t>（9~13m）</w:t>
            </w:r>
            <w:r>
              <w:rPr>
                <w:rFonts w:ascii="Times New Roman" w:hAnsi="Times New Roman"/>
                <w:color w:val="auto"/>
                <w:sz w:val="24"/>
              </w:rPr>
              <w:t>，根据噪声衰减规律，导线距地越高，其电晕噪声对周围声环境影响越小</w:t>
            </w:r>
            <w:r>
              <w:rPr>
                <w:rFonts w:hint="eastAsia" w:ascii="Times New Roman" w:hAnsi="Times New Roman"/>
                <w:color w:val="auto"/>
                <w:sz w:val="24"/>
              </w:rPr>
              <w:t>，</w:t>
            </w:r>
            <w:r>
              <w:rPr>
                <w:rFonts w:ascii="Times New Roman" w:hAnsi="Times New Roman"/>
                <w:color w:val="auto"/>
                <w:sz w:val="24"/>
              </w:rPr>
              <w:t>可采用类比预测分析本项目输电线路运行期电晕噪声对周围声环境的影响</w:t>
            </w:r>
            <w:r>
              <w:rPr>
                <w:rFonts w:hint="eastAsia" w:ascii="Times New Roman" w:hAnsi="Times New Roman"/>
                <w:color w:val="auto"/>
                <w:sz w:val="24"/>
              </w:rPr>
              <w:t>，</w:t>
            </w:r>
            <w:r>
              <w:rPr>
                <w:rFonts w:ascii="Times New Roman" w:hAnsi="Times New Roman"/>
                <w:color w:val="auto"/>
                <w:sz w:val="24"/>
                <w:szCs w:val="24"/>
              </w:rPr>
              <w:t>可基本反映本项目线路建成后噪声情况</w:t>
            </w:r>
            <w:r>
              <w:rPr>
                <w:rFonts w:hint="eastAsia" w:ascii="Times New Roman" w:hAnsi="Times New Roman"/>
                <w:color w:val="auto"/>
                <w:sz w:val="24"/>
                <w:szCs w:val="24"/>
              </w:rPr>
              <w:t>，具有可类比性。</w:t>
            </w:r>
          </w:p>
          <w:p w14:paraId="242CE948">
            <w:pPr>
              <w:widowControl/>
              <w:tabs>
                <w:tab w:val="left" w:pos="8814"/>
              </w:tabs>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因此，采用220kV兰昌I回、220kV兰河线4#~5#塔间双回线路及220kV兰河线10#~11#塔间单回线路运营期声环境影响的实测值来预测本工程建成后的声环境影响是可行的。</w:t>
            </w:r>
          </w:p>
          <w:p w14:paraId="69FE2FE4">
            <w:pPr>
              <w:widowControl/>
              <w:tabs>
                <w:tab w:val="left" w:pos="8814"/>
              </w:tabs>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（2）监测布点</w:t>
            </w:r>
          </w:p>
          <w:p w14:paraId="57803BA2">
            <w:pPr>
              <w:pStyle w:val="2"/>
              <w:adjustRightInd w:val="0"/>
              <w:snapToGrid w:val="0"/>
              <w:spacing w:after="0" w:line="440" w:lineRule="exact"/>
              <w:ind w:firstLine="480" w:firstLineChars="200"/>
              <w:rPr>
                <w:color w:val="auto"/>
                <w:sz w:val="24"/>
              </w:rPr>
            </w:pPr>
            <w:r>
              <w:rPr>
                <w:rFonts w:hint="eastAsia"/>
                <w:color w:val="auto"/>
                <w:sz w:val="24"/>
              </w:rPr>
              <w:t>在220kV兰河线单回路（导线三角排列）监测断面中相导线对（10#~11#）线下（线高9m）设置噪声衰减监测断面1处。</w:t>
            </w:r>
            <w:r>
              <w:rPr>
                <w:color w:val="auto"/>
                <w:sz w:val="24"/>
              </w:rPr>
              <w:t>以弧垂最低位置处边相导线对地投影点为起点，沿垂直于线路方向监测</w:t>
            </w:r>
            <w:r>
              <w:rPr>
                <w:rFonts w:hint="eastAsia"/>
                <w:color w:val="auto"/>
                <w:sz w:val="24"/>
              </w:rPr>
              <w:t>，</w:t>
            </w:r>
            <w:r>
              <w:rPr>
                <w:color w:val="auto"/>
                <w:sz w:val="24"/>
              </w:rPr>
              <w:t>测点间距为5m，</w:t>
            </w:r>
            <w:r>
              <w:rPr>
                <w:rFonts w:hint="eastAsia"/>
                <w:color w:val="auto"/>
                <w:sz w:val="24"/>
              </w:rPr>
              <w:t>220kV兰河线</w:t>
            </w:r>
            <w:r>
              <w:rPr>
                <w:color w:val="auto"/>
                <w:sz w:val="24"/>
              </w:rPr>
              <w:t>测至边导线外</w:t>
            </w:r>
            <w:r>
              <w:rPr>
                <w:rFonts w:hint="eastAsia"/>
                <w:color w:val="auto"/>
                <w:sz w:val="24"/>
              </w:rPr>
              <w:t>50</w:t>
            </w:r>
            <w:r>
              <w:rPr>
                <w:color w:val="auto"/>
                <w:sz w:val="24"/>
              </w:rPr>
              <w:t>m处，点位设置在距地面1.2m高处</w:t>
            </w:r>
            <w:r>
              <w:rPr>
                <w:rFonts w:hint="eastAsia"/>
                <w:color w:val="auto"/>
                <w:sz w:val="24"/>
              </w:rPr>
              <w:t>，布置中相导线对地投影外0m、5m、10m、15m、20m、25m、30m、35m、40m、45m、50m处，共布置12个监测点。</w:t>
            </w:r>
          </w:p>
          <w:p w14:paraId="6D7C8EB7">
            <w:pPr>
              <w:pStyle w:val="2"/>
              <w:adjustRightInd w:val="0"/>
              <w:snapToGrid w:val="0"/>
              <w:spacing w:after="0" w:line="440" w:lineRule="exact"/>
              <w:ind w:firstLine="480" w:firstLineChars="200"/>
              <w:rPr>
                <w:color w:val="auto"/>
                <w:sz w:val="24"/>
              </w:rPr>
            </w:pPr>
            <w:r>
              <w:rPr>
                <w:rFonts w:hint="eastAsia"/>
                <w:color w:val="auto"/>
                <w:sz w:val="24"/>
              </w:rPr>
              <w:t>在220kV兰昌I回、220kV兰河线双回线路（导线垂直排列）监测断面中相导线对（4#~5#）线下（线高13m）设置噪声衰减监测断面1处。</w:t>
            </w:r>
            <w:r>
              <w:rPr>
                <w:color w:val="auto"/>
                <w:sz w:val="24"/>
              </w:rPr>
              <w:t>以弧垂最低位置处边相导线对地投影点为起点，沿垂直于线路方向监测</w:t>
            </w:r>
            <w:r>
              <w:rPr>
                <w:rFonts w:hint="eastAsia"/>
                <w:color w:val="auto"/>
                <w:sz w:val="24"/>
              </w:rPr>
              <w:t>，</w:t>
            </w:r>
            <w:r>
              <w:rPr>
                <w:color w:val="auto"/>
                <w:sz w:val="24"/>
              </w:rPr>
              <w:t>测点间距为5m，</w:t>
            </w:r>
            <w:r>
              <w:rPr>
                <w:rFonts w:hint="eastAsia"/>
                <w:color w:val="auto"/>
                <w:sz w:val="24"/>
              </w:rPr>
              <w:t>220kV兰昌I回、220kV兰河线双回线路测</w:t>
            </w:r>
            <w:r>
              <w:rPr>
                <w:color w:val="auto"/>
                <w:sz w:val="24"/>
              </w:rPr>
              <w:t>至边导线外</w:t>
            </w:r>
            <w:r>
              <w:rPr>
                <w:rFonts w:hint="eastAsia"/>
                <w:color w:val="auto"/>
                <w:sz w:val="24"/>
              </w:rPr>
              <w:t>50</w:t>
            </w:r>
            <w:r>
              <w:rPr>
                <w:color w:val="auto"/>
                <w:sz w:val="24"/>
              </w:rPr>
              <w:t>m处，点位设置在距地面1.2m高处</w:t>
            </w:r>
            <w:r>
              <w:rPr>
                <w:rFonts w:hint="eastAsia"/>
                <w:color w:val="auto"/>
                <w:sz w:val="24"/>
              </w:rPr>
              <w:t>，布置中相导线对地投影外0m、5m、10m、15m、20m、25m、30m、35m、40m、45m、50m处，共布置12个监测点。</w:t>
            </w:r>
          </w:p>
          <w:p w14:paraId="5E7BECA7">
            <w:pPr>
              <w:widowControl/>
              <w:tabs>
                <w:tab w:val="left" w:pos="8814"/>
              </w:tabs>
              <w:adjustRightInd w:val="0"/>
              <w:snapToGrid w:val="0"/>
              <w:jc w:val="center"/>
              <w:rPr>
                <w:rFonts w:ascii="Times New Roman" w:hAnsi="Times New Roman"/>
                <w:color w:val="auto"/>
                <w:sz w:val="24"/>
              </w:rPr>
            </w:pPr>
            <w:r>
              <w:rPr>
                <w:rFonts w:ascii="Times New Roman" w:hAnsi="Times New Roman"/>
                <w:color w:val="auto"/>
                <w:sz w:val="24"/>
              </w:rPr>
              <w:object>
                <v:shape id="_x0000_i1029" o:spt="75" type="#_x0000_t75" style="height:76.5pt;width:312.75pt;" o:ole="t" filled="f" o:preferrelative="t" stroked="f" coordsize="21600,21600">
                  <v:path/>
                  <v:fill on="f" focussize="0,0"/>
                  <v:stroke on="f" joinstyle="miter"/>
                  <v:imagedata r:id="rId39" o:title=""/>
                  <o:lock v:ext="edit" aspectratio="f"/>
                  <w10:wrap type="none"/>
                  <w10:anchorlock/>
                </v:shape>
                <o:OLEObject Type="Embed" ProgID="Visio.Drawing.15" ShapeID="_x0000_i1029" DrawAspect="Content" ObjectID="_1468075729" r:id="rId38">
                  <o:LockedField>false</o:LockedField>
                </o:OLEObject>
              </w:object>
            </w:r>
          </w:p>
          <w:p w14:paraId="5332AB58">
            <w:pPr>
              <w:widowControl/>
              <w:tabs>
                <w:tab w:val="left" w:pos="8814"/>
              </w:tabs>
              <w:adjustRightInd w:val="0"/>
              <w:snapToGrid w:val="0"/>
              <w:ind w:firstLine="482" w:firstLineChars="200"/>
              <w:jc w:val="center"/>
              <w:rPr>
                <w:rFonts w:ascii="Times New Roman" w:hAnsi="Times New Roman"/>
                <w:b/>
                <w:bCs/>
                <w:color w:val="auto"/>
                <w:sz w:val="24"/>
              </w:rPr>
            </w:pPr>
            <w:r>
              <w:rPr>
                <w:rFonts w:ascii="Times New Roman" w:hAnsi="Times New Roman"/>
                <w:b/>
                <w:bCs/>
                <w:color w:val="auto"/>
                <w:sz w:val="24"/>
              </w:rPr>
              <w:t>图4-</w:t>
            </w:r>
            <w:r>
              <w:rPr>
                <w:rFonts w:hint="eastAsia" w:ascii="Times New Roman" w:hAnsi="Times New Roman"/>
                <w:b/>
                <w:bCs/>
                <w:color w:val="auto"/>
                <w:sz w:val="24"/>
              </w:rPr>
              <w:t>1</w:t>
            </w:r>
            <w:r>
              <w:rPr>
                <w:rFonts w:ascii="Times New Roman" w:hAnsi="Times New Roman"/>
                <w:b/>
                <w:bCs/>
                <w:color w:val="auto"/>
                <w:sz w:val="24"/>
              </w:rPr>
              <w:t xml:space="preserve">  噪声监测断面布点示意图</w:t>
            </w:r>
          </w:p>
          <w:p w14:paraId="59E41F4A">
            <w:pPr>
              <w:widowControl/>
              <w:tabs>
                <w:tab w:val="left" w:pos="8814"/>
              </w:tabs>
              <w:adjustRightInd w:val="0"/>
              <w:snapToGrid w:val="0"/>
              <w:spacing w:line="440" w:lineRule="exact"/>
              <w:ind w:firstLine="482" w:firstLineChars="200"/>
              <w:rPr>
                <w:rFonts w:ascii="Times New Roman" w:hAnsi="Times New Roman"/>
                <w:b/>
                <w:bCs/>
                <w:color w:val="auto"/>
                <w:sz w:val="24"/>
                <w:szCs w:val="24"/>
              </w:rPr>
            </w:pPr>
            <w:r>
              <w:rPr>
                <w:rFonts w:hint="eastAsia" w:ascii="Times New Roman" w:hAnsi="Times New Roman"/>
                <w:b/>
                <w:bCs/>
                <w:color w:val="auto"/>
                <w:sz w:val="24"/>
                <w:szCs w:val="24"/>
              </w:rPr>
              <w:t>（3）类比监测条件</w:t>
            </w:r>
          </w:p>
          <w:p w14:paraId="1F914F4C">
            <w:pPr>
              <w:pStyle w:val="2"/>
              <w:adjustRightInd w:val="0"/>
              <w:snapToGrid w:val="0"/>
              <w:spacing w:after="0" w:line="440" w:lineRule="exact"/>
              <w:ind w:firstLine="480" w:firstLineChars="200"/>
              <w:rPr>
                <w:color w:val="auto"/>
                <w:sz w:val="24"/>
              </w:rPr>
            </w:pPr>
            <w:r>
              <w:rPr>
                <w:color w:val="auto"/>
                <w:sz w:val="24"/>
              </w:rPr>
              <w:t>1）类比监测因子</w:t>
            </w:r>
            <w:r>
              <w:rPr>
                <w:rFonts w:hint="eastAsia"/>
                <w:color w:val="auto"/>
                <w:sz w:val="24"/>
              </w:rPr>
              <w:t>：噪声</w:t>
            </w:r>
            <w:r>
              <w:rPr>
                <w:color w:val="auto"/>
                <w:sz w:val="24"/>
              </w:rPr>
              <w:t>。</w:t>
            </w:r>
          </w:p>
          <w:p w14:paraId="249BE24A">
            <w:pPr>
              <w:pStyle w:val="2"/>
              <w:adjustRightInd w:val="0"/>
              <w:snapToGrid w:val="0"/>
              <w:spacing w:after="0" w:line="440" w:lineRule="exact"/>
              <w:ind w:firstLine="480" w:firstLineChars="200"/>
              <w:rPr>
                <w:color w:val="auto"/>
                <w:sz w:val="24"/>
              </w:rPr>
            </w:pPr>
            <w:r>
              <w:rPr>
                <w:color w:val="auto"/>
                <w:sz w:val="24"/>
              </w:rPr>
              <w:t>2）监测单位及监测仪器</w:t>
            </w:r>
          </w:p>
          <w:p w14:paraId="0B44F5E5">
            <w:pPr>
              <w:pStyle w:val="2"/>
              <w:adjustRightInd w:val="0"/>
              <w:snapToGrid w:val="0"/>
              <w:spacing w:after="0" w:line="440" w:lineRule="exact"/>
              <w:ind w:firstLine="480" w:firstLineChars="200"/>
              <w:rPr>
                <w:color w:val="auto"/>
                <w:sz w:val="24"/>
              </w:rPr>
            </w:pPr>
            <w:r>
              <w:rPr>
                <w:color w:val="auto"/>
                <w:sz w:val="24"/>
              </w:rPr>
              <w:t>①监测单位</w:t>
            </w:r>
          </w:p>
          <w:p w14:paraId="6F9A10D4">
            <w:pPr>
              <w:adjustRightInd w:val="0"/>
              <w:snapToGrid w:val="0"/>
              <w:ind w:firstLine="482" w:firstLineChars="200"/>
              <w:jc w:val="center"/>
              <w:rPr>
                <w:color w:val="auto"/>
              </w:rPr>
            </w:pPr>
            <w:r>
              <w:rPr>
                <w:rFonts w:ascii="Times New Roman" w:hAnsi="Times New Roman"/>
                <w:b/>
                <w:color w:val="auto"/>
                <w:sz w:val="24"/>
                <w:szCs w:val="24"/>
              </w:rPr>
              <w:t>表</w:t>
            </w:r>
            <w:r>
              <w:rPr>
                <w:rFonts w:hint="eastAsia" w:ascii="Times New Roman" w:hAnsi="Times New Roman"/>
                <w:b/>
                <w:color w:val="auto"/>
                <w:sz w:val="24"/>
                <w:szCs w:val="24"/>
              </w:rPr>
              <w:t xml:space="preserve">4-5  </w:t>
            </w:r>
            <w:r>
              <w:rPr>
                <w:rFonts w:ascii="Times New Roman" w:hAnsi="Times New Roman"/>
                <w:b/>
                <w:color w:val="auto"/>
                <w:sz w:val="24"/>
                <w:szCs w:val="24"/>
              </w:rPr>
              <w:t>类比监测</w:t>
            </w:r>
            <w:r>
              <w:rPr>
                <w:rFonts w:hint="eastAsia" w:ascii="Times New Roman" w:hAnsi="Times New Roman"/>
                <w:b/>
                <w:color w:val="auto"/>
                <w:sz w:val="24"/>
                <w:szCs w:val="24"/>
              </w:rPr>
              <w:t>报告</w:t>
            </w:r>
          </w:p>
          <w:tbl>
            <w:tblPr>
              <w:tblStyle w:val="27"/>
              <w:tblW w:w="842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83"/>
              <w:gridCol w:w="2891"/>
              <w:gridCol w:w="2455"/>
            </w:tblGrid>
            <w:tr w14:paraId="121E8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83" w:type="dxa"/>
                  <w:tcBorders>
                    <w:tl2br w:val="nil"/>
                    <w:tr2bl w:val="nil"/>
                  </w:tcBorders>
                  <w:shd w:val="clear" w:color="auto" w:fill="auto"/>
                  <w:vAlign w:val="center"/>
                </w:tcPr>
                <w:p w14:paraId="04848F87">
                  <w:pPr>
                    <w:pStyle w:val="51"/>
                    <w:autoSpaceDE/>
                    <w:autoSpaceDN/>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项目</w:t>
                  </w:r>
                </w:p>
              </w:tc>
              <w:tc>
                <w:tcPr>
                  <w:tcW w:w="2891" w:type="dxa"/>
                  <w:tcBorders>
                    <w:tl2br w:val="nil"/>
                    <w:tr2bl w:val="nil"/>
                  </w:tcBorders>
                  <w:shd w:val="clear" w:color="auto" w:fill="auto"/>
                  <w:vAlign w:val="center"/>
                </w:tcPr>
                <w:p w14:paraId="6C82E0EB">
                  <w:pPr>
                    <w:pStyle w:val="51"/>
                    <w:autoSpaceDE/>
                    <w:autoSpaceDN/>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监测单位</w:t>
                  </w:r>
                </w:p>
              </w:tc>
              <w:tc>
                <w:tcPr>
                  <w:tcW w:w="2455" w:type="dxa"/>
                  <w:tcBorders>
                    <w:tl2br w:val="nil"/>
                    <w:tr2bl w:val="nil"/>
                  </w:tcBorders>
                  <w:shd w:val="clear" w:color="auto" w:fill="auto"/>
                  <w:vAlign w:val="center"/>
                </w:tcPr>
                <w:p w14:paraId="73FB7E05">
                  <w:pPr>
                    <w:pStyle w:val="51"/>
                    <w:autoSpaceDE/>
                    <w:autoSpaceDN/>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监测报告</w:t>
                  </w:r>
                </w:p>
              </w:tc>
            </w:tr>
            <w:tr w14:paraId="79D81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3083" w:type="dxa"/>
                  <w:tcBorders>
                    <w:tl2br w:val="nil"/>
                    <w:tr2bl w:val="nil"/>
                  </w:tcBorders>
                  <w:shd w:val="clear" w:color="auto" w:fill="auto"/>
                  <w:vAlign w:val="center"/>
                </w:tcPr>
                <w:p w14:paraId="372DC965">
                  <w:pPr>
                    <w:pStyle w:val="51"/>
                    <w:autoSpaceDE/>
                    <w:autoSpaceDN/>
                    <w:adjustRightInd w:val="0"/>
                    <w:snapToGrid w:val="0"/>
                    <w:rPr>
                      <w:rFonts w:ascii="Times New Roman" w:hAnsi="Times New Roman" w:cs="Times New Roman"/>
                      <w:bCs/>
                      <w:color w:val="auto"/>
                      <w:sz w:val="21"/>
                      <w:szCs w:val="21"/>
                    </w:rPr>
                  </w:pPr>
                  <w:r>
                    <w:rPr>
                      <w:rFonts w:ascii="Times New Roman" w:hAnsi="Times New Roman" w:cs="Times New Roman"/>
                      <w:bCs/>
                      <w:color w:val="auto"/>
                      <w:sz w:val="21"/>
                      <w:szCs w:val="21"/>
                    </w:rPr>
                    <w:t>隆阳区河湾光伏电站接网工程运行期环境现状检测</w:t>
                  </w:r>
                </w:p>
              </w:tc>
              <w:tc>
                <w:tcPr>
                  <w:tcW w:w="2891" w:type="dxa"/>
                  <w:tcBorders>
                    <w:tl2br w:val="nil"/>
                    <w:tr2bl w:val="nil"/>
                  </w:tcBorders>
                  <w:shd w:val="clear" w:color="auto" w:fill="auto"/>
                  <w:vAlign w:val="center"/>
                </w:tcPr>
                <w:p w14:paraId="7293E7FA">
                  <w:pPr>
                    <w:pStyle w:val="51"/>
                    <w:autoSpaceDE/>
                    <w:autoSpaceDN/>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云南科环环境工程咨询有限公司</w:t>
                  </w:r>
                </w:p>
              </w:tc>
              <w:tc>
                <w:tcPr>
                  <w:tcW w:w="2455" w:type="dxa"/>
                  <w:tcBorders>
                    <w:tl2br w:val="nil"/>
                    <w:tr2bl w:val="nil"/>
                  </w:tcBorders>
                  <w:shd w:val="clear" w:color="auto" w:fill="auto"/>
                  <w:vAlign w:val="center"/>
                </w:tcPr>
                <w:p w14:paraId="2F375C2E">
                  <w:pPr>
                    <w:pStyle w:val="51"/>
                    <w:autoSpaceDE/>
                    <w:autoSpaceDN/>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编号：科环检字【2024】-0730001</w:t>
                  </w:r>
                </w:p>
              </w:tc>
            </w:tr>
          </w:tbl>
          <w:p w14:paraId="72B78DFB">
            <w:pPr>
              <w:pStyle w:val="2"/>
              <w:adjustRightInd w:val="0"/>
              <w:snapToGrid w:val="0"/>
              <w:spacing w:after="0" w:line="440" w:lineRule="exact"/>
              <w:ind w:firstLine="480" w:firstLineChars="200"/>
              <w:rPr>
                <w:color w:val="auto"/>
                <w:sz w:val="24"/>
              </w:rPr>
            </w:pPr>
            <w:r>
              <w:rPr>
                <w:color w:val="auto"/>
                <w:sz w:val="24"/>
              </w:rPr>
              <w:t>②监测仪器</w:t>
            </w:r>
          </w:p>
          <w:p w14:paraId="06CECFCC">
            <w:pPr>
              <w:pStyle w:val="2"/>
              <w:adjustRightInd w:val="0"/>
              <w:snapToGrid w:val="0"/>
              <w:spacing w:after="0" w:line="440" w:lineRule="exact"/>
              <w:ind w:firstLine="480" w:firstLineChars="200"/>
              <w:rPr>
                <w:color w:val="auto"/>
                <w:sz w:val="24"/>
              </w:rPr>
            </w:pPr>
            <w:r>
              <w:rPr>
                <w:color w:val="auto"/>
                <w:sz w:val="24"/>
              </w:rPr>
              <w:t>本工程类比监测时所用的仪器见下表。</w:t>
            </w:r>
          </w:p>
          <w:p w14:paraId="47067118">
            <w:pPr>
              <w:adjustRightInd w:val="0"/>
              <w:snapToGrid w:val="0"/>
              <w:ind w:firstLine="482" w:firstLineChars="200"/>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 xml:space="preserve">4-6  </w:t>
            </w:r>
            <w:r>
              <w:rPr>
                <w:rFonts w:ascii="Times New Roman" w:hAnsi="Times New Roman"/>
                <w:b/>
                <w:color w:val="auto"/>
                <w:sz w:val="24"/>
                <w:szCs w:val="24"/>
              </w:rPr>
              <w:t>类比监测仪器</w:t>
            </w:r>
          </w:p>
          <w:tbl>
            <w:tblPr>
              <w:tblStyle w:val="27"/>
              <w:tblW w:w="8429"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10"/>
              <w:gridCol w:w="2233"/>
              <w:gridCol w:w="1302"/>
              <w:gridCol w:w="1754"/>
              <w:gridCol w:w="945"/>
              <w:gridCol w:w="1785"/>
            </w:tblGrid>
            <w:tr w14:paraId="2B8ECF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0" w:type="dxa"/>
                  <w:vMerge w:val="restart"/>
                  <w:tcBorders>
                    <w:tl2br w:val="nil"/>
                    <w:tr2bl w:val="nil"/>
                  </w:tcBorders>
                  <w:shd w:val="clear" w:color="auto" w:fill="auto"/>
                  <w:vAlign w:val="center"/>
                </w:tcPr>
                <w:p w14:paraId="5D2D7118">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噪声</w:t>
                  </w:r>
                </w:p>
              </w:tc>
              <w:tc>
                <w:tcPr>
                  <w:tcW w:w="2233" w:type="dxa"/>
                  <w:tcBorders>
                    <w:tl2br w:val="nil"/>
                    <w:tr2bl w:val="nil"/>
                  </w:tcBorders>
                  <w:shd w:val="clear" w:color="auto" w:fill="auto"/>
                  <w:vAlign w:val="center"/>
                </w:tcPr>
                <w:p w14:paraId="33589B95">
                  <w:pPr>
                    <w:autoSpaceDE w:val="0"/>
                    <w:autoSpaceDN w:val="0"/>
                    <w:adjustRightInd w:val="0"/>
                    <w:snapToGrid w:val="0"/>
                    <w:jc w:val="center"/>
                    <w:rPr>
                      <w:rFonts w:ascii="Times New Roman" w:hAnsi="Times New Roman"/>
                      <w:b/>
                      <w:bCs/>
                      <w:color w:val="auto"/>
                      <w:szCs w:val="21"/>
                    </w:rPr>
                  </w:pPr>
                  <w:r>
                    <w:rPr>
                      <w:rFonts w:ascii="Times New Roman" w:hAnsi="Times New Roman"/>
                      <w:b/>
                      <w:bCs/>
                      <w:color w:val="auto"/>
                      <w:szCs w:val="21"/>
                    </w:rPr>
                    <w:t>监测仪器</w:t>
                  </w:r>
                </w:p>
              </w:tc>
              <w:tc>
                <w:tcPr>
                  <w:tcW w:w="1302" w:type="dxa"/>
                  <w:tcBorders>
                    <w:tl2br w:val="nil"/>
                    <w:tr2bl w:val="nil"/>
                  </w:tcBorders>
                  <w:shd w:val="clear" w:color="auto" w:fill="auto"/>
                  <w:vAlign w:val="center"/>
                </w:tcPr>
                <w:p w14:paraId="69557240">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编号</w:t>
                  </w:r>
                </w:p>
              </w:tc>
              <w:tc>
                <w:tcPr>
                  <w:tcW w:w="1754" w:type="dxa"/>
                  <w:tcBorders>
                    <w:tl2br w:val="nil"/>
                    <w:tr2bl w:val="nil"/>
                  </w:tcBorders>
                  <w:shd w:val="clear" w:color="auto" w:fill="auto"/>
                  <w:vAlign w:val="center"/>
                </w:tcPr>
                <w:p w14:paraId="0E0CFA43">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证书编号</w:t>
                  </w:r>
                </w:p>
              </w:tc>
              <w:tc>
                <w:tcPr>
                  <w:tcW w:w="945" w:type="dxa"/>
                  <w:tcBorders>
                    <w:tl2br w:val="nil"/>
                    <w:tr2bl w:val="nil"/>
                  </w:tcBorders>
                  <w:shd w:val="clear" w:color="auto" w:fill="auto"/>
                  <w:vAlign w:val="center"/>
                </w:tcPr>
                <w:p w14:paraId="22E99D3B">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有效期至</w:t>
                  </w:r>
                </w:p>
              </w:tc>
              <w:tc>
                <w:tcPr>
                  <w:tcW w:w="1785" w:type="dxa"/>
                  <w:tcBorders>
                    <w:tl2br w:val="nil"/>
                    <w:tr2bl w:val="nil"/>
                  </w:tcBorders>
                  <w:shd w:val="clear" w:color="auto" w:fill="auto"/>
                  <w:vAlign w:val="center"/>
                </w:tcPr>
                <w:p w14:paraId="77419F72">
                  <w:pPr>
                    <w:widowControl/>
                    <w:kinsoku w:val="0"/>
                    <w:autoSpaceDE w:val="0"/>
                    <w:autoSpaceDN w:val="0"/>
                    <w:adjustRightInd w:val="0"/>
                    <w:snapToGrid w:val="0"/>
                    <w:jc w:val="center"/>
                    <w:textAlignment w:val="baseline"/>
                    <w:rPr>
                      <w:rFonts w:ascii="Times New Roman" w:hAnsi="Times New Roman"/>
                      <w:b/>
                      <w:bCs/>
                      <w:color w:val="auto"/>
                      <w:szCs w:val="21"/>
                    </w:rPr>
                  </w:pPr>
                  <w:r>
                    <w:rPr>
                      <w:rFonts w:ascii="Times New Roman" w:hAnsi="Times New Roman"/>
                      <w:b/>
                      <w:bCs/>
                      <w:color w:val="auto"/>
                      <w:szCs w:val="21"/>
                    </w:rPr>
                    <w:t>检定/校准单位</w:t>
                  </w:r>
                </w:p>
              </w:tc>
            </w:tr>
            <w:tr w14:paraId="0DF89E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410" w:type="dxa"/>
                  <w:vMerge w:val="continue"/>
                  <w:tcBorders>
                    <w:tl2br w:val="nil"/>
                    <w:tr2bl w:val="nil"/>
                  </w:tcBorders>
                  <w:shd w:val="clear" w:color="auto" w:fill="auto"/>
                  <w:vAlign w:val="center"/>
                </w:tcPr>
                <w:p w14:paraId="20B766FB">
                  <w:pPr>
                    <w:widowControl/>
                    <w:kinsoku w:val="0"/>
                    <w:autoSpaceDE w:val="0"/>
                    <w:autoSpaceDN w:val="0"/>
                    <w:adjustRightInd w:val="0"/>
                    <w:snapToGrid w:val="0"/>
                    <w:jc w:val="center"/>
                    <w:textAlignment w:val="baseline"/>
                    <w:rPr>
                      <w:rFonts w:ascii="Times New Roman" w:hAnsi="Times New Roman"/>
                      <w:color w:val="auto"/>
                      <w:szCs w:val="21"/>
                    </w:rPr>
                  </w:pPr>
                </w:p>
              </w:tc>
              <w:tc>
                <w:tcPr>
                  <w:tcW w:w="2233" w:type="dxa"/>
                  <w:tcBorders>
                    <w:tl2br w:val="nil"/>
                    <w:tr2bl w:val="nil"/>
                  </w:tcBorders>
                  <w:shd w:val="clear" w:color="auto" w:fill="auto"/>
                  <w:vAlign w:val="center"/>
                </w:tcPr>
                <w:p w14:paraId="36F66661">
                  <w:pPr>
                    <w:autoSpaceDE w:val="0"/>
                    <w:autoSpaceDN w:val="0"/>
                    <w:adjustRightInd w:val="0"/>
                    <w:snapToGrid w:val="0"/>
                    <w:jc w:val="center"/>
                    <w:rPr>
                      <w:rFonts w:ascii="Times New Roman" w:hAnsi="Times New Roman"/>
                      <w:color w:val="auto"/>
                      <w:spacing w:val="7"/>
                      <w:szCs w:val="21"/>
                    </w:rPr>
                  </w:pPr>
                  <w:r>
                    <w:rPr>
                      <w:rFonts w:ascii="Times New Roman" w:hAnsi="Times New Roman"/>
                      <w:color w:val="auto"/>
                      <w:spacing w:val="7"/>
                      <w:szCs w:val="21"/>
                    </w:rPr>
                    <w:t>多功能声级计</w:t>
                  </w:r>
                  <w:r>
                    <w:rPr>
                      <w:rFonts w:ascii="Times New Roman" w:hAnsi="Times New Roman"/>
                      <w:color w:val="auto"/>
                      <w:szCs w:val="21"/>
                    </w:rPr>
                    <w:t>AWA</w:t>
                  </w:r>
                  <w:r>
                    <w:rPr>
                      <w:rFonts w:hint="eastAsia" w:ascii="Times New Roman" w:hAnsi="Times New Roman"/>
                      <w:color w:val="auto"/>
                      <w:spacing w:val="3"/>
                      <w:szCs w:val="21"/>
                    </w:rPr>
                    <w:t>5688</w:t>
                  </w:r>
                </w:p>
              </w:tc>
              <w:tc>
                <w:tcPr>
                  <w:tcW w:w="1302" w:type="dxa"/>
                  <w:tcBorders>
                    <w:tl2br w:val="nil"/>
                    <w:tr2bl w:val="nil"/>
                  </w:tcBorders>
                  <w:shd w:val="clear" w:color="auto" w:fill="auto"/>
                  <w:vAlign w:val="center"/>
                </w:tcPr>
                <w:p w14:paraId="25C25DB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10350089</w:t>
                  </w:r>
                </w:p>
              </w:tc>
              <w:tc>
                <w:tcPr>
                  <w:tcW w:w="1754" w:type="dxa"/>
                  <w:tcBorders>
                    <w:tl2br w:val="nil"/>
                    <w:tr2bl w:val="nil"/>
                  </w:tcBorders>
                  <w:shd w:val="clear" w:color="auto" w:fill="auto"/>
                  <w:vAlign w:val="center"/>
                </w:tcPr>
                <w:p w14:paraId="2C933F4E">
                  <w:pPr>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8020139219-002</w:t>
                  </w:r>
                </w:p>
              </w:tc>
              <w:tc>
                <w:tcPr>
                  <w:tcW w:w="945" w:type="dxa"/>
                  <w:tcBorders>
                    <w:tl2br w:val="nil"/>
                    <w:tr2bl w:val="nil"/>
                  </w:tcBorders>
                  <w:shd w:val="clear" w:color="auto" w:fill="auto"/>
                  <w:vAlign w:val="center"/>
                </w:tcPr>
                <w:p w14:paraId="27F061CA">
                  <w:pPr>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2025.6.4</w:t>
                  </w:r>
                </w:p>
              </w:tc>
              <w:tc>
                <w:tcPr>
                  <w:tcW w:w="1785" w:type="dxa"/>
                  <w:tcBorders>
                    <w:tl2br w:val="nil"/>
                    <w:tr2bl w:val="nil"/>
                  </w:tcBorders>
                  <w:shd w:val="clear" w:color="auto" w:fill="auto"/>
                  <w:vAlign w:val="center"/>
                </w:tcPr>
                <w:p w14:paraId="4BE43CA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中检西南计量有限公司</w:t>
                  </w:r>
                </w:p>
              </w:tc>
            </w:tr>
          </w:tbl>
          <w:p w14:paraId="15F1E6A9">
            <w:pPr>
              <w:pStyle w:val="73"/>
              <w:tabs>
                <w:tab w:val="left" w:pos="1330"/>
              </w:tabs>
              <w:adjustRightInd w:val="0"/>
              <w:snapToGrid w:val="0"/>
              <w:spacing w:before="0" w:beforeAutospacing="0" w:after="0" w:afterAutospacing="0" w:line="440" w:lineRule="exact"/>
              <w:ind w:firstLine="482"/>
              <w:jc w:val="both"/>
              <w:rPr>
                <w:rFonts w:ascii="Times New Roman" w:hAnsi="Times New Roman"/>
                <w:b/>
                <w:bCs w:val="0"/>
                <w:color w:val="auto"/>
                <w:sz w:val="24"/>
                <w:szCs w:val="24"/>
              </w:rPr>
            </w:pPr>
            <w:r>
              <w:rPr>
                <w:rFonts w:ascii="Times New Roman" w:hAnsi="Times New Roman"/>
                <w:b/>
                <w:bCs w:val="0"/>
                <w:color w:val="auto"/>
                <w:sz w:val="24"/>
                <w:szCs w:val="24"/>
              </w:rPr>
              <w:t>（</w:t>
            </w:r>
            <w:r>
              <w:rPr>
                <w:rFonts w:hint="eastAsia" w:ascii="Times New Roman" w:hAnsi="Times New Roman"/>
                <w:b/>
                <w:bCs w:val="0"/>
                <w:color w:val="auto"/>
                <w:sz w:val="24"/>
                <w:szCs w:val="24"/>
              </w:rPr>
              <w:t>4</w:t>
            </w:r>
            <w:r>
              <w:rPr>
                <w:rFonts w:ascii="Times New Roman" w:hAnsi="Times New Roman"/>
                <w:b/>
                <w:bCs w:val="0"/>
                <w:color w:val="auto"/>
                <w:sz w:val="24"/>
                <w:szCs w:val="24"/>
              </w:rPr>
              <w:t>）监测环境</w:t>
            </w:r>
          </w:p>
          <w:p w14:paraId="7C2AAB58">
            <w:pPr>
              <w:adjustRightInd w:val="0"/>
              <w:snapToGrid w:val="0"/>
              <w:ind w:firstLine="482" w:firstLineChars="200"/>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 xml:space="preserve">4-7  </w:t>
            </w:r>
            <w:r>
              <w:rPr>
                <w:rFonts w:ascii="Times New Roman" w:hAnsi="Times New Roman"/>
                <w:b/>
                <w:color w:val="auto"/>
                <w:sz w:val="24"/>
                <w:szCs w:val="24"/>
              </w:rPr>
              <w:t>类比监测</w:t>
            </w:r>
            <w:r>
              <w:rPr>
                <w:rFonts w:hint="eastAsia" w:ascii="Times New Roman" w:hAnsi="Times New Roman"/>
                <w:b/>
                <w:color w:val="auto"/>
                <w:sz w:val="24"/>
                <w:szCs w:val="24"/>
              </w:rPr>
              <w:t>环境</w:t>
            </w:r>
          </w:p>
          <w:tbl>
            <w:tblPr>
              <w:tblStyle w:val="27"/>
              <w:tblW w:w="8429"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320"/>
              <w:gridCol w:w="1549"/>
              <w:gridCol w:w="1463"/>
              <w:gridCol w:w="1317"/>
              <w:gridCol w:w="1086"/>
              <w:gridCol w:w="694"/>
            </w:tblGrid>
            <w:tr w14:paraId="61A2FF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320" w:type="dxa"/>
                  <w:tcBorders>
                    <w:tl2br w:val="nil"/>
                    <w:tr2bl w:val="nil"/>
                  </w:tcBorders>
                  <w:shd w:val="clear" w:color="auto" w:fill="auto"/>
                  <w:vAlign w:val="center"/>
                </w:tcPr>
                <w:p w14:paraId="0BFC59E4">
                  <w:pPr>
                    <w:adjustRightInd w:val="0"/>
                    <w:snapToGrid w:val="0"/>
                    <w:jc w:val="center"/>
                    <w:rPr>
                      <w:rFonts w:ascii="Times New Roman" w:hAnsi="Times New Roman"/>
                      <w:b/>
                      <w:bCs/>
                      <w:color w:val="auto"/>
                      <w:spacing w:val="7"/>
                      <w:szCs w:val="21"/>
                    </w:rPr>
                  </w:pPr>
                  <w:r>
                    <w:rPr>
                      <w:rFonts w:ascii="Times New Roman" w:hAnsi="Times New Roman"/>
                      <w:b/>
                      <w:bCs/>
                      <w:color w:val="auto"/>
                      <w:spacing w:val="7"/>
                      <w:szCs w:val="21"/>
                    </w:rPr>
                    <w:t>项目</w:t>
                  </w:r>
                </w:p>
              </w:tc>
              <w:tc>
                <w:tcPr>
                  <w:tcW w:w="1549" w:type="dxa"/>
                  <w:tcBorders>
                    <w:tl2br w:val="nil"/>
                    <w:tr2bl w:val="nil"/>
                  </w:tcBorders>
                  <w:shd w:val="clear" w:color="auto" w:fill="auto"/>
                  <w:vAlign w:val="center"/>
                </w:tcPr>
                <w:p w14:paraId="6B112A4F">
                  <w:pPr>
                    <w:adjustRightInd w:val="0"/>
                    <w:snapToGrid w:val="0"/>
                    <w:jc w:val="center"/>
                    <w:rPr>
                      <w:rFonts w:ascii="Times New Roman" w:hAnsi="Times New Roman"/>
                      <w:color w:val="auto"/>
                      <w:szCs w:val="21"/>
                    </w:rPr>
                  </w:pPr>
                  <w:r>
                    <w:rPr>
                      <w:rFonts w:ascii="Times New Roman" w:hAnsi="Times New Roman"/>
                      <w:b/>
                      <w:bCs/>
                      <w:color w:val="auto"/>
                      <w:spacing w:val="7"/>
                      <w:szCs w:val="21"/>
                    </w:rPr>
                    <w:t>日期</w:t>
                  </w:r>
                </w:p>
              </w:tc>
              <w:tc>
                <w:tcPr>
                  <w:tcW w:w="1463" w:type="dxa"/>
                  <w:tcBorders>
                    <w:tl2br w:val="nil"/>
                    <w:tr2bl w:val="nil"/>
                  </w:tcBorders>
                  <w:shd w:val="clear" w:color="auto" w:fill="auto"/>
                  <w:vAlign w:val="center"/>
                </w:tcPr>
                <w:p w14:paraId="0C911888">
                  <w:pPr>
                    <w:adjustRightInd w:val="0"/>
                    <w:snapToGrid w:val="0"/>
                    <w:jc w:val="center"/>
                    <w:rPr>
                      <w:rFonts w:ascii="Times New Roman" w:hAnsi="Times New Roman"/>
                      <w:color w:val="auto"/>
                      <w:szCs w:val="21"/>
                    </w:rPr>
                  </w:pPr>
                  <w:r>
                    <w:rPr>
                      <w:rFonts w:ascii="Times New Roman" w:hAnsi="Times New Roman"/>
                      <w:b/>
                      <w:bCs/>
                      <w:color w:val="auto"/>
                      <w:spacing w:val="-4"/>
                      <w:szCs w:val="21"/>
                    </w:rPr>
                    <w:t>环境温度</w:t>
                  </w:r>
                  <w:r>
                    <w:rPr>
                      <w:rFonts w:hint="eastAsia" w:ascii="Times New Roman" w:hAnsi="Times New Roman"/>
                      <w:b/>
                      <w:bCs/>
                      <w:color w:val="auto"/>
                      <w:spacing w:val="-4"/>
                      <w:szCs w:val="21"/>
                    </w:rPr>
                    <w:t>（℃）</w:t>
                  </w:r>
                </w:p>
              </w:tc>
              <w:tc>
                <w:tcPr>
                  <w:tcW w:w="1317" w:type="dxa"/>
                  <w:tcBorders>
                    <w:tl2br w:val="nil"/>
                    <w:tr2bl w:val="nil"/>
                  </w:tcBorders>
                  <w:shd w:val="clear" w:color="auto" w:fill="auto"/>
                  <w:vAlign w:val="center"/>
                </w:tcPr>
                <w:p w14:paraId="3566C863">
                  <w:pPr>
                    <w:adjustRightInd w:val="0"/>
                    <w:snapToGrid w:val="0"/>
                    <w:jc w:val="center"/>
                    <w:rPr>
                      <w:rFonts w:ascii="Times New Roman" w:hAnsi="Times New Roman"/>
                      <w:color w:val="auto"/>
                      <w:szCs w:val="21"/>
                    </w:rPr>
                  </w:pPr>
                  <w:r>
                    <w:rPr>
                      <w:rFonts w:ascii="Times New Roman" w:hAnsi="Times New Roman"/>
                      <w:b/>
                      <w:bCs/>
                      <w:color w:val="auto"/>
                      <w:spacing w:val="-4"/>
                      <w:szCs w:val="21"/>
                    </w:rPr>
                    <w:t>相对湿度</w:t>
                  </w:r>
                </w:p>
              </w:tc>
              <w:tc>
                <w:tcPr>
                  <w:tcW w:w="1086" w:type="dxa"/>
                  <w:tcBorders>
                    <w:tl2br w:val="nil"/>
                    <w:tr2bl w:val="nil"/>
                  </w:tcBorders>
                  <w:shd w:val="clear" w:color="auto" w:fill="auto"/>
                  <w:vAlign w:val="center"/>
                </w:tcPr>
                <w:p w14:paraId="43225388">
                  <w:pPr>
                    <w:adjustRightInd w:val="0"/>
                    <w:snapToGrid w:val="0"/>
                    <w:jc w:val="center"/>
                    <w:rPr>
                      <w:rFonts w:ascii="Times New Roman" w:hAnsi="Times New Roman"/>
                      <w:color w:val="auto"/>
                      <w:szCs w:val="21"/>
                    </w:rPr>
                  </w:pPr>
                  <w:r>
                    <w:rPr>
                      <w:rFonts w:ascii="Times New Roman" w:hAnsi="Times New Roman"/>
                      <w:b/>
                      <w:bCs/>
                      <w:color w:val="auto"/>
                      <w:spacing w:val="-5"/>
                      <w:szCs w:val="21"/>
                    </w:rPr>
                    <w:t>风速</w:t>
                  </w:r>
                </w:p>
              </w:tc>
              <w:tc>
                <w:tcPr>
                  <w:tcW w:w="694" w:type="dxa"/>
                  <w:tcBorders>
                    <w:tl2br w:val="nil"/>
                    <w:tr2bl w:val="nil"/>
                  </w:tcBorders>
                  <w:shd w:val="clear" w:color="auto" w:fill="auto"/>
                  <w:vAlign w:val="center"/>
                </w:tcPr>
                <w:p w14:paraId="16EB72E2">
                  <w:pPr>
                    <w:adjustRightInd w:val="0"/>
                    <w:snapToGrid w:val="0"/>
                    <w:jc w:val="center"/>
                    <w:rPr>
                      <w:rFonts w:ascii="Times New Roman" w:hAnsi="Times New Roman"/>
                      <w:color w:val="auto"/>
                      <w:szCs w:val="21"/>
                    </w:rPr>
                  </w:pPr>
                  <w:r>
                    <w:rPr>
                      <w:rFonts w:ascii="Times New Roman" w:hAnsi="Times New Roman"/>
                      <w:b/>
                      <w:bCs/>
                      <w:color w:val="auto"/>
                      <w:spacing w:val="1"/>
                      <w:szCs w:val="21"/>
                    </w:rPr>
                    <w:t>天气</w:t>
                  </w:r>
                </w:p>
              </w:tc>
            </w:tr>
            <w:tr w14:paraId="5FBB4D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320" w:type="dxa"/>
                  <w:tcBorders>
                    <w:tl2br w:val="nil"/>
                    <w:tr2bl w:val="nil"/>
                  </w:tcBorders>
                  <w:shd w:val="clear" w:color="auto" w:fill="auto"/>
                  <w:vAlign w:val="center"/>
                </w:tcPr>
                <w:p w14:paraId="453E0711">
                  <w:pPr>
                    <w:adjustRightInd w:val="0"/>
                    <w:snapToGrid w:val="0"/>
                    <w:jc w:val="center"/>
                    <w:rPr>
                      <w:rFonts w:ascii="Times New Roman" w:hAnsi="Times New Roman"/>
                      <w:color w:val="auto"/>
                      <w:spacing w:val="-12"/>
                      <w:position w:val="1"/>
                      <w:szCs w:val="21"/>
                    </w:rPr>
                  </w:pPr>
                  <w:r>
                    <w:rPr>
                      <w:rFonts w:ascii="Times New Roman" w:hAnsi="Times New Roman"/>
                      <w:bCs/>
                      <w:color w:val="auto"/>
                      <w:szCs w:val="21"/>
                    </w:rPr>
                    <w:t>隆阳区河湾光伏电站接网工程运行期环境现状检测</w:t>
                  </w:r>
                </w:p>
              </w:tc>
              <w:tc>
                <w:tcPr>
                  <w:tcW w:w="1549" w:type="dxa"/>
                  <w:tcBorders>
                    <w:tl2br w:val="nil"/>
                    <w:tr2bl w:val="nil"/>
                  </w:tcBorders>
                  <w:shd w:val="clear" w:color="auto" w:fill="auto"/>
                  <w:vAlign w:val="center"/>
                </w:tcPr>
                <w:p w14:paraId="77A1EBD7">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202</w:t>
                  </w:r>
                  <w:r>
                    <w:rPr>
                      <w:rFonts w:hint="eastAsia" w:ascii="Times New Roman" w:hAnsi="Times New Roman"/>
                      <w:color w:val="auto"/>
                      <w:spacing w:val="-6"/>
                      <w:position w:val="1"/>
                      <w:szCs w:val="21"/>
                    </w:rPr>
                    <w:t>4</w:t>
                  </w:r>
                  <w:r>
                    <w:rPr>
                      <w:rFonts w:ascii="Times New Roman" w:hAnsi="Times New Roman"/>
                      <w:color w:val="auto"/>
                      <w:spacing w:val="-6"/>
                      <w:position w:val="1"/>
                      <w:szCs w:val="21"/>
                    </w:rPr>
                    <w:t>年</w:t>
                  </w:r>
                  <w:r>
                    <w:rPr>
                      <w:rFonts w:hint="eastAsia" w:ascii="Times New Roman" w:hAnsi="Times New Roman"/>
                      <w:color w:val="auto"/>
                      <w:spacing w:val="-6"/>
                      <w:position w:val="1"/>
                      <w:szCs w:val="21"/>
                    </w:rPr>
                    <w:t>7</w:t>
                  </w:r>
                  <w:r>
                    <w:rPr>
                      <w:rFonts w:ascii="Times New Roman" w:hAnsi="Times New Roman"/>
                      <w:color w:val="auto"/>
                      <w:spacing w:val="-6"/>
                      <w:position w:val="1"/>
                      <w:szCs w:val="21"/>
                    </w:rPr>
                    <w:t>月</w:t>
                  </w:r>
                  <w:r>
                    <w:rPr>
                      <w:rFonts w:hint="eastAsia" w:ascii="Times New Roman" w:hAnsi="Times New Roman"/>
                      <w:color w:val="auto"/>
                      <w:spacing w:val="-6"/>
                      <w:position w:val="1"/>
                      <w:szCs w:val="21"/>
                    </w:rPr>
                    <w:t>31</w:t>
                  </w:r>
                  <w:r>
                    <w:rPr>
                      <w:rFonts w:ascii="Times New Roman" w:hAnsi="Times New Roman"/>
                      <w:color w:val="auto"/>
                      <w:spacing w:val="-6"/>
                      <w:position w:val="1"/>
                      <w:szCs w:val="21"/>
                    </w:rPr>
                    <w:t>日</w:t>
                  </w:r>
                </w:p>
              </w:tc>
              <w:tc>
                <w:tcPr>
                  <w:tcW w:w="1463" w:type="dxa"/>
                  <w:tcBorders>
                    <w:tl2br w:val="nil"/>
                    <w:tr2bl w:val="nil"/>
                  </w:tcBorders>
                  <w:shd w:val="clear" w:color="auto" w:fill="auto"/>
                  <w:vAlign w:val="center"/>
                </w:tcPr>
                <w:p w14:paraId="19E1A10D">
                  <w:pPr>
                    <w:adjustRightInd w:val="0"/>
                    <w:snapToGrid w:val="0"/>
                    <w:jc w:val="center"/>
                    <w:rPr>
                      <w:rFonts w:ascii="Times New Roman" w:hAnsi="Times New Roman"/>
                      <w:color w:val="auto"/>
                      <w:spacing w:val="-1"/>
                      <w:szCs w:val="21"/>
                    </w:rPr>
                  </w:pPr>
                  <w:r>
                    <w:rPr>
                      <w:rFonts w:hint="eastAsia" w:ascii="Times New Roman" w:hAnsi="Times New Roman"/>
                      <w:color w:val="auto"/>
                      <w:spacing w:val="-1"/>
                      <w:szCs w:val="21"/>
                    </w:rPr>
                    <w:t>18.9</w:t>
                  </w:r>
                  <w:r>
                    <w:rPr>
                      <w:rFonts w:ascii="Times New Roman" w:hAnsi="Times New Roman"/>
                      <w:color w:val="auto"/>
                      <w:spacing w:val="-1"/>
                      <w:szCs w:val="21"/>
                    </w:rPr>
                    <w:t>~</w:t>
                  </w:r>
                  <w:r>
                    <w:rPr>
                      <w:rFonts w:hint="eastAsia" w:ascii="Times New Roman" w:hAnsi="Times New Roman"/>
                      <w:color w:val="auto"/>
                      <w:spacing w:val="-1"/>
                      <w:szCs w:val="21"/>
                    </w:rPr>
                    <w:t>27.8</w:t>
                  </w:r>
                </w:p>
              </w:tc>
              <w:tc>
                <w:tcPr>
                  <w:tcW w:w="1317" w:type="dxa"/>
                  <w:tcBorders>
                    <w:tl2br w:val="nil"/>
                    <w:tr2bl w:val="nil"/>
                  </w:tcBorders>
                  <w:shd w:val="clear" w:color="auto" w:fill="auto"/>
                  <w:vAlign w:val="center"/>
                </w:tcPr>
                <w:p w14:paraId="7FEC32A1">
                  <w:pPr>
                    <w:adjustRightInd w:val="0"/>
                    <w:snapToGrid w:val="0"/>
                    <w:jc w:val="center"/>
                    <w:rPr>
                      <w:rFonts w:ascii="Times New Roman" w:hAnsi="Times New Roman"/>
                      <w:color w:val="auto"/>
                      <w:spacing w:val="-1"/>
                      <w:szCs w:val="21"/>
                    </w:rPr>
                  </w:pPr>
                  <w:r>
                    <w:rPr>
                      <w:rFonts w:hint="eastAsia" w:ascii="Times New Roman" w:hAnsi="Times New Roman"/>
                      <w:color w:val="auto"/>
                      <w:spacing w:val="-1"/>
                      <w:szCs w:val="21"/>
                    </w:rPr>
                    <w:t>39%—53%</w:t>
                  </w:r>
                  <w:r>
                    <w:rPr>
                      <w:rFonts w:ascii="Times New Roman" w:hAnsi="Times New Roman"/>
                      <w:color w:val="auto"/>
                      <w:spacing w:val="-1"/>
                      <w:szCs w:val="21"/>
                    </w:rPr>
                    <w:t>RH</w:t>
                  </w:r>
                </w:p>
              </w:tc>
              <w:tc>
                <w:tcPr>
                  <w:tcW w:w="1086" w:type="dxa"/>
                  <w:tcBorders>
                    <w:tl2br w:val="nil"/>
                    <w:tr2bl w:val="nil"/>
                  </w:tcBorders>
                  <w:shd w:val="clear" w:color="auto" w:fill="auto"/>
                  <w:vAlign w:val="center"/>
                </w:tcPr>
                <w:p w14:paraId="235F528F">
                  <w:pPr>
                    <w:adjustRightInd w:val="0"/>
                    <w:snapToGrid w:val="0"/>
                    <w:jc w:val="center"/>
                    <w:rPr>
                      <w:rFonts w:ascii="Times New Roman" w:hAnsi="Times New Roman"/>
                      <w:color w:val="auto"/>
                      <w:spacing w:val="-1"/>
                      <w:szCs w:val="21"/>
                    </w:rPr>
                  </w:pPr>
                  <w:r>
                    <w:rPr>
                      <w:rFonts w:ascii="Times New Roman" w:hAnsi="Times New Roman"/>
                      <w:color w:val="auto"/>
                      <w:spacing w:val="-1"/>
                      <w:szCs w:val="21"/>
                    </w:rPr>
                    <w:t>0.</w:t>
                  </w:r>
                  <w:r>
                    <w:rPr>
                      <w:rFonts w:hint="eastAsia" w:ascii="Times New Roman" w:hAnsi="Times New Roman"/>
                      <w:color w:val="auto"/>
                      <w:spacing w:val="-1"/>
                      <w:szCs w:val="21"/>
                    </w:rPr>
                    <w:t>3</w:t>
                  </w:r>
                  <w:r>
                    <w:rPr>
                      <w:rFonts w:ascii="Times New Roman" w:hAnsi="Times New Roman"/>
                      <w:color w:val="auto"/>
                      <w:spacing w:val="-1"/>
                      <w:szCs w:val="21"/>
                    </w:rPr>
                    <w:t>~1.</w:t>
                  </w:r>
                  <w:r>
                    <w:rPr>
                      <w:rFonts w:hint="eastAsia" w:ascii="Times New Roman" w:hAnsi="Times New Roman"/>
                      <w:color w:val="auto"/>
                      <w:spacing w:val="-1"/>
                      <w:szCs w:val="21"/>
                    </w:rPr>
                    <w:t>9</w:t>
                  </w:r>
                </w:p>
              </w:tc>
              <w:tc>
                <w:tcPr>
                  <w:tcW w:w="694" w:type="dxa"/>
                  <w:tcBorders>
                    <w:tl2br w:val="nil"/>
                    <w:tr2bl w:val="nil"/>
                  </w:tcBorders>
                  <w:shd w:val="clear" w:color="auto" w:fill="auto"/>
                  <w:vAlign w:val="center"/>
                </w:tcPr>
                <w:p w14:paraId="1AEF0C65">
                  <w:pPr>
                    <w:adjustRightInd w:val="0"/>
                    <w:snapToGrid w:val="0"/>
                    <w:jc w:val="center"/>
                    <w:rPr>
                      <w:rFonts w:ascii="Times New Roman" w:hAnsi="Times New Roman"/>
                      <w:color w:val="auto"/>
                      <w:spacing w:val="-1"/>
                      <w:szCs w:val="21"/>
                    </w:rPr>
                  </w:pPr>
                  <w:r>
                    <w:rPr>
                      <w:rFonts w:hint="eastAsia" w:ascii="Times New Roman" w:hAnsi="Times New Roman"/>
                      <w:color w:val="auto"/>
                      <w:spacing w:val="-1"/>
                      <w:szCs w:val="21"/>
                    </w:rPr>
                    <w:t>晴</w:t>
                  </w:r>
                </w:p>
              </w:tc>
            </w:tr>
          </w:tbl>
          <w:p w14:paraId="2F93DE59">
            <w:pPr>
              <w:pStyle w:val="2"/>
              <w:widowControl/>
              <w:adjustRightInd w:val="0"/>
              <w:snapToGrid w:val="0"/>
              <w:spacing w:after="0" w:line="440" w:lineRule="exact"/>
              <w:ind w:firstLine="480" w:firstLineChars="200"/>
              <w:rPr>
                <w:color w:val="auto"/>
                <w:sz w:val="24"/>
              </w:rPr>
            </w:pPr>
            <w:r>
              <w:rPr>
                <w:color w:val="auto"/>
                <w:sz w:val="24"/>
              </w:rPr>
              <w:t>监测环境：类比线路监测点附近平坦开阔，符合监测技术条件要求。</w:t>
            </w:r>
          </w:p>
          <w:p w14:paraId="56C5D5F2">
            <w:pPr>
              <w:jc w:val="center"/>
              <w:rPr>
                <w:rFonts w:ascii="Times New Roman" w:hAnsi="Times New Roman"/>
                <w:b/>
                <w:color w:val="auto"/>
                <w:sz w:val="24"/>
              </w:rPr>
            </w:pPr>
            <w:r>
              <w:rPr>
                <w:rFonts w:ascii="Times New Roman" w:hAnsi="Times New Roman"/>
                <w:b/>
                <w:color w:val="auto"/>
                <w:sz w:val="24"/>
              </w:rPr>
              <w:t>表4-</w:t>
            </w:r>
            <w:r>
              <w:rPr>
                <w:rFonts w:hint="eastAsia" w:ascii="Times New Roman" w:hAnsi="Times New Roman"/>
                <w:b/>
                <w:color w:val="auto"/>
                <w:sz w:val="24"/>
              </w:rPr>
              <w:t>8</w:t>
            </w:r>
            <w:r>
              <w:rPr>
                <w:rFonts w:ascii="Times New Roman" w:hAnsi="Times New Roman"/>
                <w:b/>
                <w:color w:val="auto"/>
                <w:sz w:val="24"/>
              </w:rPr>
              <w:t xml:space="preserve">  类比监测期间最大运行工况</w:t>
            </w:r>
          </w:p>
          <w:tbl>
            <w:tblPr>
              <w:tblStyle w:val="27"/>
              <w:tblW w:w="8432"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1472"/>
              <w:gridCol w:w="1518"/>
              <w:gridCol w:w="1147"/>
              <w:gridCol w:w="1119"/>
              <w:gridCol w:w="1549"/>
              <w:gridCol w:w="1627"/>
            </w:tblGrid>
            <w:tr w14:paraId="5357DA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c>
                <w:tcPr>
                  <w:tcW w:w="1472" w:type="dxa"/>
                  <w:tcBorders>
                    <w:tl2br w:val="nil"/>
                    <w:tr2bl w:val="nil"/>
                  </w:tcBorders>
                  <w:shd w:val="clear" w:color="auto" w:fill="auto"/>
                  <w:noWrap/>
                  <w:vAlign w:val="center"/>
                </w:tcPr>
                <w:p w14:paraId="7EAD880A">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日期</w:t>
                  </w:r>
                </w:p>
              </w:tc>
              <w:tc>
                <w:tcPr>
                  <w:tcW w:w="1518" w:type="dxa"/>
                  <w:tcBorders>
                    <w:tl2br w:val="nil"/>
                    <w:tr2bl w:val="nil"/>
                  </w:tcBorders>
                  <w:shd w:val="clear" w:color="auto" w:fill="auto"/>
                  <w:noWrap/>
                  <w:vAlign w:val="center"/>
                </w:tcPr>
                <w:p w14:paraId="6248F3BF">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名称</w:t>
                  </w:r>
                </w:p>
              </w:tc>
              <w:tc>
                <w:tcPr>
                  <w:tcW w:w="1147" w:type="dxa"/>
                  <w:tcBorders>
                    <w:tl2br w:val="nil"/>
                    <w:tr2bl w:val="nil"/>
                  </w:tcBorders>
                  <w:shd w:val="clear" w:color="auto" w:fill="auto"/>
                  <w:noWrap/>
                  <w:vAlign w:val="center"/>
                </w:tcPr>
                <w:p w14:paraId="23BBDA01">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电压值（kV）</w:t>
                  </w:r>
                </w:p>
              </w:tc>
              <w:tc>
                <w:tcPr>
                  <w:tcW w:w="1119" w:type="dxa"/>
                  <w:tcBorders>
                    <w:tl2br w:val="nil"/>
                    <w:tr2bl w:val="nil"/>
                  </w:tcBorders>
                  <w:shd w:val="clear" w:color="auto" w:fill="auto"/>
                  <w:noWrap/>
                  <w:vAlign w:val="center"/>
                </w:tcPr>
                <w:p w14:paraId="78A71640">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电流值（A）</w:t>
                  </w:r>
                </w:p>
              </w:tc>
              <w:tc>
                <w:tcPr>
                  <w:tcW w:w="1549" w:type="dxa"/>
                  <w:tcBorders>
                    <w:tl2br w:val="nil"/>
                    <w:tr2bl w:val="nil"/>
                  </w:tcBorders>
                  <w:shd w:val="clear" w:color="auto" w:fill="auto"/>
                  <w:noWrap/>
                  <w:vAlign w:val="center"/>
                </w:tcPr>
                <w:p w14:paraId="3D0D96CD">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有功功率（MW）</w:t>
                  </w:r>
                </w:p>
              </w:tc>
              <w:tc>
                <w:tcPr>
                  <w:tcW w:w="1627" w:type="dxa"/>
                  <w:tcBorders>
                    <w:tl2br w:val="nil"/>
                    <w:tr2bl w:val="nil"/>
                  </w:tcBorders>
                  <w:shd w:val="clear" w:color="auto" w:fill="auto"/>
                  <w:noWrap/>
                  <w:vAlign w:val="center"/>
                </w:tcPr>
                <w:p w14:paraId="4D5F128F">
                  <w:pPr>
                    <w:adjustRightInd w:val="0"/>
                    <w:snapToGrid w:val="0"/>
                    <w:jc w:val="center"/>
                    <w:rPr>
                      <w:rFonts w:ascii="Times New Roman" w:hAnsi="Times New Roman"/>
                      <w:b/>
                      <w:bCs/>
                      <w:color w:val="auto"/>
                      <w:spacing w:val="-6"/>
                      <w:position w:val="1"/>
                      <w:szCs w:val="21"/>
                    </w:rPr>
                  </w:pPr>
                  <w:r>
                    <w:rPr>
                      <w:rFonts w:ascii="Times New Roman" w:hAnsi="Times New Roman"/>
                      <w:b/>
                      <w:bCs/>
                      <w:color w:val="auto"/>
                      <w:spacing w:val="-6"/>
                      <w:position w:val="1"/>
                      <w:szCs w:val="21"/>
                    </w:rPr>
                    <w:t>无功功率（Mvar）</w:t>
                  </w:r>
                </w:p>
              </w:tc>
            </w:tr>
            <w:tr w14:paraId="108C23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c>
                <w:tcPr>
                  <w:tcW w:w="1472" w:type="dxa"/>
                  <w:tcBorders>
                    <w:tl2br w:val="nil"/>
                    <w:tr2bl w:val="nil"/>
                  </w:tcBorders>
                  <w:shd w:val="clear" w:color="auto" w:fill="auto"/>
                  <w:noWrap/>
                  <w:vAlign w:val="center"/>
                </w:tcPr>
                <w:p w14:paraId="6C73D467">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2024.07.31~08.01</w:t>
                  </w:r>
                </w:p>
              </w:tc>
              <w:tc>
                <w:tcPr>
                  <w:tcW w:w="1518" w:type="dxa"/>
                  <w:tcBorders>
                    <w:tl2br w:val="nil"/>
                    <w:tr2bl w:val="nil"/>
                  </w:tcBorders>
                  <w:shd w:val="clear" w:color="auto" w:fill="auto"/>
                  <w:noWrap/>
                  <w:vAlign w:val="center"/>
                </w:tcPr>
                <w:p w14:paraId="32A8733F">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220kV兰河线</w:t>
                  </w:r>
                </w:p>
              </w:tc>
              <w:tc>
                <w:tcPr>
                  <w:tcW w:w="1147" w:type="dxa"/>
                  <w:tcBorders>
                    <w:tl2br w:val="nil"/>
                    <w:tr2bl w:val="nil"/>
                  </w:tcBorders>
                  <w:shd w:val="clear" w:color="auto" w:fill="auto"/>
                  <w:noWrap/>
                  <w:vAlign w:val="center"/>
                </w:tcPr>
                <w:p w14:paraId="035A0D3C">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231.8~232.9</w:t>
                  </w:r>
                </w:p>
              </w:tc>
              <w:tc>
                <w:tcPr>
                  <w:tcW w:w="1119" w:type="dxa"/>
                  <w:tcBorders>
                    <w:tl2br w:val="nil"/>
                    <w:tr2bl w:val="nil"/>
                  </w:tcBorders>
                  <w:shd w:val="clear" w:color="auto" w:fill="auto"/>
                  <w:noWrap/>
                  <w:vAlign w:val="center"/>
                </w:tcPr>
                <w:p w14:paraId="30BA6601">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56.6~58.7</w:t>
                  </w:r>
                </w:p>
              </w:tc>
              <w:tc>
                <w:tcPr>
                  <w:tcW w:w="1549" w:type="dxa"/>
                  <w:tcBorders>
                    <w:tl2br w:val="nil"/>
                    <w:tr2bl w:val="nil"/>
                  </w:tcBorders>
                  <w:shd w:val="clear" w:color="auto" w:fill="auto"/>
                  <w:noWrap/>
                  <w:vAlign w:val="center"/>
                </w:tcPr>
                <w:p w14:paraId="79E7F878">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-21.8~-24.3</w:t>
                  </w:r>
                </w:p>
              </w:tc>
              <w:tc>
                <w:tcPr>
                  <w:tcW w:w="1627" w:type="dxa"/>
                  <w:tcBorders>
                    <w:tl2br w:val="nil"/>
                    <w:tr2bl w:val="nil"/>
                  </w:tcBorders>
                  <w:shd w:val="clear" w:color="auto" w:fill="auto"/>
                  <w:noWrap/>
                  <w:vAlign w:val="center"/>
                </w:tcPr>
                <w:p w14:paraId="53341811">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-7.8~-8.6</w:t>
                  </w:r>
                </w:p>
              </w:tc>
            </w:tr>
            <w:tr w14:paraId="3BBB70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c>
                <w:tcPr>
                  <w:tcW w:w="1472" w:type="dxa"/>
                  <w:tcBorders>
                    <w:tl2br w:val="nil"/>
                    <w:tr2bl w:val="nil"/>
                  </w:tcBorders>
                  <w:shd w:val="clear" w:color="auto" w:fill="auto"/>
                  <w:noWrap/>
                  <w:vAlign w:val="center"/>
                </w:tcPr>
                <w:p w14:paraId="6B3747D0">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2024.07.31~08.01</w:t>
                  </w:r>
                </w:p>
              </w:tc>
              <w:tc>
                <w:tcPr>
                  <w:tcW w:w="1518" w:type="dxa"/>
                  <w:tcBorders>
                    <w:tl2br w:val="nil"/>
                    <w:tr2bl w:val="nil"/>
                  </w:tcBorders>
                  <w:shd w:val="clear" w:color="auto" w:fill="auto"/>
                  <w:noWrap/>
                  <w:vAlign w:val="center"/>
                </w:tcPr>
                <w:p w14:paraId="42CADA24">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220kV兰昌I回线</w:t>
                  </w:r>
                </w:p>
              </w:tc>
              <w:tc>
                <w:tcPr>
                  <w:tcW w:w="1147" w:type="dxa"/>
                  <w:tcBorders>
                    <w:tl2br w:val="nil"/>
                    <w:tr2bl w:val="nil"/>
                  </w:tcBorders>
                  <w:shd w:val="clear" w:color="auto" w:fill="auto"/>
                  <w:noWrap/>
                  <w:vAlign w:val="center"/>
                </w:tcPr>
                <w:p w14:paraId="7B1F8059">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230.2~233.4</w:t>
                  </w:r>
                </w:p>
              </w:tc>
              <w:tc>
                <w:tcPr>
                  <w:tcW w:w="1119" w:type="dxa"/>
                  <w:tcBorders>
                    <w:tl2br w:val="nil"/>
                    <w:tr2bl w:val="nil"/>
                  </w:tcBorders>
                  <w:shd w:val="clear" w:color="auto" w:fill="auto"/>
                  <w:noWrap/>
                  <w:vAlign w:val="center"/>
                </w:tcPr>
                <w:p w14:paraId="028BDE68">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85.8~93.5</w:t>
                  </w:r>
                </w:p>
              </w:tc>
              <w:tc>
                <w:tcPr>
                  <w:tcW w:w="1549" w:type="dxa"/>
                  <w:tcBorders>
                    <w:tl2br w:val="nil"/>
                    <w:tr2bl w:val="nil"/>
                  </w:tcBorders>
                  <w:shd w:val="clear" w:color="auto" w:fill="auto"/>
                  <w:noWrap/>
                  <w:vAlign w:val="center"/>
                </w:tcPr>
                <w:p w14:paraId="4ADFE9DD">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35.8~40.7</w:t>
                  </w:r>
                </w:p>
              </w:tc>
              <w:tc>
                <w:tcPr>
                  <w:tcW w:w="1627" w:type="dxa"/>
                  <w:tcBorders>
                    <w:tl2br w:val="nil"/>
                    <w:tr2bl w:val="nil"/>
                  </w:tcBorders>
                  <w:shd w:val="clear" w:color="auto" w:fill="auto"/>
                  <w:noWrap/>
                  <w:vAlign w:val="center"/>
                </w:tcPr>
                <w:p w14:paraId="0B1B91F7">
                  <w:pPr>
                    <w:adjustRightInd w:val="0"/>
                    <w:snapToGrid w:val="0"/>
                    <w:jc w:val="center"/>
                    <w:rPr>
                      <w:rFonts w:ascii="Times New Roman" w:hAnsi="Times New Roman"/>
                      <w:color w:val="auto"/>
                      <w:spacing w:val="-6"/>
                      <w:position w:val="1"/>
                      <w:szCs w:val="21"/>
                    </w:rPr>
                  </w:pPr>
                  <w:r>
                    <w:rPr>
                      <w:rFonts w:ascii="Times New Roman" w:hAnsi="Times New Roman"/>
                      <w:color w:val="auto"/>
                      <w:spacing w:val="-6"/>
                      <w:position w:val="1"/>
                      <w:szCs w:val="21"/>
                    </w:rPr>
                    <w:t>0~2.9</w:t>
                  </w:r>
                </w:p>
              </w:tc>
            </w:tr>
          </w:tbl>
          <w:p w14:paraId="20DA6197">
            <w:pPr>
              <w:pStyle w:val="73"/>
              <w:tabs>
                <w:tab w:val="left" w:pos="1330"/>
              </w:tabs>
              <w:adjustRightInd w:val="0"/>
              <w:snapToGrid w:val="0"/>
              <w:spacing w:before="0" w:beforeAutospacing="0" w:after="0" w:afterAutospacing="0" w:line="440" w:lineRule="exact"/>
              <w:ind w:firstLine="480"/>
              <w:jc w:val="both"/>
              <w:rPr>
                <w:color w:val="auto"/>
                <w:sz w:val="24"/>
              </w:rPr>
            </w:pPr>
            <w:r>
              <w:rPr>
                <w:rFonts w:hint="eastAsia"/>
                <w:color w:val="auto"/>
                <w:sz w:val="24"/>
              </w:rPr>
              <w:t>根据调查，</w:t>
            </w:r>
            <w:r>
              <w:rPr>
                <w:color w:val="auto"/>
                <w:sz w:val="24"/>
              </w:rPr>
              <w:t>监测期间</w:t>
            </w:r>
            <w:r>
              <w:rPr>
                <w:rFonts w:hint="eastAsia"/>
                <w:color w:val="auto"/>
                <w:sz w:val="24"/>
              </w:rPr>
              <w:t>输电线路正常运行。</w:t>
            </w:r>
          </w:p>
          <w:p w14:paraId="74DE9B72">
            <w:pPr>
              <w:pStyle w:val="73"/>
              <w:tabs>
                <w:tab w:val="left" w:pos="1330"/>
              </w:tabs>
              <w:adjustRightInd w:val="0"/>
              <w:snapToGrid w:val="0"/>
              <w:spacing w:before="0" w:beforeAutospacing="0" w:after="0" w:afterAutospacing="0" w:line="440" w:lineRule="exact"/>
              <w:ind w:firstLine="482"/>
              <w:jc w:val="both"/>
              <w:rPr>
                <w:rFonts w:ascii="Times New Roman" w:hAnsi="Times New Roman"/>
                <w:b/>
                <w:bCs w:val="0"/>
                <w:color w:val="auto"/>
                <w:sz w:val="24"/>
                <w:szCs w:val="24"/>
              </w:rPr>
            </w:pPr>
            <w:r>
              <w:rPr>
                <w:rFonts w:hint="eastAsia" w:ascii="Times New Roman" w:hAnsi="Times New Roman"/>
                <w:b/>
                <w:bCs w:val="0"/>
                <w:color w:val="auto"/>
                <w:sz w:val="24"/>
                <w:szCs w:val="24"/>
              </w:rPr>
              <w:t>（5）类比监测结果</w:t>
            </w:r>
          </w:p>
          <w:p w14:paraId="1AFE4A18">
            <w:pPr>
              <w:widowControl/>
              <w:tabs>
                <w:tab w:val="left" w:pos="8814"/>
              </w:tabs>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类比监测结果见表4-</w:t>
            </w:r>
            <w:r>
              <w:rPr>
                <w:rFonts w:hint="eastAsia" w:ascii="Times New Roman" w:hAnsi="Times New Roman"/>
                <w:color w:val="auto"/>
                <w:sz w:val="24"/>
              </w:rPr>
              <w:t>9</w:t>
            </w:r>
            <w:r>
              <w:rPr>
                <w:rFonts w:ascii="Times New Roman" w:hAnsi="Times New Roman"/>
                <w:color w:val="auto"/>
                <w:sz w:val="24"/>
              </w:rPr>
              <w:t>，类比监测报告见附件。</w:t>
            </w:r>
          </w:p>
          <w:p w14:paraId="286D40EE">
            <w:pPr>
              <w:adjustRightInd w:val="0"/>
              <w:snapToGrid w:val="0"/>
              <w:ind w:firstLine="482" w:firstLineChars="200"/>
              <w:jc w:val="center"/>
              <w:rPr>
                <w:rFonts w:ascii="Times New Roman" w:hAnsi="Times New Roman"/>
                <w:b/>
                <w:color w:val="auto"/>
                <w:sz w:val="24"/>
                <w:szCs w:val="24"/>
              </w:rPr>
            </w:pPr>
            <w:r>
              <w:rPr>
                <w:rFonts w:ascii="Times New Roman" w:hAnsi="Times New Roman"/>
                <w:b/>
                <w:color w:val="auto"/>
                <w:sz w:val="24"/>
                <w:szCs w:val="24"/>
              </w:rPr>
              <w:t>表4-</w:t>
            </w:r>
            <w:r>
              <w:rPr>
                <w:rFonts w:hint="eastAsia" w:ascii="Times New Roman" w:hAnsi="Times New Roman"/>
                <w:b/>
                <w:color w:val="auto"/>
                <w:sz w:val="24"/>
                <w:szCs w:val="24"/>
              </w:rPr>
              <w:t>9  220kV</w:t>
            </w:r>
            <w:r>
              <w:rPr>
                <w:rFonts w:ascii="Times New Roman" w:hAnsi="Times New Roman"/>
                <w:b/>
                <w:color w:val="auto"/>
                <w:sz w:val="24"/>
                <w:szCs w:val="24"/>
              </w:rPr>
              <w:t>类比线路噪声测量结果</w:t>
            </w:r>
          </w:p>
          <w:tbl>
            <w:tblPr>
              <w:tblStyle w:val="27"/>
              <w:tblW w:w="842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227"/>
              <w:gridCol w:w="3890"/>
              <w:gridCol w:w="1007"/>
              <w:gridCol w:w="1118"/>
            </w:tblGrid>
            <w:tr w14:paraId="50BA2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29" w:type="dxa"/>
                  <w:gridSpan w:val="5"/>
                  <w:vAlign w:val="center"/>
                </w:tcPr>
                <w:p w14:paraId="0260A582">
                  <w:pPr>
                    <w:adjustRightInd w:val="0"/>
                    <w:snapToGrid w:val="0"/>
                    <w:jc w:val="center"/>
                    <w:rPr>
                      <w:rFonts w:ascii="Times New Roman" w:hAnsi="Times New Roman"/>
                      <w:b/>
                      <w:color w:val="auto"/>
                      <w:szCs w:val="21"/>
                    </w:rPr>
                  </w:pPr>
                  <w:r>
                    <w:rPr>
                      <w:rFonts w:ascii="Times New Roman" w:hAnsi="Times New Roman"/>
                      <w:b/>
                      <w:bCs/>
                      <w:color w:val="auto"/>
                      <w:szCs w:val="21"/>
                    </w:rPr>
                    <w:t>类比单回线路（220kV兰河线）</w:t>
                  </w:r>
                </w:p>
              </w:tc>
            </w:tr>
            <w:tr w14:paraId="54ABB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Align w:val="center"/>
                </w:tcPr>
                <w:p w14:paraId="10228546">
                  <w:pPr>
                    <w:adjustRightInd w:val="0"/>
                    <w:snapToGrid w:val="0"/>
                    <w:jc w:val="center"/>
                    <w:rPr>
                      <w:rFonts w:ascii="Times New Roman" w:hAnsi="Times New Roman"/>
                      <w:b/>
                      <w:color w:val="auto"/>
                      <w:szCs w:val="21"/>
                    </w:rPr>
                  </w:pPr>
                  <w:r>
                    <w:rPr>
                      <w:rFonts w:ascii="Times New Roman" w:hAnsi="Times New Roman"/>
                      <w:b/>
                      <w:color w:val="auto"/>
                      <w:szCs w:val="21"/>
                    </w:rPr>
                    <w:t>点位编号</w:t>
                  </w:r>
                </w:p>
              </w:tc>
              <w:tc>
                <w:tcPr>
                  <w:tcW w:w="1227" w:type="dxa"/>
                  <w:vAlign w:val="center"/>
                </w:tcPr>
                <w:p w14:paraId="175F8CC6">
                  <w:pPr>
                    <w:adjustRightInd w:val="0"/>
                    <w:snapToGrid w:val="0"/>
                    <w:jc w:val="center"/>
                    <w:rPr>
                      <w:rFonts w:ascii="Times New Roman" w:hAnsi="Times New Roman"/>
                      <w:b/>
                      <w:color w:val="auto"/>
                      <w:szCs w:val="21"/>
                    </w:rPr>
                  </w:pPr>
                  <w:r>
                    <w:rPr>
                      <w:rFonts w:hint="eastAsia" w:ascii="Times New Roman" w:hAnsi="Times New Roman"/>
                      <w:b/>
                      <w:color w:val="auto"/>
                      <w:szCs w:val="21"/>
                    </w:rPr>
                    <w:t>检测时间</w:t>
                  </w:r>
                </w:p>
              </w:tc>
              <w:tc>
                <w:tcPr>
                  <w:tcW w:w="3890" w:type="dxa"/>
                  <w:vAlign w:val="center"/>
                </w:tcPr>
                <w:p w14:paraId="47A84033">
                  <w:pPr>
                    <w:adjustRightInd w:val="0"/>
                    <w:snapToGrid w:val="0"/>
                    <w:jc w:val="center"/>
                    <w:rPr>
                      <w:rFonts w:ascii="Times New Roman" w:hAnsi="Times New Roman"/>
                      <w:b/>
                      <w:color w:val="auto"/>
                      <w:szCs w:val="21"/>
                    </w:rPr>
                  </w:pPr>
                  <w:r>
                    <w:rPr>
                      <w:rFonts w:ascii="Times New Roman" w:hAnsi="Times New Roman"/>
                      <w:b/>
                      <w:color w:val="auto"/>
                      <w:szCs w:val="21"/>
                    </w:rPr>
                    <w:t>点位描述</w:t>
                  </w:r>
                </w:p>
              </w:tc>
              <w:tc>
                <w:tcPr>
                  <w:tcW w:w="1007" w:type="dxa"/>
                  <w:vAlign w:val="center"/>
                </w:tcPr>
                <w:p w14:paraId="1CB3CE2E">
                  <w:pPr>
                    <w:adjustRightInd w:val="0"/>
                    <w:snapToGrid w:val="0"/>
                    <w:jc w:val="center"/>
                    <w:rPr>
                      <w:rFonts w:ascii="Times New Roman" w:hAnsi="Times New Roman"/>
                      <w:b/>
                      <w:color w:val="auto"/>
                      <w:szCs w:val="21"/>
                    </w:rPr>
                  </w:pPr>
                  <w:r>
                    <w:rPr>
                      <w:rFonts w:ascii="Times New Roman" w:hAnsi="Times New Roman"/>
                      <w:b/>
                      <w:color w:val="auto"/>
                      <w:szCs w:val="21"/>
                    </w:rPr>
                    <w:t>昼间dB</w:t>
                  </w:r>
                  <w:r>
                    <w:rPr>
                      <w:rFonts w:hint="eastAsia" w:ascii="Times New Roman" w:hAnsi="Times New Roman"/>
                      <w:b/>
                      <w:color w:val="auto"/>
                      <w:szCs w:val="21"/>
                    </w:rPr>
                    <w:t>（</w:t>
                  </w:r>
                  <w:r>
                    <w:rPr>
                      <w:rFonts w:ascii="Times New Roman" w:hAnsi="Times New Roman"/>
                      <w:b/>
                      <w:color w:val="auto"/>
                      <w:szCs w:val="21"/>
                    </w:rPr>
                    <w:t>A</w:t>
                  </w:r>
                  <w:r>
                    <w:rPr>
                      <w:rFonts w:hint="eastAsia" w:ascii="Times New Roman" w:hAnsi="Times New Roman"/>
                      <w:b/>
                      <w:color w:val="auto"/>
                      <w:szCs w:val="21"/>
                    </w:rPr>
                    <w:t>）</w:t>
                  </w:r>
                </w:p>
              </w:tc>
              <w:tc>
                <w:tcPr>
                  <w:tcW w:w="1118" w:type="dxa"/>
                  <w:vAlign w:val="center"/>
                </w:tcPr>
                <w:p w14:paraId="38F97289">
                  <w:pPr>
                    <w:adjustRightInd w:val="0"/>
                    <w:snapToGrid w:val="0"/>
                    <w:jc w:val="center"/>
                    <w:rPr>
                      <w:rFonts w:ascii="Times New Roman" w:hAnsi="Times New Roman"/>
                      <w:b/>
                      <w:color w:val="auto"/>
                      <w:szCs w:val="21"/>
                    </w:rPr>
                  </w:pPr>
                  <w:r>
                    <w:rPr>
                      <w:rFonts w:ascii="Times New Roman" w:hAnsi="Times New Roman"/>
                      <w:b/>
                      <w:color w:val="auto"/>
                      <w:szCs w:val="21"/>
                    </w:rPr>
                    <w:t>夜间dB</w:t>
                  </w:r>
                  <w:r>
                    <w:rPr>
                      <w:rFonts w:hint="eastAsia" w:ascii="Times New Roman" w:hAnsi="Times New Roman"/>
                      <w:b/>
                      <w:color w:val="auto"/>
                      <w:szCs w:val="21"/>
                    </w:rPr>
                    <w:t>（</w:t>
                  </w:r>
                  <w:r>
                    <w:rPr>
                      <w:rFonts w:ascii="Times New Roman" w:hAnsi="Times New Roman"/>
                      <w:b/>
                      <w:color w:val="auto"/>
                      <w:szCs w:val="21"/>
                    </w:rPr>
                    <w:t>A</w:t>
                  </w:r>
                  <w:r>
                    <w:rPr>
                      <w:rFonts w:hint="eastAsia" w:ascii="Times New Roman" w:hAnsi="Times New Roman"/>
                      <w:b/>
                      <w:color w:val="auto"/>
                      <w:szCs w:val="21"/>
                    </w:rPr>
                    <w:t>）</w:t>
                  </w:r>
                </w:p>
              </w:tc>
            </w:tr>
            <w:tr w14:paraId="48F43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vAlign w:val="center"/>
                </w:tcPr>
                <w:p w14:paraId="59C97E38">
                  <w:pPr>
                    <w:adjustRightInd w:val="0"/>
                    <w:snapToGrid w:val="0"/>
                    <w:jc w:val="center"/>
                    <w:rPr>
                      <w:rFonts w:ascii="Times New Roman" w:hAnsi="Times New Roman"/>
                      <w:color w:val="auto"/>
                      <w:szCs w:val="21"/>
                    </w:rPr>
                  </w:pPr>
                  <w:r>
                    <w:rPr>
                      <w:rFonts w:hint="eastAsia" w:ascii="Times New Roman" w:hAnsi="Times New Roman"/>
                      <w:color w:val="auto"/>
                      <w:szCs w:val="21"/>
                    </w:rPr>
                    <w:t>220kV兰河线单回路（导线三角排列）监测断面（10#~11#）单回线路</w:t>
                  </w:r>
                  <w:r>
                    <w:rPr>
                      <w:rFonts w:ascii="Times New Roman" w:hAnsi="Times New Roman"/>
                      <w:color w:val="auto"/>
                      <w:szCs w:val="21"/>
                    </w:rPr>
                    <w:t>（线高</w:t>
                  </w:r>
                  <w:r>
                    <w:rPr>
                      <w:rFonts w:hint="eastAsia" w:ascii="Times New Roman" w:hAnsi="Times New Roman"/>
                      <w:color w:val="auto"/>
                      <w:szCs w:val="21"/>
                    </w:rPr>
                    <w:t>9</w:t>
                  </w:r>
                  <w:r>
                    <w:rPr>
                      <w:rFonts w:ascii="Times New Roman" w:hAnsi="Times New Roman"/>
                      <w:color w:val="auto"/>
                      <w:szCs w:val="21"/>
                    </w:rPr>
                    <w:t>m）</w:t>
                  </w:r>
                </w:p>
              </w:tc>
              <w:tc>
                <w:tcPr>
                  <w:tcW w:w="1227" w:type="dxa"/>
                  <w:vMerge w:val="restart"/>
                  <w:vAlign w:val="center"/>
                </w:tcPr>
                <w:p w14:paraId="21FC0E4D">
                  <w:pPr>
                    <w:adjustRightInd w:val="0"/>
                    <w:snapToGrid w:val="0"/>
                    <w:jc w:val="center"/>
                    <w:rPr>
                      <w:rFonts w:ascii="Times New Roman" w:hAnsi="Times New Roman"/>
                      <w:color w:val="auto"/>
                      <w:szCs w:val="21"/>
                    </w:rPr>
                  </w:pPr>
                  <w:r>
                    <w:rPr>
                      <w:rFonts w:hint="eastAsia" w:ascii="Times New Roman" w:hAnsi="Times New Roman"/>
                      <w:color w:val="auto"/>
                      <w:szCs w:val="21"/>
                    </w:rPr>
                    <w:t>2024年7月31日~2024年8月1日</w:t>
                  </w:r>
                </w:p>
              </w:tc>
              <w:tc>
                <w:tcPr>
                  <w:tcW w:w="3890" w:type="dxa"/>
                  <w:vAlign w:val="center"/>
                </w:tcPr>
                <w:p w14:paraId="5DBD5F49">
                  <w:pPr>
                    <w:adjustRightInd w:val="0"/>
                    <w:snapToGrid w:val="0"/>
                    <w:jc w:val="center"/>
                    <w:rPr>
                      <w:rFonts w:ascii="Times New Roman" w:hAnsi="Times New Roman"/>
                      <w:color w:val="auto"/>
                      <w:szCs w:val="21"/>
                    </w:rPr>
                  </w:pPr>
                  <w:r>
                    <w:rPr>
                      <w:rFonts w:hint="eastAsia" w:ascii="Times New Roman" w:hAnsi="Times New Roman"/>
                      <w:color w:val="auto"/>
                      <w:szCs w:val="21"/>
                    </w:rPr>
                    <w:t>相导线对地投影处</w:t>
                  </w:r>
                </w:p>
              </w:tc>
              <w:tc>
                <w:tcPr>
                  <w:tcW w:w="1007" w:type="dxa"/>
                  <w:vAlign w:val="center"/>
                </w:tcPr>
                <w:p w14:paraId="44FD6004">
                  <w:pPr>
                    <w:adjustRightInd w:val="0"/>
                    <w:snapToGrid w:val="0"/>
                    <w:jc w:val="center"/>
                    <w:rPr>
                      <w:rFonts w:ascii="Times New Roman" w:hAnsi="Times New Roman"/>
                      <w:color w:val="auto"/>
                      <w:szCs w:val="21"/>
                    </w:rPr>
                  </w:pPr>
                  <w:r>
                    <w:rPr>
                      <w:rFonts w:hint="eastAsia" w:ascii="Times New Roman" w:hAnsi="Times New Roman"/>
                      <w:color w:val="auto"/>
                      <w:szCs w:val="21"/>
                    </w:rPr>
                    <w:t>42</w:t>
                  </w:r>
                </w:p>
              </w:tc>
              <w:tc>
                <w:tcPr>
                  <w:tcW w:w="1118" w:type="dxa"/>
                  <w:vAlign w:val="center"/>
                </w:tcPr>
                <w:p w14:paraId="475953E4">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r>
            <w:tr w14:paraId="45F58F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5B9DA0E2">
                  <w:pPr>
                    <w:adjustRightInd w:val="0"/>
                    <w:snapToGrid w:val="0"/>
                    <w:jc w:val="center"/>
                    <w:rPr>
                      <w:rFonts w:ascii="Times New Roman" w:hAnsi="Times New Roman"/>
                      <w:color w:val="auto"/>
                      <w:szCs w:val="21"/>
                    </w:rPr>
                  </w:pPr>
                </w:p>
              </w:tc>
              <w:tc>
                <w:tcPr>
                  <w:tcW w:w="1227" w:type="dxa"/>
                  <w:vMerge w:val="continue"/>
                  <w:vAlign w:val="center"/>
                </w:tcPr>
                <w:p w14:paraId="4931F5B0">
                  <w:pPr>
                    <w:adjustRightInd w:val="0"/>
                    <w:snapToGrid w:val="0"/>
                    <w:jc w:val="center"/>
                    <w:rPr>
                      <w:rFonts w:ascii="Times New Roman" w:hAnsi="Times New Roman"/>
                      <w:color w:val="auto"/>
                      <w:szCs w:val="21"/>
                    </w:rPr>
                  </w:pPr>
                </w:p>
              </w:tc>
              <w:tc>
                <w:tcPr>
                  <w:tcW w:w="3890" w:type="dxa"/>
                  <w:vAlign w:val="center"/>
                </w:tcPr>
                <w:p w14:paraId="1CAB36E2">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p>
              </w:tc>
              <w:tc>
                <w:tcPr>
                  <w:tcW w:w="1007" w:type="dxa"/>
                  <w:vAlign w:val="center"/>
                </w:tcPr>
                <w:p w14:paraId="6F653CB0">
                  <w:pPr>
                    <w:adjustRightInd w:val="0"/>
                    <w:snapToGrid w:val="0"/>
                    <w:jc w:val="center"/>
                    <w:rPr>
                      <w:rFonts w:ascii="Times New Roman" w:hAnsi="Times New Roman"/>
                      <w:color w:val="auto"/>
                      <w:szCs w:val="21"/>
                    </w:rPr>
                  </w:pPr>
                  <w:r>
                    <w:rPr>
                      <w:rFonts w:hint="eastAsia" w:ascii="Times New Roman" w:hAnsi="Times New Roman"/>
                      <w:color w:val="auto"/>
                      <w:szCs w:val="21"/>
                    </w:rPr>
                    <w:t>42</w:t>
                  </w:r>
                </w:p>
              </w:tc>
              <w:tc>
                <w:tcPr>
                  <w:tcW w:w="1118" w:type="dxa"/>
                  <w:vAlign w:val="center"/>
                </w:tcPr>
                <w:p w14:paraId="19D61BCF">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7928B7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87C7CD8">
                  <w:pPr>
                    <w:adjustRightInd w:val="0"/>
                    <w:snapToGrid w:val="0"/>
                    <w:jc w:val="center"/>
                    <w:rPr>
                      <w:rFonts w:ascii="Times New Roman" w:hAnsi="Times New Roman"/>
                      <w:color w:val="auto"/>
                      <w:szCs w:val="21"/>
                    </w:rPr>
                  </w:pPr>
                </w:p>
              </w:tc>
              <w:tc>
                <w:tcPr>
                  <w:tcW w:w="1227" w:type="dxa"/>
                  <w:vMerge w:val="continue"/>
                  <w:vAlign w:val="center"/>
                </w:tcPr>
                <w:p w14:paraId="5ACE55FD">
                  <w:pPr>
                    <w:adjustRightInd w:val="0"/>
                    <w:snapToGrid w:val="0"/>
                    <w:jc w:val="center"/>
                    <w:rPr>
                      <w:rFonts w:ascii="Times New Roman" w:hAnsi="Times New Roman"/>
                      <w:color w:val="auto"/>
                      <w:szCs w:val="21"/>
                    </w:rPr>
                  </w:pPr>
                </w:p>
              </w:tc>
              <w:tc>
                <w:tcPr>
                  <w:tcW w:w="3890" w:type="dxa"/>
                  <w:vAlign w:val="center"/>
                </w:tcPr>
                <w:p w14:paraId="38C5BDE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9"/>
                      <w:szCs w:val="21"/>
                    </w:rPr>
                    <w:t>5</w:t>
                  </w:r>
                  <w:r>
                    <w:rPr>
                      <w:rFonts w:ascii="Times New Roman" w:hAnsi="Times New Roman"/>
                      <w:color w:val="auto"/>
                      <w:szCs w:val="21"/>
                    </w:rPr>
                    <w:t>m</w:t>
                  </w:r>
                </w:p>
              </w:tc>
              <w:tc>
                <w:tcPr>
                  <w:tcW w:w="1007" w:type="dxa"/>
                  <w:vAlign w:val="center"/>
                </w:tcPr>
                <w:p w14:paraId="1513FFF9">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3B4FA2E3">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3BD1D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2A13BB6F">
                  <w:pPr>
                    <w:adjustRightInd w:val="0"/>
                    <w:snapToGrid w:val="0"/>
                    <w:jc w:val="center"/>
                    <w:rPr>
                      <w:rFonts w:ascii="Times New Roman" w:hAnsi="Times New Roman"/>
                      <w:color w:val="auto"/>
                      <w:szCs w:val="21"/>
                    </w:rPr>
                  </w:pPr>
                </w:p>
              </w:tc>
              <w:tc>
                <w:tcPr>
                  <w:tcW w:w="1227" w:type="dxa"/>
                  <w:vMerge w:val="continue"/>
                  <w:vAlign w:val="center"/>
                </w:tcPr>
                <w:p w14:paraId="520A4B65">
                  <w:pPr>
                    <w:adjustRightInd w:val="0"/>
                    <w:snapToGrid w:val="0"/>
                    <w:jc w:val="center"/>
                    <w:rPr>
                      <w:rFonts w:ascii="Times New Roman" w:hAnsi="Times New Roman"/>
                      <w:color w:val="auto"/>
                      <w:szCs w:val="21"/>
                    </w:rPr>
                  </w:pPr>
                </w:p>
              </w:tc>
              <w:tc>
                <w:tcPr>
                  <w:tcW w:w="3890" w:type="dxa"/>
                  <w:vAlign w:val="center"/>
                </w:tcPr>
                <w:p w14:paraId="6FFB32C3">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10</w:t>
                  </w:r>
                  <w:r>
                    <w:rPr>
                      <w:rFonts w:ascii="Times New Roman" w:hAnsi="Times New Roman"/>
                      <w:color w:val="auto"/>
                      <w:szCs w:val="21"/>
                    </w:rPr>
                    <w:t>m</w:t>
                  </w:r>
                </w:p>
              </w:tc>
              <w:tc>
                <w:tcPr>
                  <w:tcW w:w="1007" w:type="dxa"/>
                  <w:vAlign w:val="center"/>
                </w:tcPr>
                <w:p w14:paraId="12D75136">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69534D85">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60756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D279C72">
                  <w:pPr>
                    <w:adjustRightInd w:val="0"/>
                    <w:snapToGrid w:val="0"/>
                    <w:jc w:val="center"/>
                    <w:rPr>
                      <w:rFonts w:ascii="Times New Roman" w:hAnsi="Times New Roman"/>
                      <w:color w:val="auto"/>
                      <w:szCs w:val="21"/>
                    </w:rPr>
                  </w:pPr>
                </w:p>
              </w:tc>
              <w:tc>
                <w:tcPr>
                  <w:tcW w:w="1227" w:type="dxa"/>
                  <w:vMerge w:val="continue"/>
                  <w:vAlign w:val="center"/>
                </w:tcPr>
                <w:p w14:paraId="73A9AE0F">
                  <w:pPr>
                    <w:adjustRightInd w:val="0"/>
                    <w:snapToGrid w:val="0"/>
                    <w:jc w:val="center"/>
                    <w:rPr>
                      <w:rFonts w:ascii="Times New Roman" w:hAnsi="Times New Roman"/>
                      <w:color w:val="auto"/>
                      <w:szCs w:val="21"/>
                    </w:rPr>
                  </w:pPr>
                </w:p>
              </w:tc>
              <w:tc>
                <w:tcPr>
                  <w:tcW w:w="3890" w:type="dxa"/>
                  <w:vAlign w:val="center"/>
                </w:tcPr>
                <w:p w14:paraId="4F875DF9">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15</w:t>
                  </w:r>
                  <w:r>
                    <w:rPr>
                      <w:rFonts w:ascii="Times New Roman" w:hAnsi="Times New Roman"/>
                      <w:color w:val="auto"/>
                      <w:szCs w:val="21"/>
                    </w:rPr>
                    <w:t>m</w:t>
                  </w:r>
                </w:p>
              </w:tc>
              <w:tc>
                <w:tcPr>
                  <w:tcW w:w="1007" w:type="dxa"/>
                  <w:vAlign w:val="center"/>
                </w:tcPr>
                <w:p w14:paraId="172D0249">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c>
                <w:tcPr>
                  <w:tcW w:w="1118" w:type="dxa"/>
                  <w:vAlign w:val="center"/>
                </w:tcPr>
                <w:p w14:paraId="34BD626B">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1D244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136404A4">
                  <w:pPr>
                    <w:adjustRightInd w:val="0"/>
                    <w:snapToGrid w:val="0"/>
                    <w:jc w:val="center"/>
                    <w:rPr>
                      <w:rFonts w:ascii="Times New Roman" w:hAnsi="Times New Roman"/>
                      <w:color w:val="auto"/>
                      <w:szCs w:val="21"/>
                    </w:rPr>
                  </w:pPr>
                </w:p>
              </w:tc>
              <w:tc>
                <w:tcPr>
                  <w:tcW w:w="1227" w:type="dxa"/>
                  <w:vMerge w:val="continue"/>
                  <w:vAlign w:val="center"/>
                </w:tcPr>
                <w:p w14:paraId="7F12C58A">
                  <w:pPr>
                    <w:adjustRightInd w:val="0"/>
                    <w:snapToGrid w:val="0"/>
                    <w:jc w:val="center"/>
                    <w:rPr>
                      <w:rFonts w:ascii="Times New Roman" w:hAnsi="Times New Roman"/>
                      <w:color w:val="auto"/>
                      <w:szCs w:val="21"/>
                    </w:rPr>
                  </w:pPr>
                </w:p>
              </w:tc>
              <w:tc>
                <w:tcPr>
                  <w:tcW w:w="3890" w:type="dxa"/>
                  <w:vAlign w:val="center"/>
                </w:tcPr>
                <w:p w14:paraId="0E3147A8">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7"/>
                      <w:szCs w:val="21"/>
                    </w:rPr>
                    <w:t>20</w:t>
                  </w:r>
                  <w:r>
                    <w:rPr>
                      <w:rFonts w:ascii="Times New Roman" w:hAnsi="Times New Roman"/>
                      <w:color w:val="auto"/>
                      <w:szCs w:val="21"/>
                    </w:rPr>
                    <w:t>m</w:t>
                  </w:r>
                </w:p>
              </w:tc>
              <w:tc>
                <w:tcPr>
                  <w:tcW w:w="1007" w:type="dxa"/>
                  <w:vAlign w:val="center"/>
                </w:tcPr>
                <w:p w14:paraId="1396A9B6">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c>
                <w:tcPr>
                  <w:tcW w:w="1118" w:type="dxa"/>
                  <w:vAlign w:val="center"/>
                </w:tcPr>
                <w:p w14:paraId="15F96F01">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r>
            <w:tr w14:paraId="528E7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131AA047">
                  <w:pPr>
                    <w:adjustRightInd w:val="0"/>
                    <w:snapToGrid w:val="0"/>
                    <w:jc w:val="center"/>
                    <w:rPr>
                      <w:rFonts w:ascii="Times New Roman" w:hAnsi="Times New Roman"/>
                      <w:color w:val="auto"/>
                      <w:szCs w:val="21"/>
                    </w:rPr>
                  </w:pPr>
                </w:p>
              </w:tc>
              <w:tc>
                <w:tcPr>
                  <w:tcW w:w="1227" w:type="dxa"/>
                  <w:vMerge w:val="continue"/>
                  <w:vAlign w:val="center"/>
                </w:tcPr>
                <w:p w14:paraId="7F8370F9">
                  <w:pPr>
                    <w:adjustRightInd w:val="0"/>
                    <w:snapToGrid w:val="0"/>
                    <w:jc w:val="center"/>
                    <w:rPr>
                      <w:rFonts w:ascii="Times New Roman" w:hAnsi="Times New Roman"/>
                      <w:color w:val="auto"/>
                      <w:szCs w:val="21"/>
                    </w:rPr>
                  </w:pPr>
                </w:p>
              </w:tc>
              <w:tc>
                <w:tcPr>
                  <w:tcW w:w="3890" w:type="dxa"/>
                  <w:vAlign w:val="center"/>
                </w:tcPr>
                <w:p w14:paraId="7091EE99">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25</w:t>
                  </w:r>
                  <w:r>
                    <w:rPr>
                      <w:rFonts w:ascii="Times New Roman" w:hAnsi="Times New Roman"/>
                      <w:color w:val="auto"/>
                      <w:szCs w:val="21"/>
                    </w:rPr>
                    <w:t>m</w:t>
                  </w:r>
                </w:p>
              </w:tc>
              <w:tc>
                <w:tcPr>
                  <w:tcW w:w="1007" w:type="dxa"/>
                  <w:vAlign w:val="center"/>
                </w:tcPr>
                <w:p w14:paraId="297B6463">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c>
                <w:tcPr>
                  <w:tcW w:w="1118" w:type="dxa"/>
                  <w:vAlign w:val="center"/>
                </w:tcPr>
                <w:p w14:paraId="7DC6E6BA">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r>
            <w:tr w14:paraId="477A7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3EDF2230">
                  <w:pPr>
                    <w:adjustRightInd w:val="0"/>
                    <w:snapToGrid w:val="0"/>
                    <w:jc w:val="center"/>
                    <w:rPr>
                      <w:rFonts w:ascii="Times New Roman" w:hAnsi="Times New Roman"/>
                      <w:color w:val="auto"/>
                      <w:szCs w:val="21"/>
                    </w:rPr>
                  </w:pPr>
                </w:p>
              </w:tc>
              <w:tc>
                <w:tcPr>
                  <w:tcW w:w="1227" w:type="dxa"/>
                  <w:vMerge w:val="continue"/>
                  <w:vAlign w:val="center"/>
                </w:tcPr>
                <w:p w14:paraId="112F6FB2">
                  <w:pPr>
                    <w:adjustRightInd w:val="0"/>
                    <w:snapToGrid w:val="0"/>
                    <w:jc w:val="center"/>
                    <w:rPr>
                      <w:rFonts w:ascii="Times New Roman" w:hAnsi="Times New Roman"/>
                      <w:color w:val="auto"/>
                      <w:szCs w:val="21"/>
                    </w:rPr>
                  </w:pPr>
                </w:p>
              </w:tc>
              <w:tc>
                <w:tcPr>
                  <w:tcW w:w="3890" w:type="dxa"/>
                  <w:vAlign w:val="center"/>
                </w:tcPr>
                <w:p w14:paraId="63DCB47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30</w:t>
                  </w:r>
                  <w:r>
                    <w:rPr>
                      <w:rFonts w:ascii="Times New Roman" w:hAnsi="Times New Roman"/>
                      <w:color w:val="auto"/>
                      <w:szCs w:val="21"/>
                    </w:rPr>
                    <w:t>m</w:t>
                  </w:r>
                </w:p>
              </w:tc>
              <w:tc>
                <w:tcPr>
                  <w:tcW w:w="1007" w:type="dxa"/>
                  <w:vAlign w:val="center"/>
                </w:tcPr>
                <w:p w14:paraId="2504FB6D">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c>
                <w:tcPr>
                  <w:tcW w:w="1118" w:type="dxa"/>
                  <w:vAlign w:val="center"/>
                </w:tcPr>
                <w:p w14:paraId="4B2E3A2C">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123F8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41652FBB">
                  <w:pPr>
                    <w:adjustRightInd w:val="0"/>
                    <w:snapToGrid w:val="0"/>
                    <w:jc w:val="center"/>
                    <w:rPr>
                      <w:rFonts w:ascii="Times New Roman" w:hAnsi="Times New Roman"/>
                      <w:color w:val="auto"/>
                      <w:szCs w:val="21"/>
                    </w:rPr>
                  </w:pPr>
                </w:p>
              </w:tc>
              <w:tc>
                <w:tcPr>
                  <w:tcW w:w="1227" w:type="dxa"/>
                  <w:vMerge w:val="continue"/>
                  <w:vAlign w:val="center"/>
                </w:tcPr>
                <w:p w14:paraId="61E4F1A6">
                  <w:pPr>
                    <w:adjustRightInd w:val="0"/>
                    <w:snapToGrid w:val="0"/>
                    <w:jc w:val="center"/>
                    <w:rPr>
                      <w:rFonts w:ascii="Times New Roman" w:hAnsi="Times New Roman"/>
                      <w:color w:val="auto"/>
                      <w:szCs w:val="21"/>
                    </w:rPr>
                  </w:pPr>
                </w:p>
              </w:tc>
              <w:tc>
                <w:tcPr>
                  <w:tcW w:w="3890" w:type="dxa"/>
                  <w:vAlign w:val="center"/>
                </w:tcPr>
                <w:p w14:paraId="2717498B">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35</w:t>
                  </w:r>
                  <w:r>
                    <w:rPr>
                      <w:rFonts w:ascii="Times New Roman" w:hAnsi="Times New Roman"/>
                      <w:color w:val="auto"/>
                      <w:szCs w:val="21"/>
                    </w:rPr>
                    <w:t>m</w:t>
                  </w:r>
                </w:p>
              </w:tc>
              <w:tc>
                <w:tcPr>
                  <w:tcW w:w="1007" w:type="dxa"/>
                  <w:vAlign w:val="center"/>
                </w:tcPr>
                <w:p w14:paraId="436D23FA">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c>
                <w:tcPr>
                  <w:tcW w:w="1118" w:type="dxa"/>
                  <w:vAlign w:val="center"/>
                </w:tcPr>
                <w:p w14:paraId="4D09F66D">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27D10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2B3032B7">
                  <w:pPr>
                    <w:adjustRightInd w:val="0"/>
                    <w:snapToGrid w:val="0"/>
                    <w:jc w:val="center"/>
                    <w:rPr>
                      <w:rFonts w:ascii="Times New Roman" w:hAnsi="Times New Roman"/>
                      <w:color w:val="auto"/>
                      <w:szCs w:val="21"/>
                    </w:rPr>
                  </w:pPr>
                </w:p>
              </w:tc>
              <w:tc>
                <w:tcPr>
                  <w:tcW w:w="1227" w:type="dxa"/>
                  <w:vMerge w:val="continue"/>
                  <w:vAlign w:val="center"/>
                </w:tcPr>
                <w:p w14:paraId="73165B43">
                  <w:pPr>
                    <w:adjustRightInd w:val="0"/>
                    <w:snapToGrid w:val="0"/>
                    <w:jc w:val="center"/>
                    <w:rPr>
                      <w:rFonts w:ascii="Times New Roman" w:hAnsi="Times New Roman"/>
                      <w:color w:val="auto"/>
                      <w:szCs w:val="21"/>
                    </w:rPr>
                  </w:pPr>
                </w:p>
              </w:tc>
              <w:tc>
                <w:tcPr>
                  <w:tcW w:w="3890" w:type="dxa"/>
                  <w:vAlign w:val="center"/>
                </w:tcPr>
                <w:p w14:paraId="3BB80FC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40</w:t>
                  </w:r>
                  <w:r>
                    <w:rPr>
                      <w:rFonts w:ascii="Times New Roman" w:hAnsi="Times New Roman"/>
                      <w:color w:val="auto"/>
                      <w:szCs w:val="21"/>
                    </w:rPr>
                    <w:t>m</w:t>
                  </w:r>
                </w:p>
              </w:tc>
              <w:tc>
                <w:tcPr>
                  <w:tcW w:w="1007" w:type="dxa"/>
                  <w:vAlign w:val="center"/>
                </w:tcPr>
                <w:p w14:paraId="1F430C0F">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c>
                <w:tcPr>
                  <w:tcW w:w="1118" w:type="dxa"/>
                  <w:vAlign w:val="center"/>
                </w:tcPr>
                <w:p w14:paraId="6A325418">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3D2565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1867086A">
                  <w:pPr>
                    <w:adjustRightInd w:val="0"/>
                    <w:snapToGrid w:val="0"/>
                    <w:jc w:val="center"/>
                    <w:rPr>
                      <w:rFonts w:ascii="Times New Roman" w:hAnsi="Times New Roman"/>
                      <w:color w:val="auto"/>
                      <w:szCs w:val="21"/>
                    </w:rPr>
                  </w:pPr>
                </w:p>
              </w:tc>
              <w:tc>
                <w:tcPr>
                  <w:tcW w:w="1227" w:type="dxa"/>
                  <w:vMerge w:val="continue"/>
                  <w:vAlign w:val="center"/>
                </w:tcPr>
                <w:p w14:paraId="43BA8C38">
                  <w:pPr>
                    <w:adjustRightInd w:val="0"/>
                    <w:snapToGrid w:val="0"/>
                    <w:jc w:val="center"/>
                    <w:rPr>
                      <w:rFonts w:ascii="Times New Roman" w:hAnsi="Times New Roman"/>
                      <w:color w:val="auto"/>
                      <w:szCs w:val="21"/>
                    </w:rPr>
                  </w:pPr>
                </w:p>
              </w:tc>
              <w:tc>
                <w:tcPr>
                  <w:tcW w:w="3890" w:type="dxa"/>
                  <w:vAlign w:val="center"/>
                </w:tcPr>
                <w:p w14:paraId="66A225A5">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45</w:t>
                  </w:r>
                  <w:r>
                    <w:rPr>
                      <w:rFonts w:ascii="Times New Roman" w:hAnsi="Times New Roman"/>
                      <w:color w:val="auto"/>
                      <w:szCs w:val="21"/>
                    </w:rPr>
                    <w:t>m</w:t>
                  </w:r>
                </w:p>
              </w:tc>
              <w:tc>
                <w:tcPr>
                  <w:tcW w:w="1007" w:type="dxa"/>
                  <w:vAlign w:val="center"/>
                </w:tcPr>
                <w:p w14:paraId="758B1AF5">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c>
                <w:tcPr>
                  <w:tcW w:w="1118" w:type="dxa"/>
                  <w:vAlign w:val="center"/>
                </w:tcPr>
                <w:p w14:paraId="7496180B">
                  <w:pPr>
                    <w:adjustRightInd w:val="0"/>
                    <w:snapToGrid w:val="0"/>
                    <w:jc w:val="center"/>
                    <w:rPr>
                      <w:rFonts w:ascii="Times New Roman" w:hAnsi="Times New Roman"/>
                      <w:color w:val="auto"/>
                      <w:szCs w:val="21"/>
                    </w:rPr>
                  </w:pPr>
                  <w:r>
                    <w:rPr>
                      <w:rFonts w:hint="eastAsia" w:ascii="Times New Roman" w:hAnsi="Times New Roman"/>
                      <w:color w:val="auto"/>
                      <w:szCs w:val="21"/>
                    </w:rPr>
                    <w:t>36</w:t>
                  </w:r>
                </w:p>
              </w:tc>
            </w:tr>
            <w:tr w14:paraId="7202FD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5EBB0F57">
                  <w:pPr>
                    <w:adjustRightInd w:val="0"/>
                    <w:snapToGrid w:val="0"/>
                    <w:jc w:val="center"/>
                    <w:rPr>
                      <w:rFonts w:ascii="Times New Roman" w:hAnsi="Times New Roman"/>
                      <w:color w:val="auto"/>
                      <w:szCs w:val="21"/>
                    </w:rPr>
                  </w:pPr>
                </w:p>
              </w:tc>
              <w:tc>
                <w:tcPr>
                  <w:tcW w:w="1227" w:type="dxa"/>
                  <w:vMerge w:val="continue"/>
                  <w:vAlign w:val="center"/>
                </w:tcPr>
                <w:p w14:paraId="494866DB">
                  <w:pPr>
                    <w:adjustRightInd w:val="0"/>
                    <w:snapToGrid w:val="0"/>
                    <w:jc w:val="center"/>
                    <w:rPr>
                      <w:rFonts w:ascii="Times New Roman" w:hAnsi="Times New Roman"/>
                      <w:color w:val="auto"/>
                      <w:szCs w:val="21"/>
                    </w:rPr>
                  </w:pPr>
                </w:p>
              </w:tc>
              <w:tc>
                <w:tcPr>
                  <w:tcW w:w="3890" w:type="dxa"/>
                  <w:vAlign w:val="center"/>
                </w:tcPr>
                <w:p w14:paraId="799EA8C3">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50</w:t>
                  </w:r>
                  <w:r>
                    <w:rPr>
                      <w:rFonts w:ascii="Times New Roman" w:hAnsi="Times New Roman"/>
                      <w:color w:val="auto"/>
                      <w:szCs w:val="21"/>
                    </w:rPr>
                    <w:t>m</w:t>
                  </w:r>
                </w:p>
              </w:tc>
              <w:tc>
                <w:tcPr>
                  <w:tcW w:w="1007" w:type="dxa"/>
                  <w:vAlign w:val="center"/>
                </w:tcPr>
                <w:p w14:paraId="56BD2C70">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c>
                <w:tcPr>
                  <w:tcW w:w="1118" w:type="dxa"/>
                  <w:vAlign w:val="center"/>
                </w:tcPr>
                <w:p w14:paraId="325E983C">
                  <w:pPr>
                    <w:adjustRightInd w:val="0"/>
                    <w:snapToGrid w:val="0"/>
                    <w:jc w:val="center"/>
                    <w:rPr>
                      <w:rFonts w:ascii="Times New Roman" w:hAnsi="Times New Roman"/>
                      <w:color w:val="auto"/>
                      <w:szCs w:val="21"/>
                    </w:rPr>
                  </w:pPr>
                  <w:r>
                    <w:rPr>
                      <w:rFonts w:hint="eastAsia" w:ascii="Times New Roman" w:hAnsi="Times New Roman"/>
                      <w:color w:val="auto"/>
                      <w:szCs w:val="21"/>
                    </w:rPr>
                    <w:t>36</w:t>
                  </w:r>
                </w:p>
              </w:tc>
            </w:tr>
            <w:tr w14:paraId="2EDD3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04" w:type="dxa"/>
                  <w:gridSpan w:val="3"/>
                  <w:vAlign w:val="center"/>
                </w:tcPr>
                <w:p w14:paraId="77C6F10D">
                  <w:pPr>
                    <w:pStyle w:val="56"/>
                    <w:adjustRightInd w:val="0"/>
                    <w:snapToGrid w:val="0"/>
                    <w:jc w:val="center"/>
                    <w:rPr>
                      <w:color w:val="auto"/>
                    </w:rPr>
                  </w:pPr>
                  <w:r>
                    <w:rPr>
                      <w:color w:val="auto"/>
                    </w:rPr>
                    <w:t>乡村环境（GB3096-2008）1类标准</w:t>
                  </w:r>
                </w:p>
              </w:tc>
              <w:tc>
                <w:tcPr>
                  <w:tcW w:w="1007" w:type="dxa"/>
                  <w:vAlign w:val="center"/>
                </w:tcPr>
                <w:p w14:paraId="261A7B48">
                  <w:pPr>
                    <w:pStyle w:val="56"/>
                    <w:adjustRightInd w:val="0"/>
                    <w:snapToGrid w:val="0"/>
                    <w:jc w:val="center"/>
                    <w:rPr>
                      <w:color w:val="auto"/>
                      <w:kern w:val="2"/>
                    </w:rPr>
                  </w:pPr>
                  <w:r>
                    <w:rPr>
                      <w:color w:val="auto"/>
                      <w:kern w:val="2"/>
                    </w:rPr>
                    <w:t>55</w:t>
                  </w:r>
                </w:p>
              </w:tc>
              <w:tc>
                <w:tcPr>
                  <w:tcW w:w="1118" w:type="dxa"/>
                  <w:vAlign w:val="center"/>
                </w:tcPr>
                <w:p w14:paraId="60F840DC">
                  <w:pPr>
                    <w:pStyle w:val="56"/>
                    <w:adjustRightInd w:val="0"/>
                    <w:snapToGrid w:val="0"/>
                    <w:jc w:val="center"/>
                    <w:rPr>
                      <w:color w:val="auto"/>
                      <w:kern w:val="2"/>
                    </w:rPr>
                  </w:pPr>
                  <w:r>
                    <w:rPr>
                      <w:color w:val="auto"/>
                      <w:kern w:val="2"/>
                    </w:rPr>
                    <w:t>45</w:t>
                  </w:r>
                </w:p>
              </w:tc>
            </w:tr>
            <w:tr w14:paraId="37E08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04" w:type="dxa"/>
                  <w:gridSpan w:val="3"/>
                  <w:vAlign w:val="center"/>
                </w:tcPr>
                <w:p w14:paraId="76C4E08C">
                  <w:pPr>
                    <w:pStyle w:val="56"/>
                    <w:adjustRightInd w:val="0"/>
                    <w:snapToGrid w:val="0"/>
                    <w:jc w:val="center"/>
                    <w:rPr>
                      <w:color w:val="auto"/>
                    </w:rPr>
                  </w:pPr>
                  <w:r>
                    <w:rPr>
                      <w:rFonts w:hint="eastAsia"/>
                      <w:color w:val="auto"/>
                    </w:rPr>
                    <w:t>达标情况</w:t>
                  </w:r>
                </w:p>
              </w:tc>
              <w:tc>
                <w:tcPr>
                  <w:tcW w:w="1007" w:type="dxa"/>
                  <w:vAlign w:val="center"/>
                </w:tcPr>
                <w:p w14:paraId="79E74182">
                  <w:pPr>
                    <w:pStyle w:val="56"/>
                    <w:adjustRightInd w:val="0"/>
                    <w:snapToGrid w:val="0"/>
                    <w:jc w:val="center"/>
                    <w:rPr>
                      <w:color w:val="auto"/>
                      <w:kern w:val="2"/>
                    </w:rPr>
                  </w:pPr>
                  <w:r>
                    <w:rPr>
                      <w:rFonts w:hint="eastAsia"/>
                      <w:color w:val="auto"/>
                      <w:kern w:val="2"/>
                    </w:rPr>
                    <w:t>达标</w:t>
                  </w:r>
                </w:p>
              </w:tc>
              <w:tc>
                <w:tcPr>
                  <w:tcW w:w="1118" w:type="dxa"/>
                  <w:vAlign w:val="center"/>
                </w:tcPr>
                <w:p w14:paraId="37C912BC">
                  <w:pPr>
                    <w:pStyle w:val="56"/>
                    <w:adjustRightInd w:val="0"/>
                    <w:snapToGrid w:val="0"/>
                    <w:jc w:val="center"/>
                    <w:rPr>
                      <w:color w:val="auto"/>
                      <w:kern w:val="2"/>
                    </w:rPr>
                  </w:pPr>
                  <w:r>
                    <w:rPr>
                      <w:rFonts w:hint="eastAsia"/>
                      <w:color w:val="auto"/>
                      <w:kern w:val="2"/>
                    </w:rPr>
                    <w:t>达标</w:t>
                  </w:r>
                </w:p>
              </w:tc>
            </w:tr>
            <w:tr w14:paraId="46794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29" w:type="dxa"/>
                  <w:gridSpan w:val="5"/>
                  <w:vAlign w:val="center"/>
                </w:tcPr>
                <w:p w14:paraId="3CEF616C">
                  <w:pPr>
                    <w:pStyle w:val="56"/>
                    <w:adjustRightInd w:val="0"/>
                    <w:snapToGrid w:val="0"/>
                    <w:jc w:val="center"/>
                    <w:rPr>
                      <w:color w:val="auto"/>
                      <w:kern w:val="2"/>
                    </w:rPr>
                  </w:pPr>
                  <w:r>
                    <w:rPr>
                      <w:b/>
                      <w:bCs/>
                      <w:color w:val="auto"/>
                    </w:rPr>
                    <w:t>类比双回线路（220kV兰昌I回、220kV兰河线双回线路）</w:t>
                  </w:r>
                </w:p>
              </w:tc>
            </w:tr>
            <w:tr w14:paraId="2226C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Align w:val="center"/>
                </w:tcPr>
                <w:p w14:paraId="34A1E2AA">
                  <w:pPr>
                    <w:adjustRightInd w:val="0"/>
                    <w:snapToGrid w:val="0"/>
                    <w:jc w:val="center"/>
                    <w:rPr>
                      <w:rFonts w:ascii="Times New Roman" w:hAnsi="Times New Roman"/>
                      <w:b/>
                      <w:color w:val="auto"/>
                      <w:szCs w:val="21"/>
                    </w:rPr>
                  </w:pPr>
                  <w:r>
                    <w:rPr>
                      <w:rFonts w:ascii="Times New Roman" w:hAnsi="Times New Roman"/>
                      <w:b/>
                      <w:color w:val="auto"/>
                      <w:szCs w:val="21"/>
                    </w:rPr>
                    <w:t>点位编号</w:t>
                  </w:r>
                </w:p>
              </w:tc>
              <w:tc>
                <w:tcPr>
                  <w:tcW w:w="1227" w:type="dxa"/>
                  <w:vAlign w:val="center"/>
                </w:tcPr>
                <w:p w14:paraId="41815552">
                  <w:pPr>
                    <w:adjustRightInd w:val="0"/>
                    <w:snapToGrid w:val="0"/>
                    <w:jc w:val="center"/>
                    <w:rPr>
                      <w:rFonts w:ascii="Times New Roman" w:hAnsi="Times New Roman"/>
                      <w:b/>
                      <w:color w:val="auto"/>
                      <w:szCs w:val="21"/>
                    </w:rPr>
                  </w:pPr>
                  <w:r>
                    <w:rPr>
                      <w:rFonts w:hint="eastAsia" w:ascii="Times New Roman" w:hAnsi="Times New Roman"/>
                      <w:b/>
                      <w:color w:val="auto"/>
                      <w:szCs w:val="21"/>
                    </w:rPr>
                    <w:t>检测时间</w:t>
                  </w:r>
                </w:p>
              </w:tc>
              <w:tc>
                <w:tcPr>
                  <w:tcW w:w="3890" w:type="dxa"/>
                  <w:vAlign w:val="center"/>
                </w:tcPr>
                <w:p w14:paraId="19B30228">
                  <w:pPr>
                    <w:adjustRightInd w:val="0"/>
                    <w:snapToGrid w:val="0"/>
                    <w:jc w:val="center"/>
                    <w:rPr>
                      <w:rFonts w:ascii="Times New Roman" w:hAnsi="Times New Roman"/>
                      <w:b/>
                      <w:color w:val="auto"/>
                      <w:szCs w:val="21"/>
                    </w:rPr>
                  </w:pPr>
                  <w:r>
                    <w:rPr>
                      <w:rFonts w:ascii="Times New Roman" w:hAnsi="Times New Roman"/>
                      <w:b/>
                      <w:color w:val="auto"/>
                      <w:szCs w:val="21"/>
                    </w:rPr>
                    <w:t>点位描述</w:t>
                  </w:r>
                </w:p>
              </w:tc>
              <w:tc>
                <w:tcPr>
                  <w:tcW w:w="1007" w:type="dxa"/>
                  <w:vAlign w:val="center"/>
                </w:tcPr>
                <w:p w14:paraId="03668A6F">
                  <w:pPr>
                    <w:adjustRightInd w:val="0"/>
                    <w:snapToGrid w:val="0"/>
                    <w:jc w:val="center"/>
                    <w:rPr>
                      <w:rFonts w:ascii="Times New Roman" w:hAnsi="Times New Roman"/>
                      <w:b/>
                      <w:color w:val="auto"/>
                      <w:szCs w:val="21"/>
                    </w:rPr>
                  </w:pPr>
                  <w:r>
                    <w:rPr>
                      <w:rFonts w:ascii="Times New Roman" w:hAnsi="Times New Roman"/>
                      <w:b/>
                      <w:color w:val="auto"/>
                      <w:szCs w:val="21"/>
                    </w:rPr>
                    <w:t>昼间dB</w:t>
                  </w:r>
                  <w:r>
                    <w:rPr>
                      <w:rFonts w:hint="eastAsia" w:ascii="Times New Roman" w:hAnsi="Times New Roman"/>
                      <w:b/>
                      <w:color w:val="auto"/>
                      <w:szCs w:val="21"/>
                    </w:rPr>
                    <w:t>（</w:t>
                  </w:r>
                  <w:r>
                    <w:rPr>
                      <w:rFonts w:ascii="Times New Roman" w:hAnsi="Times New Roman"/>
                      <w:b/>
                      <w:color w:val="auto"/>
                      <w:szCs w:val="21"/>
                    </w:rPr>
                    <w:t>A</w:t>
                  </w:r>
                  <w:r>
                    <w:rPr>
                      <w:rFonts w:hint="eastAsia" w:ascii="Times New Roman" w:hAnsi="Times New Roman"/>
                      <w:b/>
                      <w:color w:val="auto"/>
                      <w:szCs w:val="21"/>
                    </w:rPr>
                    <w:t>）</w:t>
                  </w:r>
                </w:p>
              </w:tc>
              <w:tc>
                <w:tcPr>
                  <w:tcW w:w="1118" w:type="dxa"/>
                  <w:vAlign w:val="center"/>
                </w:tcPr>
                <w:p w14:paraId="0FD965E5">
                  <w:pPr>
                    <w:adjustRightInd w:val="0"/>
                    <w:snapToGrid w:val="0"/>
                    <w:jc w:val="center"/>
                    <w:rPr>
                      <w:rFonts w:ascii="Times New Roman" w:hAnsi="Times New Roman"/>
                      <w:b/>
                      <w:color w:val="auto"/>
                      <w:szCs w:val="21"/>
                    </w:rPr>
                  </w:pPr>
                  <w:r>
                    <w:rPr>
                      <w:rFonts w:ascii="Times New Roman" w:hAnsi="Times New Roman"/>
                      <w:b/>
                      <w:color w:val="auto"/>
                      <w:szCs w:val="21"/>
                    </w:rPr>
                    <w:t>夜间dB</w:t>
                  </w:r>
                  <w:r>
                    <w:rPr>
                      <w:rFonts w:hint="eastAsia" w:ascii="Times New Roman" w:hAnsi="Times New Roman"/>
                      <w:b/>
                      <w:color w:val="auto"/>
                      <w:szCs w:val="21"/>
                    </w:rPr>
                    <w:t>（</w:t>
                  </w:r>
                  <w:r>
                    <w:rPr>
                      <w:rFonts w:ascii="Times New Roman" w:hAnsi="Times New Roman"/>
                      <w:b/>
                      <w:color w:val="auto"/>
                      <w:szCs w:val="21"/>
                    </w:rPr>
                    <w:t>A</w:t>
                  </w:r>
                  <w:r>
                    <w:rPr>
                      <w:rFonts w:hint="eastAsia" w:ascii="Times New Roman" w:hAnsi="Times New Roman"/>
                      <w:b/>
                      <w:color w:val="auto"/>
                      <w:szCs w:val="21"/>
                    </w:rPr>
                    <w:t>）</w:t>
                  </w:r>
                </w:p>
              </w:tc>
            </w:tr>
            <w:tr w14:paraId="6A9FB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restart"/>
                  <w:vAlign w:val="center"/>
                </w:tcPr>
                <w:p w14:paraId="443C19F6">
                  <w:pPr>
                    <w:adjustRightInd w:val="0"/>
                    <w:snapToGrid w:val="0"/>
                    <w:jc w:val="center"/>
                    <w:rPr>
                      <w:rFonts w:ascii="Times New Roman" w:hAnsi="Times New Roman"/>
                      <w:color w:val="auto"/>
                      <w:szCs w:val="21"/>
                    </w:rPr>
                  </w:pPr>
                  <w:r>
                    <w:rPr>
                      <w:rFonts w:hint="eastAsia" w:ascii="Times New Roman" w:hAnsi="Times New Roman"/>
                      <w:color w:val="auto"/>
                      <w:szCs w:val="21"/>
                    </w:rPr>
                    <w:t>220kV兰昌I回、220kV兰河线双回线路（导线垂直排列）监测断面（4#~5#）单回线路</w:t>
                  </w:r>
                  <w:r>
                    <w:rPr>
                      <w:rFonts w:ascii="Times New Roman" w:hAnsi="Times New Roman"/>
                      <w:color w:val="auto"/>
                      <w:szCs w:val="21"/>
                    </w:rPr>
                    <w:t>（线高</w:t>
                  </w:r>
                  <w:r>
                    <w:rPr>
                      <w:rFonts w:hint="eastAsia" w:ascii="Times New Roman" w:hAnsi="Times New Roman"/>
                      <w:color w:val="auto"/>
                      <w:szCs w:val="21"/>
                    </w:rPr>
                    <w:t>13</w:t>
                  </w:r>
                  <w:r>
                    <w:rPr>
                      <w:rFonts w:ascii="Times New Roman" w:hAnsi="Times New Roman"/>
                      <w:color w:val="auto"/>
                      <w:szCs w:val="21"/>
                    </w:rPr>
                    <w:t>m）</w:t>
                  </w:r>
                </w:p>
              </w:tc>
              <w:tc>
                <w:tcPr>
                  <w:tcW w:w="1227" w:type="dxa"/>
                  <w:vMerge w:val="restart"/>
                  <w:vAlign w:val="center"/>
                </w:tcPr>
                <w:p w14:paraId="50BCDA24">
                  <w:pPr>
                    <w:adjustRightInd w:val="0"/>
                    <w:snapToGrid w:val="0"/>
                    <w:jc w:val="center"/>
                    <w:rPr>
                      <w:rFonts w:ascii="Times New Roman" w:hAnsi="Times New Roman"/>
                      <w:color w:val="auto"/>
                      <w:szCs w:val="21"/>
                    </w:rPr>
                  </w:pPr>
                  <w:r>
                    <w:rPr>
                      <w:rFonts w:hint="eastAsia" w:ascii="Times New Roman" w:hAnsi="Times New Roman"/>
                      <w:color w:val="auto"/>
                      <w:szCs w:val="21"/>
                    </w:rPr>
                    <w:t>2024年7月31日</w:t>
                  </w:r>
                </w:p>
              </w:tc>
              <w:tc>
                <w:tcPr>
                  <w:tcW w:w="3890" w:type="dxa"/>
                  <w:vAlign w:val="center"/>
                </w:tcPr>
                <w:p w14:paraId="780986DE">
                  <w:pPr>
                    <w:adjustRightInd w:val="0"/>
                    <w:snapToGrid w:val="0"/>
                    <w:jc w:val="center"/>
                    <w:rPr>
                      <w:rFonts w:ascii="Times New Roman" w:hAnsi="Times New Roman"/>
                      <w:color w:val="auto"/>
                      <w:szCs w:val="21"/>
                    </w:rPr>
                  </w:pPr>
                  <w:r>
                    <w:rPr>
                      <w:rFonts w:hint="eastAsia" w:ascii="Times New Roman" w:hAnsi="Times New Roman"/>
                      <w:color w:val="auto"/>
                      <w:szCs w:val="21"/>
                    </w:rPr>
                    <w:t>相导线对地投影处</w:t>
                  </w:r>
                </w:p>
              </w:tc>
              <w:tc>
                <w:tcPr>
                  <w:tcW w:w="1007" w:type="dxa"/>
                  <w:vAlign w:val="center"/>
                </w:tcPr>
                <w:p w14:paraId="2087F327">
                  <w:pPr>
                    <w:adjustRightInd w:val="0"/>
                    <w:snapToGrid w:val="0"/>
                    <w:jc w:val="center"/>
                    <w:rPr>
                      <w:rFonts w:ascii="Times New Roman" w:hAnsi="Times New Roman"/>
                      <w:color w:val="auto"/>
                      <w:szCs w:val="21"/>
                    </w:rPr>
                  </w:pPr>
                  <w:r>
                    <w:rPr>
                      <w:rFonts w:hint="eastAsia" w:ascii="Times New Roman" w:hAnsi="Times New Roman"/>
                      <w:color w:val="auto"/>
                      <w:szCs w:val="21"/>
                    </w:rPr>
                    <w:t>43</w:t>
                  </w:r>
                </w:p>
              </w:tc>
              <w:tc>
                <w:tcPr>
                  <w:tcW w:w="1118" w:type="dxa"/>
                  <w:vAlign w:val="center"/>
                </w:tcPr>
                <w:p w14:paraId="1A87E66D">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r>
            <w:tr w14:paraId="18BFB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0BB4F490">
                  <w:pPr>
                    <w:adjustRightInd w:val="0"/>
                    <w:snapToGrid w:val="0"/>
                    <w:jc w:val="center"/>
                    <w:rPr>
                      <w:rFonts w:ascii="Times New Roman" w:hAnsi="Times New Roman"/>
                      <w:color w:val="auto"/>
                      <w:szCs w:val="21"/>
                    </w:rPr>
                  </w:pPr>
                </w:p>
              </w:tc>
              <w:tc>
                <w:tcPr>
                  <w:tcW w:w="1227" w:type="dxa"/>
                  <w:vMerge w:val="continue"/>
                  <w:vAlign w:val="center"/>
                </w:tcPr>
                <w:p w14:paraId="3816F65B">
                  <w:pPr>
                    <w:adjustRightInd w:val="0"/>
                    <w:snapToGrid w:val="0"/>
                    <w:jc w:val="center"/>
                    <w:rPr>
                      <w:rFonts w:ascii="Times New Roman" w:hAnsi="Times New Roman"/>
                      <w:color w:val="auto"/>
                      <w:szCs w:val="21"/>
                    </w:rPr>
                  </w:pPr>
                </w:p>
              </w:tc>
              <w:tc>
                <w:tcPr>
                  <w:tcW w:w="3890" w:type="dxa"/>
                  <w:vAlign w:val="center"/>
                </w:tcPr>
                <w:p w14:paraId="63F5C3D1">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p>
              </w:tc>
              <w:tc>
                <w:tcPr>
                  <w:tcW w:w="1007" w:type="dxa"/>
                  <w:vAlign w:val="center"/>
                </w:tcPr>
                <w:p w14:paraId="6666230F">
                  <w:pPr>
                    <w:adjustRightInd w:val="0"/>
                    <w:snapToGrid w:val="0"/>
                    <w:jc w:val="center"/>
                    <w:rPr>
                      <w:rFonts w:ascii="Times New Roman" w:hAnsi="Times New Roman"/>
                      <w:color w:val="auto"/>
                      <w:szCs w:val="21"/>
                    </w:rPr>
                  </w:pPr>
                  <w:r>
                    <w:rPr>
                      <w:rFonts w:hint="eastAsia" w:ascii="Times New Roman" w:hAnsi="Times New Roman"/>
                      <w:color w:val="auto"/>
                      <w:szCs w:val="21"/>
                    </w:rPr>
                    <w:t>43</w:t>
                  </w:r>
                </w:p>
              </w:tc>
              <w:tc>
                <w:tcPr>
                  <w:tcW w:w="1118" w:type="dxa"/>
                  <w:vAlign w:val="center"/>
                </w:tcPr>
                <w:p w14:paraId="775BD322">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r>
            <w:tr w14:paraId="1D12C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0D5B70D3">
                  <w:pPr>
                    <w:adjustRightInd w:val="0"/>
                    <w:snapToGrid w:val="0"/>
                    <w:jc w:val="center"/>
                    <w:rPr>
                      <w:rFonts w:ascii="Times New Roman" w:hAnsi="Times New Roman"/>
                      <w:color w:val="auto"/>
                      <w:szCs w:val="21"/>
                    </w:rPr>
                  </w:pPr>
                </w:p>
              </w:tc>
              <w:tc>
                <w:tcPr>
                  <w:tcW w:w="1227" w:type="dxa"/>
                  <w:vMerge w:val="continue"/>
                  <w:vAlign w:val="center"/>
                </w:tcPr>
                <w:p w14:paraId="080404C1">
                  <w:pPr>
                    <w:adjustRightInd w:val="0"/>
                    <w:snapToGrid w:val="0"/>
                    <w:jc w:val="center"/>
                    <w:rPr>
                      <w:rFonts w:ascii="Times New Roman" w:hAnsi="Times New Roman"/>
                      <w:color w:val="auto"/>
                      <w:szCs w:val="21"/>
                    </w:rPr>
                  </w:pPr>
                </w:p>
              </w:tc>
              <w:tc>
                <w:tcPr>
                  <w:tcW w:w="3890" w:type="dxa"/>
                  <w:vAlign w:val="center"/>
                </w:tcPr>
                <w:p w14:paraId="1D371923">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9"/>
                      <w:szCs w:val="21"/>
                    </w:rPr>
                    <w:t>5</w:t>
                  </w:r>
                  <w:r>
                    <w:rPr>
                      <w:rFonts w:ascii="Times New Roman" w:hAnsi="Times New Roman"/>
                      <w:color w:val="auto"/>
                      <w:szCs w:val="21"/>
                    </w:rPr>
                    <w:t>m</w:t>
                  </w:r>
                </w:p>
              </w:tc>
              <w:tc>
                <w:tcPr>
                  <w:tcW w:w="1007" w:type="dxa"/>
                  <w:vAlign w:val="center"/>
                </w:tcPr>
                <w:p w14:paraId="65CC0FF5">
                  <w:pPr>
                    <w:adjustRightInd w:val="0"/>
                    <w:snapToGrid w:val="0"/>
                    <w:jc w:val="center"/>
                    <w:rPr>
                      <w:rFonts w:ascii="Times New Roman" w:hAnsi="Times New Roman"/>
                      <w:color w:val="auto"/>
                      <w:szCs w:val="21"/>
                    </w:rPr>
                  </w:pPr>
                  <w:r>
                    <w:rPr>
                      <w:rFonts w:hint="eastAsia" w:ascii="Times New Roman" w:hAnsi="Times New Roman"/>
                      <w:color w:val="auto"/>
                      <w:szCs w:val="21"/>
                    </w:rPr>
                    <w:t>42</w:t>
                  </w:r>
                </w:p>
              </w:tc>
              <w:tc>
                <w:tcPr>
                  <w:tcW w:w="1118" w:type="dxa"/>
                  <w:vAlign w:val="center"/>
                </w:tcPr>
                <w:p w14:paraId="608D0557">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r>
            <w:tr w14:paraId="19311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40B4F47">
                  <w:pPr>
                    <w:adjustRightInd w:val="0"/>
                    <w:snapToGrid w:val="0"/>
                    <w:jc w:val="center"/>
                    <w:rPr>
                      <w:rFonts w:ascii="Times New Roman" w:hAnsi="Times New Roman"/>
                      <w:color w:val="auto"/>
                      <w:szCs w:val="21"/>
                    </w:rPr>
                  </w:pPr>
                </w:p>
              </w:tc>
              <w:tc>
                <w:tcPr>
                  <w:tcW w:w="1227" w:type="dxa"/>
                  <w:vMerge w:val="continue"/>
                  <w:vAlign w:val="center"/>
                </w:tcPr>
                <w:p w14:paraId="70ED52DF">
                  <w:pPr>
                    <w:adjustRightInd w:val="0"/>
                    <w:snapToGrid w:val="0"/>
                    <w:jc w:val="center"/>
                    <w:rPr>
                      <w:rFonts w:ascii="Times New Roman" w:hAnsi="Times New Roman"/>
                      <w:color w:val="auto"/>
                      <w:szCs w:val="21"/>
                    </w:rPr>
                  </w:pPr>
                </w:p>
              </w:tc>
              <w:tc>
                <w:tcPr>
                  <w:tcW w:w="3890" w:type="dxa"/>
                  <w:vAlign w:val="center"/>
                </w:tcPr>
                <w:p w14:paraId="5B912D6C">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10</w:t>
                  </w:r>
                  <w:r>
                    <w:rPr>
                      <w:rFonts w:ascii="Times New Roman" w:hAnsi="Times New Roman"/>
                      <w:color w:val="auto"/>
                      <w:szCs w:val="21"/>
                    </w:rPr>
                    <w:t>m</w:t>
                  </w:r>
                </w:p>
              </w:tc>
              <w:tc>
                <w:tcPr>
                  <w:tcW w:w="1007" w:type="dxa"/>
                  <w:vAlign w:val="center"/>
                </w:tcPr>
                <w:p w14:paraId="6B885E2D">
                  <w:pPr>
                    <w:adjustRightInd w:val="0"/>
                    <w:snapToGrid w:val="0"/>
                    <w:jc w:val="center"/>
                    <w:rPr>
                      <w:rFonts w:ascii="Times New Roman" w:hAnsi="Times New Roman"/>
                      <w:color w:val="auto"/>
                      <w:szCs w:val="21"/>
                    </w:rPr>
                  </w:pPr>
                  <w:r>
                    <w:rPr>
                      <w:rFonts w:hint="eastAsia" w:ascii="Times New Roman" w:hAnsi="Times New Roman"/>
                      <w:color w:val="auto"/>
                      <w:szCs w:val="21"/>
                    </w:rPr>
                    <w:t>42</w:t>
                  </w:r>
                </w:p>
              </w:tc>
              <w:tc>
                <w:tcPr>
                  <w:tcW w:w="1118" w:type="dxa"/>
                  <w:vAlign w:val="center"/>
                </w:tcPr>
                <w:p w14:paraId="6991CB4C">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0A764D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0AA4732C">
                  <w:pPr>
                    <w:adjustRightInd w:val="0"/>
                    <w:snapToGrid w:val="0"/>
                    <w:jc w:val="center"/>
                    <w:rPr>
                      <w:rFonts w:ascii="Times New Roman" w:hAnsi="Times New Roman"/>
                      <w:color w:val="auto"/>
                      <w:szCs w:val="21"/>
                    </w:rPr>
                  </w:pPr>
                </w:p>
              </w:tc>
              <w:tc>
                <w:tcPr>
                  <w:tcW w:w="1227" w:type="dxa"/>
                  <w:vMerge w:val="continue"/>
                  <w:vAlign w:val="center"/>
                </w:tcPr>
                <w:p w14:paraId="61E319CD">
                  <w:pPr>
                    <w:adjustRightInd w:val="0"/>
                    <w:snapToGrid w:val="0"/>
                    <w:jc w:val="center"/>
                    <w:rPr>
                      <w:rFonts w:ascii="Times New Roman" w:hAnsi="Times New Roman"/>
                      <w:color w:val="auto"/>
                      <w:szCs w:val="21"/>
                    </w:rPr>
                  </w:pPr>
                </w:p>
              </w:tc>
              <w:tc>
                <w:tcPr>
                  <w:tcW w:w="3890" w:type="dxa"/>
                  <w:vAlign w:val="center"/>
                </w:tcPr>
                <w:p w14:paraId="6061BDD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15</w:t>
                  </w:r>
                  <w:r>
                    <w:rPr>
                      <w:rFonts w:ascii="Times New Roman" w:hAnsi="Times New Roman"/>
                      <w:color w:val="auto"/>
                      <w:szCs w:val="21"/>
                    </w:rPr>
                    <w:t>m</w:t>
                  </w:r>
                </w:p>
              </w:tc>
              <w:tc>
                <w:tcPr>
                  <w:tcW w:w="1007" w:type="dxa"/>
                  <w:vAlign w:val="center"/>
                </w:tcPr>
                <w:p w14:paraId="20BDB2CF">
                  <w:pPr>
                    <w:adjustRightInd w:val="0"/>
                    <w:snapToGrid w:val="0"/>
                    <w:jc w:val="center"/>
                    <w:rPr>
                      <w:rFonts w:ascii="Times New Roman" w:hAnsi="Times New Roman"/>
                      <w:color w:val="auto"/>
                      <w:szCs w:val="21"/>
                    </w:rPr>
                  </w:pPr>
                  <w:r>
                    <w:rPr>
                      <w:rFonts w:hint="eastAsia" w:ascii="Times New Roman" w:hAnsi="Times New Roman"/>
                      <w:color w:val="auto"/>
                      <w:szCs w:val="21"/>
                    </w:rPr>
                    <w:t>42</w:t>
                  </w:r>
                </w:p>
              </w:tc>
              <w:tc>
                <w:tcPr>
                  <w:tcW w:w="1118" w:type="dxa"/>
                  <w:vAlign w:val="center"/>
                </w:tcPr>
                <w:p w14:paraId="28817BC7">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5096AB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77C5113">
                  <w:pPr>
                    <w:adjustRightInd w:val="0"/>
                    <w:snapToGrid w:val="0"/>
                    <w:jc w:val="center"/>
                    <w:rPr>
                      <w:rFonts w:ascii="Times New Roman" w:hAnsi="Times New Roman"/>
                      <w:color w:val="auto"/>
                      <w:szCs w:val="21"/>
                    </w:rPr>
                  </w:pPr>
                </w:p>
              </w:tc>
              <w:tc>
                <w:tcPr>
                  <w:tcW w:w="1227" w:type="dxa"/>
                  <w:vMerge w:val="continue"/>
                  <w:vAlign w:val="center"/>
                </w:tcPr>
                <w:p w14:paraId="773F44E7">
                  <w:pPr>
                    <w:adjustRightInd w:val="0"/>
                    <w:snapToGrid w:val="0"/>
                    <w:jc w:val="center"/>
                    <w:rPr>
                      <w:rFonts w:ascii="Times New Roman" w:hAnsi="Times New Roman"/>
                      <w:color w:val="auto"/>
                      <w:szCs w:val="21"/>
                    </w:rPr>
                  </w:pPr>
                </w:p>
              </w:tc>
              <w:tc>
                <w:tcPr>
                  <w:tcW w:w="3890" w:type="dxa"/>
                  <w:vAlign w:val="center"/>
                </w:tcPr>
                <w:p w14:paraId="51434DA0">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7"/>
                      <w:szCs w:val="21"/>
                    </w:rPr>
                    <w:t>20</w:t>
                  </w:r>
                  <w:r>
                    <w:rPr>
                      <w:rFonts w:ascii="Times New Roman" w:hAnsi="Times New Roman"/>
                      <w:color w:val="auto"/>
                      <w:szCs w:val="21"/>
                    </w:rPr>
                    <w:t>m</w:t>
                  </w:r>
                </w:p>
              </w:tc>
              <w:tc>
                <w:tcPr>
                  <w:tcW w:w="1007" w:type="dxa"/>
                  <w:vAlign w:val="center"/>
                </w:tcPr>
                <w:p w14:paraId="1E05C8C5">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5EF3F8A5">
                  <w:pPr>
                    <w:adjustRightInd w:val="0"/>
                    <w:snapToGrid w:val="0"/>
                    <w:jc w:val="center"/>
                    <w:rPr>
                      <w:rFonts w:ascii="Times New Roman" w:hAnsi="Times New Roman"/>
                      <w:color w:val="auto"/>
                      <w:szCs w:val="21"/>
                    </w:rPr>
                  </w:pPr>
                  <w:r>
                    <w:rPr>
                      <w:rFonts w:hint="eastAsia" w:ascii="Times New Roman" w:hAnsi="Times New Roman"/>
                      <w:color w:val="auto"/>
                      <w:szCs w:val="21"/>
                    </w:rPr>
                    <w:t>39</w:t>
                  </w:r>
                </w:p>
              </w:tc>
            </w:tr>
            <w:tr w14:paraId="0B2DC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3F4EA912">
                  <w:pPr>
                    <w:adjustRightInd w:val="0"/>
                    <w:snapToGrid w:val="0"/>
                    <w:jc w:val="center"/>
                    <w:rPr>
                      <w:rFonts w:ascii="Times New Roman" w:hAnsi="Times New Roman"/>
                      <w:color w:val="auto"/>
                      <w:szCs w:val="21"/>
                    </w:rPr>
                  </w:pPr>
                </w:p>
              </w:tc>
              <w:tc>
                <w:tcPr>
                  <w:tcW w:w="1227" w:type="dxa"/>
                  <w:vMerge w:val="continue"/>
                  <w:vAlign w:val="center"/>
                </w:tcPr>
                <w:p w14:paraId="47B8E8B0">
                  <w:pPr>
                    <w:adjustRightInd w:val="0"/>
                    <w:snapToGrid w:val="0"/>
                    <w:jc w:val="center"/>
                    <w:rPr>
                      <w:rFonts w:ascii="Times New Roman" w:hAnsi="Times New Roman"/>
                      <w:color w:val="auto"/>
                      <w:szCs w:val="21"/>
                    </w:rPr>
                  </w:pPr>
                </w:p>
              </w:tc>
              <w:tc>
                <w:tcPr>
                  <w:tcW w:w="3890" w:type="dxa"/>
                  <w:vAlign w:val="center"/>
                </w:tcPr>
                <w:p w14:paraId="1BC376EA">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25</w:t>
                  </w:r>
                  <w:r>
                    <w:rPr>
                      <w:rFonts w:ascii="Times New Roman" w:hAnsi="Times New Roman"/>
                      <w:color w:val="auto"/>
                      <w:szCs w:val="21"/>
                    </w:rPr>
                    <w:t>m</w:t>
                  </w:r>
                </w:p>
              </w:tc>
              <w:tc>
                <w:tcPr>
                  <w:tcW w:w="1007" w:type="dxa"/>
                  <w:vAlign w:val="center"/>
                </w:tcPr>
                <w:p w14:paraId="34B5B3B8">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39BC62F9">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r>
            <w:tr w14:paraId="3D3D5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76E56A8">
                  <w:pPr>
                    <w:adjustRightInd w:val="0"/>
                    <w:snapToGrid w:val="0"/>
                    <w:jc w:val="center"/>
                    <w:rPr>
                      <w:rFonts w:ascii="Times New Roman" w:hAnsi="Times New Roman"/>
                      <w:color w:val="auto"/>
                      <w:szCs w:val="21"/>
                    </w:rPr>
                  </w:pPr>
                </w:p>
              </w:tc>
              <w:tc>
                <w:tcPr>
                  <w:tcW w:w="1227" w:type="dxa"/>
                  <w:vMerge w:val="continue"/>
                  <w:vAlign w:val="center"/>
                </w:tcPr>
                <w:p w14:paraId="5EFF58CD">
                  <w:pPr>
                    <w:adjustRightInd w:val="0"/>
                    <w:snapToGrid w:val="0"/>
                    <w:jc w:val="center"/>
                    <w:rPr>
                      <w:rFonts w:ascii="Times New Roman" w:hAnsi="Times New Roman"/>
                      <w:color w:val="auto"/>
                      <w:szCs w:val="21"/>
                    </w:rPr>
                  </w:pPr>
                </w:p>
              </w:tc>
              <w:tc>
                <w:tcPr>
                  <w:tcW w:w="3890" w:type="dxa"/>
                  <w:vAlign w:val="center"/>
                </w:tcPr>
                <w:p w14:paraId="04FE8E5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30</w:t>
                  </w:r>
                  <w:r>
                    <w:rPr>
                      <w:rFonts w:ascii="Times New Roman" w:hAnsi="Times New Roman"/>
                      <w:color w:val="auto"/>
                      <w:szCs w:val="21"/>
                    </w:rPr>
                    <w:t>m</w:t>
                  </w:r>
                </w:p>
              </w:tc>
              <w:tc>
                <w:tcPr>
                  <w:tcW w:w="1007" w:type="dxa"/>
                  <w:vAlign w:val="center"/>
                </w:tcPr>
                <w:p w14:paraId="34A829C0">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32568BC9">
                  <w:pPr>
                    <w:adjustRightInd w:val="0"/>
                    <w:snapToGrid w:val="0"/>
                    <w:jc w:val="center"/>
                    <w:rPr>
                      <w:rFonts w:ascii="Times New Roman" w:hAnsi="Times New Roman"/>
                      <w:color w:val="auto"/>
                      <w:szCs w:val="21"/>
                    </w:rPr>
                  </w:pPr>
                  <w:r>
                    <w:rPr>
                      <w:rFonts w:hint="eastAsia" w:ascii="Times New Roman" w:hAnsi="Times New Roman"/>
                      <w:color w:val="auto"/>
                      <w:szCs w:val="21"/>
                    </w:rPr>
                    <w:t>38</w:t>
                  </w:r>
                </w:p>
              </w:tc>
            </w:tr>
            <w:tr w14:paraId="51C69B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75B6D7EF">
                  <w:pPr>
                    <w:adjustRightInd w:val="0"/>
                    <w:snapToGrid w:val="0"/>
                    <w:jc w:val="center"/>
                    <w:rPr>
                      <w:rFonts w:ascii="Times New Roman" w:hAnsi="Times New Roman"/>
                      <w:color w:val="auto"/>
                      <w:szCs w:val="21"/>
                    </w:rPr>
                  </w:pPr>
                </w:p>
              </w:tc>
              <w:tc>
                <w:tcPr>
                  <w:tcW w:w="1227" w:type="dxa"/>
                  <w:vMerge w:val="continue"/>
                  <w:vAlign w:val="center"/>
                </w:tcPr>
                <w:p w14:paraId="0286DE05">
                  <w:pPr>
                    <w:adjustRightInd w:val="0"/>
                    <w:snapToGrid w:val="0"/>
                    <w:jc w:val="center"/>
                    <w:rPr>
                      <w:rFonts w:ascii="Times New Roman" w:hAnsi="Times New Roman"/>
                      <w:color w:val="auto"/>
                      <w:szCs w:val="21"/>
                    </w:rPr>
                  </w:pPr>
                </w:p>
              </w:tc>
              <w:tc>
                <w:tcPr>
                  <w:tcW w:w="3890" w:type="dxa"/>
                  <w:vAlign w:val="center"/>
                </w:tcPr>
                <w:p w14:paraId="0B001267">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35</w:t>
                  </w:r>
                  <w:r>
                    <w:rPr>
                      <w:rFonts w:ascii="Times New Roman" w:hAnsi="Times New Roman"/>
                      <w:color w:val="auto"/>
                      <w:szCs w:val="21"/>
                    </w:rPr>
                    <w:t>m</w:t>
                  </w:r>
                </w:p>
              </w:tc>
              <w:tc>
                <w:tcPr>
                  <w:tcW w:w="1007" w:type="dxa"/>
                  <w:vAlign w:val="center"/>
                </w:tcPr>
                <w:p w14:paraId="1CCEAFD2">
                  <w:pPr>
                    <w:adjustRightInd w:val="0"/>
                    <w:snapToGrid w:val="0"/>
                    <w:jc w:val="center"/>
                    <w:rPr>
                      <w:rFonts w:ascii="Times New Roman" w:hAnsi="Times New Roman"/>
                      <w:color w:val="auto"/>
                      <w:szCs w:val="21"/>
                    </w:rPr>
                  </w:pPr>
                  <w:r>
                    <w:rPr>
                      <w:rFonts w:hint="eastAsia" w:ascii="Times New Roman" w:hAnsi="Times New Roman"/>
                      <w:color w:val="auto"/>
                      <w:szCs w:val="21"/>
                    </w:rPr>
                    <w:t>41</w:t>
                  </w:r>
                </w:p>
              </w:tc>
              <w:tc>
                <w:tcPr>
                  <w:tcW w:w="1118" w:type="dxa"/>
                  <w:vAlign w:val="center"/>
                </w:tcPr>
                <w:p w14:paraId="403BD0D0">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30449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4B514720">
                  <w:pPr>
                    <w:adjustRightInd w:val="0"/>
                    <w:snapToGrid w:val="0"/>
                    <w:jc w:val="center"/>
                    <w:rPr>
                      <w:rFonts w:ascii="Times New Roman" w:hAnsi="Times New Roman"/>
                      <w:color w:val="auto"/>
                      <w:szCs w:val="21"/>
                    </w:rPr>
                  </w:pPr>
                </w:p>
              </w:tc>
              <w:tc>
                <w:tcPr>
                  <w:tcW w:w="1227" w:type="dxa"/>
                  <w:vMerge w:val="continue"/>
                  <w:vAlign w:val="center"/>
                </w:tcPr>
                <w:p w14:paraId="08226993">
                  <w:pPr>
                    <w:adjustRightInd w:val="0"/>
                    <w:snapToGrid w:val="0"/>
                    <w:jc w:val="center"/>
                    <w:rPr>
                      <w:rFonts w:ascii="Times New Roman" w:hAnsi="Times New Roman"/>
                      <w:color w:val="auto"/>
                      <w:szCs w:val="21"/>
                    </w:rPr>
                  </w:pPr>
                </w:p>
              </w:tc>
              <w:tc>
                <w:tcPr>
                  <w:tcW w:w="3890" w:type="dxa"/>
                  <w:vAlign w:val="center"/>
                </w:tcPr>
                <w:p w14:paraId="2B38E2CD">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40</w:t>
                  </w:r>
                  <w:r>
                    <w:rPr>
                      <w:rFonts w:ascii="Times New Roman" w:hAnsi="Times New Roman"/>
                      <w:color w:val="auto"/>
                      <w:szCs w:val="21"/>
                    </w:rPr>
                    <w:t>m</w:t>
                  </w:r>
                </w:p>
              </w:tc>
              <w:tc>
                <w:tcPr>
                  <w:tcW w:w="1007" w:type="dxa"/>
                  <w:vAlign w:val="center"/>
                </w:tcPr>
                <w:p w14:paraId="4061A75E">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c>
                <w:tcPr>
                  <w:tcW w:w="1118" w:type="dxa"/>
                  <w:vAlign w:val="center"/>
                </w:tcPr>
                <w:p w14:paraId="7D5E9344">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5B651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52F76BDB">
                  <w:pPr>
                    <w:adjustRightInd w:val="0"/>
                    <w:snapToGrid w:val="0"/>
                    <w:jc w:val="center"/>
                    <w:rPr>
                      <w:rFonts w:ascii="Times New Roman" w:hAnsi="Times New Roman"/>
                      <w:color w:val="auto"/>
                      <w:szCs w:val="21"/>
                    </w:rPr>
                  </w:pPr>
                </w:p>
              </w:tc>
              <w:tc>
                <w:tcPr>
                  <w:tcW w:w="1227" w:type="dxa"/>
                  <w:vMerge w:val="continue"/>
                  <w:vAlign w:val="center"/>
                </w:tcPr>
                <w:p w14:paraId="78F18586">
                  <w:pPr>
                    <w:adjustRightInd w:val="0"/>
                    <w:snapToGrid w:val="0"/>
                    <w:jc w:val="center"/>
                    <w:rPr>
                      <w:rFonts w:ascii="Times New Roman" w:hAnsi="Times New Roman"/>
                      <w:color w:val="auto"/>
                      <w:szCs w:val="21"/>
                    </w:rPr>
                  </w:pPr>
                </w:p>
              </w:tc>
              <w:tc>
                <w:tcPr>
                  <w:tcW w:w="3890" w:type="dxa"/>
                  <w:vAlign w:val="center"/>
                </w:tcPr>
                <w:p w14:paraId="649C6521">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45</w:t>
                  </w:r>
                  <w:r>
                    <w:rPr>
                      <w:rFonts w:ascii="Times New Roman" w:hAnsi="Times New Roman"/>
                      <w:color w:val="auto"/>
                      <w:szCs w:val="21"/>
                    </w:rPr>
                    <w:t>m</w:t>
                  </w:r>
                </w:p>
              </w:tc>
              <w:tc>
                <w:tcPr>
                  <w:tcW w:w="1007" w:type="dxa"/>
                  <w:vAlign w:val="center"/>
                </w:tcPr>
                <w:p w14:paraId="5EE0A224">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c>
                <w:tcPr>
                  <w:tcW w:w="1118" w:type="dxa"/>
                  <w:vAlign w:val="center"/>
                </w:tcPr>
                <w:p w14:paraId="6AB92248">
                  <w:pPr>
                    <w:adjustRightInd w:val="0"/>
                    <w:snapToGrid w:val="0"/>
                    <w:jc w:val="center"/>
                    <w:rPr>
                      <w:rFonts w:ascii="Times New Roman" w:hAnsi="Times New Roman"/>
                      <w:color w:val="auto"/>
                      <w:szCs w:val="21"/>
                    </w:rPr>
                  </w:pPr>
                  <w:r>
                    <w:rPr>
                      <w:rFonts w:hint="eastAsia" w:ascii="Times New Roman" w:hAnsi="Times New Roman"/>
                      <w:color w:val="auto"/>
                      <w:szCs w:val="21"/>
                    </w:rPr>
                    <w:t>37</w:t>
                  </w:r>
                </w:p>
              </w:tc>
            </w:tr>
            <w:tr w14:paraId="78F72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Merge w:val="continue"/>
                  <w:vAlign w:val="center"/>
                </w:tcPr>
                <w:p w14:paraId="4F4550B8">
                  <w:pPr>
                    <w:adjustRightInd w:val="0"/>
                    <w:snapToGrid w:val="0"/>
                    <w:jc w:val="center"/>
                    <w:rPr>
                      <w:rFonts w:ascii="Times New Roman" w:hAnsi="Times New Roman"/>
                      <w:color w:val="auto"/>
                      <w:szCs w:val="21"/>
                    </w:rPr>
                  </w:pPr>
                </w:p>
              </w:tc>
              <w:tc>
                <w:tcPr>
                  <w:tcW w:w="1227" w:type="dxa"/>
                  <w:vMerge w:val="continue"/>
                  <w:vAlign w:val="center"/>
                </w:tcPr>
                <w:p w14:paraId="31367989">
                  <w:pPr>
                    <w:adjustRightInd w:val="0"/>
                    <w:snapToGrid w:val="0"/>
                    <w:jc w:val="center"/>
                    <w:rPr>
                      <w:rFonts w:ascii="Times New Roman" w:hAnsi="Times New Roman"/>
                      <w:color w:val="auto"/>
                      <w:szCs w:val="21"/>
                    </w:rPr>
                  </w:pPr>
                </w:p>
              </w:tc>
              <w:tc>
                <w:tcPr>
                  <w:tcW w:w="3890" w:type="dxa"/>
                  <w:vAlign w:val="center"/>
                </w:tcPr>
                <w:p w14:paraId="11E15CAE">
                  <w:pPr>
                    <w:adjustRightInd w:val="0"/>
                    <w:snapToGrid w:val="0"/>
                    <w:jc w:val="center"/>
                    <w:rPr>
                      <w:rFonts w:ascii="Times New Roman" w:hAnsi="Times New Roman"/>
                      <w:color w:val="auto"/>
                      <w:szCs w:val="21"/>
                    </w:rPr>
                  </w:pPr>
                  <w:r>
                    <w:rPr>
                      <w:rFonts w:hint="eastAsia" w:ascii="Times New Roman" w:hAnsi="Times New Roman"/>
                      <w:color w:val="auto"/>
                      <w:spacing w:val="9"/>
                      <w:szCs w:val="21"/>
                    </w:rPr>
                    <w:t>边导线对地投影处外</w:t>
                  </w:r>
                  <w:r>
                    <w:rPr>
                      <w:rFonts w:ascii="Times New Roman" w:hAnsi="Times New Roman"/>
                      <w:color w:val="auto"/>
                      <w:spacing w:val="8"/>
                      <w:szCs w:val="21"/>
                    </w:rPr>
                    <w:t>50</w:t>
                  </w:r>
                  <w:r>
                    <w:rPr>
                      <w:rFonts w:ascii="Times New Roman" w:hAnsi="Times New Roman"/>
                      <w:color w:val="auto"/>
                      <w:szCs w:val="21"/>
                    </w:rPr>
                    <w:t>m</w:t>
                  </w:r>
                </w:p>
              </w:tc>
              <w:tc>
                <w:tcPr>
                  <w:tcW w:w="1007" w:type="dxa"/>
                  <w:vAlign w:val="center"/>
                </w:tcPr>
                <w:p w14:paraId="0DAD45DF">
                  <w:pPr>
                    <w:adjustRightInd w:val="0"/>
                    <w:snapToGrid w:val="0"/>
                    <w:jc w:val="center"/>
                    <w:rPr>
                      <w:rFonts w:ascii="Times New Roman" w:hAnsi="Times New Roman"/>
                      <w:color w:val="auto"/>
                      <w:szCs w:val="21"/>
                    </w:rPr>
                  </w:pPr>
                  <w:r>
                    <w:rPr>
                      <w:rFonts w:hint="eastAsia" w:ascii="Times New Roman" w:hAnsi="Times New Roman"/>
                      <w:color w:val="auto"/>
                      <w:szCs w:val="21"/>
                    </w:rPr>
                    <w:t>40</w:t>
                  </w:r>
                </w:p>
              </w:tc>
              <w:tc>
                <w:tcPr>
                  <w:tcW w:w="1118" w:type="dxa"/>
                  <w:vAlign w:val="center"/>
                </w:tcPr>
                <w:p w14:paraId="4B5E3A80">
                  <w:pPr>
                    <w:adjustRightInd w:val="0"/>
                    <w:snapToGrid w:val="0"/>
                    <w:jc w:val="center"/>
                    <w:rPr>
                      <w:rFonts w:ascii="Times New Roman" w:hAnsi="Times New Roman"/>
                      <w:color w:val="auto"/>
                      <w:szCs w:val="21"/>
                    </w:rPr>
                  </w:pPr>
                  <w:r>
                    <w:rPr>
                      <w:rFonts w:hint="eastAsia" w:ascii="Times New Roman" w:hAnsi="Times New Roman"/>
                      <w:color w:val="auto"/>
                      <w:szCs w:val="21"/>
                    </w:rPr>
                    <w:t>36</w:t>
                  </w:r>
                </w:p>
              </w:tc>
            </w:tr>
            <w:tr w14:paraId="651C2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04" w:type="dxa"/>
                  <w:gridSpan w:val="3"/>
                  <w:vAlign w:val="center"/>
                </w:tcPr>
                <w:p w14:paraId="3D88ECF2">
                  <w:pPr>
                    <w:pStyle w:val="56"/>
                    <w:adjustRightInd w:val="0"/>
                    <w:snapToGrid w:val="0"/>
                    <w:jc w:val="center"/>
                    <w:rPr>
                      <w:color w:val="auto"/>
                    </w:rPr>
                  </w:pPr>
                  <w:r>
                    <w:rPr>
                      <w:color w:val="auto"/>
                    </w:rPr>
                    <w:t>乡村环境（GB3096-2008）1类标准</w:t>
                  </w:r>
                </w:p>
              </w:tc>
              <w:tc>
                <w:tcPr>
                  <w:tcW w:w="1007" w:type="dxa"/>
                  <w:vAlign w:val="center"/>
                </w:tcPr>
                <w:p w14:paraId="48F6DED9">
                  <w:pPr>
                    <w:pStyle w:val="56"/>
                    <w:adjustRightInd w:val="0"/>
                    <w:snapToGrid w:val="0"/>
                    <w:jc w:val="center"/>
                    <w:rPr>
                      <w:color w:val="auto"/>
                      <w:kern w:val="2"/>
                    </w:rPr>
                  </w:pPr>
                  <w:r>
                    <w:rPr>
                      <w:color w:val="auto"/>
                      <w:kern w:val="2"/>
                    </w:rPr>
                    <w:t>55</w:t>
                  </w:r>
                </w:p>
              </w:tc>
              <w:tc>
                <w:tcPr>
                  <w:tcW w:w="1118" w:type="dxa"/>
                  <w:vAlign w:val="center"/>
                </w:tcPr>
                <w:p w14:paraId="41D009FE">
                  <w:pPr>
                    <w:pStyle w:val="56"/>
                    <w:adjustRightInd w:val="0"/>
                    <w:snapToGrid w:val="0"/>
                    <w:jc w:val="center"/>
                    <w:rPr>
                      <w:color w:val="auto"/>
                      <w:kern w:val="2"/>
                    </w:rPr>
                  </w:pPr>
                  <w:r>
                    <w:rPr>
                      <w:color w:val="auto"/>
                      <w:kern w:val="2"/>
                    </w:rPr>
                    <w:t>45</w:t>
                  </w:r>
                </w:p>
              </w:tc>
            </w:tr>
            <w:tr w14:paraId="7BA32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04" w:type="dxa"/>
                  <w:gridSpan w:val="3"/>
                  <w:vAlign w:val="center"/>
                </w:tcPr>
                <w:p w14:paraId="03769229">
                  <w:pPr>
                    <w:pStyle w:val="56"/>
                    <w:adjustRightInd w:val="0"/>
                    <w:snapToGrid w:val="0"/>
                    <w:jc w:val="center"/>
                    <w:rPr>
                      <w:color w:val="auto"/>
                    </w:rPr>
                  </w:pPr>
                  <w:r>
                    <w:rPr>
                      <w:rFonts w:hint="eastAsia"/>
                      <w:color w:val="auto"/>
                    </w:rPr>
                    <w:t>达标情况</w:t>
                  </w:r>
                </w:p>
              </w:tc>
              <w:tc>
                <w:tcPr>
                  <w:tcW w:w="1007" w:type="dxa"/>
                  <w:vAlign w:val="center"/>
                </w:tcPr>
                <w:p w14:paraId="76D1F15A">
                  <w:pPr>
                    <w:pStyle w:val="56"/>
                    <w:adjustRightInd w:val="0"/>
                    <w:snapToGrid w:val="0"/>
                    <w:jc w:val="center"/>
                    <w:rPr>
                      <w:color w:val="auto"/>
                      <w:kern w:val="2"/>
                    </w:rPr>
                  </w:pPr>
                  <w:r>
                    <w:rPr>
                      <w:rFonts w:hint="eastAsia"/>
                      <w:color w:val="auto"/>
                      <w:kern w:val="2"/>
                    </w:rPr>
                    <w:t>达标</w:t>
                  </w:r>
                </w:p>
              </w:tc>
              <w:tc>
                <w:tcPr>
                  <w:tcW w:w="1118" w:type="dxa"/>
                  <w:vAlign w:val="center"/>
                </w:tcPr>
                <w:p w14:paraId="6F250E51">
                  <w:pPr>
                    <w:pStyle w:val="56"/>
                    <w:adjustRightInd w:val="0"/>
                    <w:snapToGrid w:val="0"/>
                    <w:jc w:val="center"/>
                    <w:rPr>
                      <w:color w:val="auto"/>
                      <w:kern w:val="2"/>
                    </w:rPr>
                  </w:pPr>
                  <w:r>
                    <w:rPr>
                      <w:rFonts w:hint="eastAsia"/>
                      <w:color w:val="auto"/>
                      <w:kern w:val="2"/>
                    </w:rPr>
                    <w:t>达标</w:t>
                  </w:r>
                </w:p>
              </w:tc>
            </w:tr>
          </w:tbl>
          <w:p w14:paraId="3D1247D3">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根据已运行的</w:t>
            </w:r>
            <w:r>
              <w:rPr>
                <w:rFonts w:hint="eastAsia" w:ascii="Times New Roman" w:hAnsi="Times New Roman"/>
                <w:bCs/>
                <w:color w:val="auto"/>
                <w:sz w:val="24"/>
                <w:szCs w:val="24"/>
              </w:rPr>
              <w:t>22</w:t>
            </w:r>
            <w:r>
              <w:rPr>
                <w:rFonts w:ascii="Times New Roman" w:hAnsi="Times New Roman"/>
                <w:bCs/>
                <w:color w:val="auto"/>
                <w:sz w:val="24"/>
                <w:szCs w:val="24"/>
              </w:rPr>
              <w:t>0</w:t>
            </w:r>
            <w:r>
              <w:rPr>
                <w:rFonts w:hint="eastAsia" w:ascii="Times New Roman" w:hAnsi="Times New Roman"/>
                <w:bCs/>
                <w:color w:val="auto"/>
                <w:sz w:val="24"/>
                <w:szCs w:val="24"/>
              </w:rPr>
              <w:t>kV</w:t>
            </w:r>
            <w:r>
              <w:rPr>
                <w:rFonts w:ascii="Times New Roman" w:hAnsi="Times New Roman"/>
                <w:bCs/>
                <w:color w:val="auto"/>
                <w:sz w:val="24"/>
                <w:szCs w:val="24"/>
              </w:rPr>
              <w:t>单回输电线路的可听噪声监测结果可以看出，</w:t>
            </w:r>
            <w:r>
              <w:rPr>
                <w:rFonts w:hint="eastAsia" w:ascii="Times New Roman" w:hAnsi="Times New Roman"/>
                <w:bCs/>
                <w:color w:val="auto"/>
                <w:sz w:val="24"/>
                <w:szCs w:val="24"/>
              </w:rPr>
              <w:t>22</w:t>
            </w:r>
            <w:r>
              <w:rPr>
                <w:rFonts w:ascii="Times New Roman" w:hAnsi="Times New Roman"/>
                <w:bCs/>
                <w:color w:val="auto"/>
                <w:sz w:val="24"/>
                <w:szCs w:val="24"/>
              </w:rPr>
              <w:t>0</w:t>
            </w:r>
            <w:r>
              <w:rPr>
                <w:rFonts w:hint="eastAsia" w:ascii="Times New Roman" w:hAnsi="Times New Roman"/>
                <w:bCs/>
                <w:color w:val="auto"/>
                <w:sz w:val="24"/>
                <w:szCs w:val="24"/>
              </w:rPr>
              <w:t>kV</w:t>
            </w:r>
            <w:r>
              <w:rPr>
                <w:rFonts w:ascii="Times New Roman" w:hAnsi="Times New Roman"/>
                <w:bCs/>
                <w:color w:val="auto"/>
                <w:sz w:val="24"/>
                <w:szCs w:val="24"/>
              </w:rPr>
              <w:t>单</w:t>
            </w:r>
            <w:r>
              <w:rPr>
                <w:rFonts w:hint="eastAsia" w:ascii="Times New Roman" w:hAnsi="Times New Roman"/>
                <w:bCs/>
                <w:color w:val="auto"/>
                <w:sz w:val="24"/>
                <w:szCs w:val="24"/>
              </w:rPr>
              <w:t>回</w:t>
            </w:r>
            <w:r>
              <w:rPr>
                <w:rFonts w:ascii="Times New Roman" w:hAnsi="Times New Roman"/>
                <w:bCs/>
                <w:color w:val="auto"/>
                <w:sz w:val="24"/>
                <w:szCs w:val="24"/>
              </w:rPr>
              <w:t>输电线路线下的昼间噪声在</w:t>
            </w:r>
            <w:r>
              <w:rPr>
                <w:rFonts w:hint="eastAsia" w:ascii="Times New Roman" w:hAnsi="Times New Roman"/>
                <w:bCs/>
                <w:color w:val="auto"/>
                <w:sz w:val="24"/>
                <w:szCs w:val="24"/>
              </w:rPr>
              <w:t>38</w:t>
            </w:r>
            <w:r>
              <w:rPr>
                <w:rFonts w:ascii="Times New Roman" w:hAnsi="Times New Roman"/>
                <w:bCs/>
                <w:color w:val="auto"/>
                <w:sz w:val="24"/>
                <w:szCs w:val="24"/>
              </w:rPr>
              <w:t>~</w:t>
            </w:r>
            <w:r>
              <w:rPr>
                <w:rFonts w:hint="eastAsia" w:ascii="Times New Roman" w:hAnsi="Times New Roman"/>
                <w:bCs/>
                <w:color w:val="auto"/>
                <w:sz w:val="24"/>
                <w:szCs w:val="24"/>
              </w:rPr>
              <w:t>42</w:t>
            </w:r>
            <w:r>
              <w:rPr>
                <w:rFonts w:ascii="Times New Roman" w:hAnsi="Times New Roman"/>
                <w:bCs/>
                <w:color w:val="auto"/>
                <w:sz w:val="24"/>
                <w:szCs w:val="24"/>
              </w:rPr>
              <w:t>dB（A）之间，夜间噪声在</w:t>
            </w:r>
            <w:r>
              <w:rPr>
                <w:rFonts w:hint="eastAsia" w:ascii="Times New Roman" w:hAnsi="Times New Roman"/>
                <w:bCs/>
                <w:color w:val="auto"/>
                <w:sz w:val="24"/>
                <w:szCs w:val="24"/>
              </w:rPr>
              <w:t>36</w:t>
            </w:r>
            <w:r>
              <w:rPr>
                <w:rFonts w:ascii="Times New Roman" w:hAnsi="Times New Roman"/>
                <w:bCs/>
                <w:color w:val="auto"/>
                <w:sz w:val="24"/>
                <w:szCs w:val="24"/>
              </w:rPr>
              <w:t>~</w:t>
            </w:r>
            <w:r>
              <w:rPr>
                <w:rFonts w:hint="eastAsia" w:ascii="Times New Roman" w:hAnsi="Times New Roman"/>
                <w:bCs/>
                <w:color w:val="auto"/>
                <w:sz w:val="24"/>
                <w:szCs w:val="24"/>
              </w:rPr>
              <w:t>40</w:t>
            </w:r>
            <w:r>
              <w:rPr>
                <w:rFonts w:ascii="Times New Roman" w:hAnsi="Times New Roman"/>
                <w:bCs/>
                <w:color w:val="auto"/>
                <w:sz w:val="24"/>
                <w:szCs w:val="24"/>
              </w:rPr>
              <w:t>dB（A）之间</w:t>
            </w:r>
            <w:r>
              <w:rPr>
                <w:rFonts w:hint="eastAsia" w:ascii="Times New Roman" w:hAnsi="Times New Roman"/>
                <w:bCs/>
                <w:color w:val="auto"/>
                <w:sz w:val="24"/>
                <w:szCs w:val="24"/>
              </w:rPr>
              <w:t>，</w:t>
            </w:r>
            <w:r>
              <w:rPr>
                <w:rFonts w:ascii="Times New Roman" w:hAnsi="Times New Roman"/>
                <w:bCs/>
                <w:color w:val="auto"/>
                <w:sz w:val="24"/>
                <w:szCs w:val="24"/>
              </w:rPr>
              <w:t>满足《声环境质量标准》（GB3096-2008）中</w:t>
            </w:r>
            <w:r>
              <w:rPr>
                <w:rFonts w:hint="eastAsia" w:ascii="Times New Roman" w:hAnsi="Times New Roman"/>
                <w:bCs/>
                <w:color w:val="auto"/>
                <w:sz w:val="24"/>
                <w:szCs w:val="24"/>
              </w:rPr>
              <w:t>1</w:t>
            </w:r>
            <w:r>
              <w:rPr>
                <w:rFonts w:ascii="Times New Roman" w:hAnsi="Times New Roman"/>
                <w:bCs/>
                <w:color w:val="auto"/>
                <w:sz w:val="24"/>
                <w:szCs w:val="24"/>
              </w:rPr>
              <w:t>类标准（昼间：</w:t>
            </w:r>
            <w:r>
              <w:rPr>
                <w:rFonts w:hint="eastAsia" w:ascii="Times New Roman" w:hAnsi="Times New Roman"/>
                <w:bCs/>
                <w:color w:val="auto"/>
                <w:sz w:val="24"/>
                <w:szCs w:val="24"/>
              </w:rPr>
              <w:t>55</w:t>
            </w:r>
            <w:r>
              <w:rPr>
                <w:rFonts w:ascii="Times New Roman" w:hAnsi="Times New Roman"/>
                <w:bCs/>
                <w:color w:val="auto"/>
                <w:sz w:val="24"/>
                <w:szCs w:val="24"/>
              </w:rPr>
              <w:t>dB（A），夜间：</w:t>
            </w:r>
            <w:r>
              <w:rPr>
                <w:rFonts w:hint="eastAsia" w:ascii="Times New Roman" w:hAnsi="Times New Roman"/>
                <w:bCs/>
                <w:color w:val="auto"/>
                <w:sz w:val="24"/>
                <w:szCs w:val="24"/>
              </w:rPr>
              <w:t>45</w:t>
            </w:r>
            <w:r>
              <w:rPr>
                <w:rFonts w:ascii="Times New Roman" w:hAnsi="Times New Roman"/>
                <w:bCs/>
                <w:color w:val="auto"/>
                <w:sz w:val="24"/>
                <w:szCs w:val="24"/>
              </w:rPr>
              <w:t>dB（A））要求</w:t>
            </w:r>
            <w:r>
              <w:rPr>
                <w:rFonts w:hint="eastAsia" w:ascii="Times New Roman" w:hAnsi="Times New Roman"/>
                <w:bCs/>
                <w:color w:val="auto"/>
                <w:sz w:val="24"/>
                <w:szCs w:val="24"/>
              </w:rPr>
              <w:t>；已运行的</w:t>
            </w:r>
            <w:r>
              <w:rPr>
                <w:rFonts w:ascii="Times New Roman" w:hAnsi="Times New Roman"/>
                <w:bCs/>
                <w:color w:val="auto"/>
                <w:sz w:val="24"/>
                <w:szCs w:val="24"/>
              </w:rPr>
              <w:t>220kV兰昌I回、220kV兰河线双回线路</w:t>
            </w:r>
            <w:r>
              <w:rPr>
                <w:rFonts w:hint="eastAsia" w:ascii="Times New Roman" w:hAnsi="Times New Roman"/>
                <w:bCs/>
                <w:color w:val="auto"/>
                <w:sz w:val="24"/>
                <w:szCs w:val="24"/>
              </w:rPr>
              <w:t>运行期昼间噪声值在40~43dB（A）之间，夜间噪声值在36-41dB（A）之间，满足《声环境质量标准》（GB3096-2008）中1类标准（即昼间≤55dB（A）、夜间≤45dB（A））限值要求。</w:t>
            </w:r>
          </w:p>
          <w:p w14:paraId="015A4CC9">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类比线路噪声监测衰减断面位于乡村区域，根据类比监测结果，线路昼、夜噪声变化幅度不大，噪声水平随距离的增加而减小的趋势不明显，说明主要受背景噪声影响，输电线路的运行噪声对周围环境噪声的贡献很小，基本不构成增量贡献，对当地环境噪声水平不会有明显的改变。因此，可以预测本项目新建220kV线路投运后产生的噪声对周围环境的影响程度很小，线路沿线声环境能够满足相关标准限值要求。</w:t>
            </w:r>
          </w:p>
          <w:p w14:paraId="00407A6A">
            <w:pPr>
              <w:adjustRightInd w:val="0"/>
              <w:snapToGrid w:val="0"/>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 xml:space="preserve">4.2.2.2 </w:t>
            </w:r>
            <w:r>
              <w:rPr>
                <w:rFonts w:ascii="Times New Roman" w:hAnsi="Times New Roman"/>
                <w:b/>
                <w:color w:val="auto"/>
                <w:sz w:val="24"/>
              </w:rPr>
              <w:t>敏感点影响分析</w:t>
            </w:r>
          </w:p>
          <w:p w14:paraId="44A4DB3F">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本项目220kV输电线路建成投运后，线路附近区域的噪声水平基本维持现状，为更好地分析220kV输电线路运行噪声对周边声环境敏感点的影响程度，本次评价根据设计单位提供的导线架设方式、导线对地距离及敏感目标和拟建输变电线路边导线位置关系，输电线路噪声贡献值采用220kV兰河线塔基10#~11#单回路监测断面对应的距离监测值，无对应值时取前后断面较大值，经叠加敏感点现状值后的预测值对线路周边环境敏感点进行影响评价分析。本工程对环境敏感目标的声环境影响预测结果分析见表4-10。</w:t>
            </w:r>
          </w:p>
          <w:p w14:paraId="037BE1B5">
            <w:pPr>
              <w:overflowPunct w:val="0"/>
              <w:topLinePunct/>
              <w:autoSpaceDE w:val="0"/>
              <w:autoSpaceDN w:val="0"/>
              <w:adjustRightInd w:val="0"/>
              <w:snapToGrid w:val="0"/>
              <w:spacing w:line="440" w:lineRule="exact"/>
              <w:jc w:val="center"/>
              <w:rPr>
                <w:rFonts w:ascii="Times New Roman" w:hAnsi="Times New Roman"/>
                <w:b/>
                <w:bCs/>
                <w:color w:val="auto"/>
              </w:rPr>
            </w:pPr>
            <w:r>
              <w:rPr>
                <w:rFonts w:hint="eastAsia" w:ascii="Times New Roman" w:hAnsi="Times New Roman"/>
                <w:b/>
                <w:bCs/>
                <w:color w:val="auto"/>
                <w:sz w:val="24"/>
                <w:szCs w:val="28"/>
              </w:rPr>
              <w:t>表4-10  工程对声环境敏感目标的影响预测结果表（dB（A））</w:t>
            </w:r>
          </w:p>
          <w:tbl>
            <w:tblPr>
              <w:tblStyle w:val="27"/>
              <w:tblW w:w="4995"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61"/>
              <w:gridCol w:w="220"/>
              <w:gridCol w:w="488"/>
              <w:gridCol w:w="494"/>
              <w:gridCol w:w="423"/>
              <w:gridCol w:w="423"/>
              <w:gridCol w:w="959"/>
              <w:gridCol w:w="644"/>
              <w:gridCol w:w="679"/>
              <w:gridCol w:w="691"/>
              <w:gridCol w:w="762"/>
              <w:gridCol w:w="718"/>
              <w:gridCol w:w="578"/>
              <w:gridCol w:w="984"/>
            </w:tblGrid>
            <w:tr w14:paraId="60DC9E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tcBorders>
                    <w:tl2br w:val="nil"/>
                    <w:tr2bl w:val="nil"/>
                  </w:tcBorders>
                  <w:shd w:val="clear" w:color="auto" w:fill="auto"/>
                  <w:textDirection w:val="tbRlV"/>
                  <w:vAlign w:val="center"/>
                </w:tcPr>
                <w:p w14:paraId="428E945A">
                  <w:pPr>
                    <w:pStyle w:val="74"/>
                    <w:adjustRightInd w:val="0"/>
                    <w:snapToGrid w:val="0"/>
                    <w:spacing w:line="360" w:lineRule="exact"/>
                    <w:jc w:val="center"/>
                    <w:rPr>
                      <w:rFonts w:ascii="Times New Roman" w:hAnsi="Times New Roman" w:cs="Times New Roman"/>
                      <w:b/>
                      <w:bCs/>
                      <w:color w:val="auto"/>
                      <w:sz w:val="21"/>
                      <w:szCs w:val="21"/>
                    </w:rPr>
                  </w:pPr>
                  <w:r>
                    <w:rPr>
                      <w:rFonts w:ascii="Times New Roman" w:hAnsi="Times New Roman" w:cs="Times New Roman"/>
                      <w:b/>
                      <w:bCs/>
                      <w:color w:val="auto"/>
                      <w:spacing w:val="6"/>
                      <w:sz w:val="21"/>
                      <w:szCs w:val="21"/>
                    </w:rPr>
                    <w:t>序号</w:t>
                  </w:r>
                </w:p>
              </w:tc>
              <w:tc>
                <w:tcPr>
                  <w:tcW w:w="421" w:type="pct"/>
                  <w:gridSpan w:val="2"/>
                  <w:tcBorders>
                    <w:tl2br w:val="nil"/>
                    <w:tr2bl w:val="nil"/>
                  </w:tcBorders>
                  <w:shd w:val="clear" w:color="auto" w:fill="auto"/>
                  <w:vAlign w:val="center"/>
                </w:tcPr>
                <w:p w14:paraId="72DE11FD">
                  <w:pPr>
                    <w:pStyle w:val="74"/>
                    <w:adjustRightInd w:val="0"/>
                    <w:snapToGrid w:val="0"/>
                    <w:spacing w:line="360" w:lineRule="exact"/>
                    <w:jc w:val="center"/>
                    <w:rPr>
                      <w:rFonts w:ascii="Times New Roman" w:hAnsi="Times New Roman" w:cs="Times New Roman"/>
                      <w:b/>
                      <w:bCs/>
                      <w:color w:val="auto"/>
                      <w:sz w:val="21"/>
                      <w:szCs w:val="21"/>
                    </w:rPr>
                  </w:pPr>
                  <w:r>
                    <w:rPr>
                      <w:rFonts w:ascii="Times New Roman" w:hAnsi="Times New Roman" w:cs="Times New Roman"/>
                      <w:b/>
                      <w:bCs/>
                      <w:color w:val="auto"/>
                      <w:spacing w:val="5"/>
                      <w:sz w:val="21"/>
                      <w:szCs w:val="21"/>
                    </w:rPr>
                    <w:t>行政区</w:t>
                  </w:r>
                </w:p>
              </w:tc>
              <w:tc>
                <w:tcPr>
                  <w:tcW w:w="293" w:type="pct"/>
                  <w:tcBorders>
                    <w:tl2br w:val="nil"/>
                    <w:tr2bl w:val="nil"/>
                  </w:tcBorders>
                  <w:shd w:val="clear" w:color="auto" w:fill="auto"/>
                  <w:vAlign w:val="center"/>
                </w:tcPr>
                <w:p w14:paraId="4C651A2F">
                  <w:pPr>
                    <w:pStyle w:val="74"/>
                    <w:adjustRightInd w:val="0"/>
                    <w:snapToGrid w:val="0"/>
                    <w:spacing w:line="360" w:lineRule="exact"/>
                    <w:jc w:val="center"/>
                    <w:rPr>
                      <w:rFonts w:ascii="Times New Roman" w:hAnsi="Times New Roman" w:cs="Times New Roman"/>
                      <w:b/>
                      <w:bCs/>
                      <w:color w:val="auto"/>
                      <w:sz w:val="21"/>
                      <w:szCs w:val="21"/>
                    </w:rPr>
                  </w:pPr>
                  <w:r>
                    <w:rPr>
                      <w:rFonts w:ascii="Times New Roman" w:hAnsi="Times New Roman" w:cs="Times New Roman"/>
                      <w:b/>
                      <w:bCs/>
                      <w:color w:val="auto"/>
                      <w:spacing w:val="8"/>
                      <w:sz w:val="21"/>
                      <w:szCs w:val="21"/>
                      <w:lang w:eastAsia="zh-CN"/>
                    </w:rPr>
                    <w:t>架设方式</w:t>
                  </w:r>
                </w:p>
              </w:tc>
              <w:tc>
                <w:tcPr>
                  <w:tcW w:w="502" w:type="pct"/>
                  <w:gridSpan w:val="2"/>
                  <w:tcBorders>
                    <w:tl2br w:val="nil"/>
                    <w:tr2bl w:val="nil"/>
                  </w:tcBorders>
                  <w:shd w:val="clear" w:color="auto" w:fill="auto"/>
                  <w:vAlign w:val="center"/>
                </w:tcPr>
                <w:p w14:paraId="5DAA5FE7">
                  <w:pPr>
                    <w:pStyle w:val="74"/>
                    <w:adjustRightInd w:val="0"/>
                    <w:snapToGrid w:val="0"/>
                    <w:spacing w:line="360" w:lineRule="exact"/>
                    <w:jc w:val="center"/>
                    <w:rPr>
                      <w:rFonts w:ascii="Times New Roman" w:hAnsi="Times New Roman" w:cs="Times New Roman"/>
                      <w:b/>
                      <w:bCs/>
                      <w:color w:val="auto"/>
                      <w:spacing w:val="8"/>
                      <w:sz w:val="21"/>
                      <w:szCs w:val="21"/>
                      <w:lang w:eastAsia="zh-CN"/>
                    </w:rPr>
                  </w:pPr>
                  <w:r>
                    <w:rPr>
                      <w:rFonts w:ascii="Times New Roman" w:hAnsi="Times New Roman" w:cs="Times New Roman"/>
                      <w:b/>
                      <w:bCs/>
                      <w:color w:val="auto"/>
                      <w:spacing w:val="8"/>
                      <w:sz w:val="21"/>
                      <w:szCs w:val="21"/>
                      <w:lang w:eastAsia="zh-CN"/>
                    </w:rPr>
                    <w:t>保护</w:t>
                  </w:r>
                  <w:r>
                    <w:rPr>
                      <w:rFonts w:ascii="Times New Roman" w:hAnsi="Times New Roman" w:cs="Times New Roman"/>
                      <w:b/>
                      <w:bCs/>
                      <w:color w:val="auto"/>
                      <w:spacing w:val="8"/>
                      <w:sz w:val="21"/>
                      <w:szCs w:val="21"/>
                    </w:rPr>
                    <w:t>目标</w:t>
                  </w:r>
                </w:p>
              </w:tc>
              <w:tc>
                <w:tcPr>
                  <w:tcW w:w="569" w:type="pct"/>
                  <w:tcBorders>
                    <w:tl2br w:val="nil"/>
                    <w:tr2bl w:val="nil"/>
                  </w:tcBorders>
                  <w:shd w:val="clear" w:color="auto" w:fill="auto"/>
                  <w:vAlign w:val="center"/>
                </w:tcPr>
                <w:p w14:paraId="6C2E1128">
                  <w:pPr>
                    <w:pStyle w:val="74"/>
                    <w:adjustRightInd w:val="0"/>
                    <w:snapToGrid w:val="0"/>
                    <w:spacing w:line="360" w:lineRule="exact"/>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距离</w:t>
                  </w:r>
                </w:p>
              </w:tc>
              <w:tc>
                <w:tcPr>
                  <w:tcW w:w="382" w:type="pct"/>
                  <w:tcBorders>
                    <w:tl2br w:val="nil"/>
                    <w:tr2bl w:val="nil"/>
                  </w:tcBorders>
                  <w:shd w:val="clear" w:color="auto" w:fill="auto"/>
                  <w:vAlign w:val="center"/>
                </w:tcPr>
                <w:p w14:paraId="3E552F7B">
                  <w:pPr>
                    <w:pStyle w:val="74"/>
                    <w:adjustRightInd w:val="0"/>
                    <w:snapToGrid w:val="0"/>
                    <w:spacing w:line="360" w:lineRule="exact"/>
                    <w:jc w:val="center"/>
                    <w:rPr>
                      <w:rFonts w:ascii="Times New Roman" w:hAnsi="Times New Roman" w:cs="Times New Roman"/>
                      <w:b/>
                      <w:bCs/>
                      <w:color w:val="auto"/>
                      <w:sz w:val="21"/>
                      <w:szCs w:val="21"/>
                      <w:lang w:eastAsia="zh-CN"/>
                    </w:rPr>
                  </w:pPr>
                  <w:r>
                    <w:rPr>
                      <w:rFonts w:ascii="Times New Roman" w:hAnsi="Times New Roman" w:cs="Times New Roman"/>
                      <w:b/>
                      <w:bCs/>
                      <w:color w:val="auto"/>
                      <w:sz w:val="21"/>
                      <w:szCs w:val="21"/>
                      <w:lang w:eastAsia="zh-CN"/>
                    </w:rPr>
                    <w:t>时段</w:t>
                  </w:r>
                </w:p>
              </w:tc>
              <w:tc>
                <w:tcPr>
                  <w:tcW w:w="403" w:type="pct"/>
                  <w:tcBorders>
                    <w:tl2br w:val="nil"/>
                    <w:tr2bl w:val="nil"/>
                  </w:tcBorders>
                  <w:shd w:val="clear" w:color="auto" w:fill="auto"/>
                  <w:vAlign w:val="center"/>
                </w:tcPr>
                <w:p w14:paraId="650B5693">
                  <w:pPr>
                    <w:pStyle w:val="74"/>
                    <w:adjustRightInd w:val="0"/>
                    <w:snapToGrid w:val="0"/>
                    <w:spacing w:line="360" w:lineRule="exact"/>
                    <w:jc w:val="center"/>
                    <w:rPr>
                      <w:rFonts w:ascii="Times New Roman" w:hAnsi="Times New Roman" w:cs="Times New Roman"/>
                      <w:b/>
                      <w:bCs/>
                      <w:color w:val="auto"/>
                      <w:sz w:val="21"/>
                      <w:szCs w:val="21"/>
                      <w:lang w:eastAsia="zh-CN"/>
                    </w:rPr>
                  </w:pPr>
                  <w:r>
                    <w:rPr>
                      <w:rFonts w:ascii="Times New Roman" w:hAnsi="Times New Roman" w:cs="Times New Roman"/>
                      <w:b/>
                      <w:bCs/>
                      <w:color w:val="auto"/>
                      <w:sz w:val="21"/>
                      <w:szCs w:val="21"/>
                      <w:lang w:eastAsia="zh-CN"/>
                    </w:rPr>
                    <w:t>噪声贡献值</w:t>
                  </w:r>
                </w:p>
              </w:tc>
              <w:tc>
                <w:tcPr>
                  <w:tcW w:w="410" w:type="pct"/>
                  <w:tcBorders>
                    <w:tl2br w:val="nil"/>
                    <w:tr2bl w:val="nil"/>
                  </w:tcBorders>
                  <w:shd w:val="clear" w:color="auto" w:fill="auto"/>
                  <w:vAlign w:val="center"/>
                </w:tcPr>
                <w:p w14:paraId="7F053DE2">
                  <w:pPr>
                    <w:pStyle w:val="74"/>
                    <w:adjustRightInd w:val="0"/>
                    <w:snapToGrid w:val="0"/>
                    <w:spacing w:line="360" w:lineRule="exact"/>
                    <w:jc w:val="center"/>
                    <w:rPr>
                      <w:rFonts w:ascii="Times New Roman" w:hAnsi="Times New Roman" w:cs="Times New Roman"/>
                      <w:b/>
                      <w:bCs/>
                      <w:color w:val="auto"/>
                      <w:spacing w:val="7"/>
                      <w:sz w:val="21"/>
                      <w:szCs w:val="21"/>
                    </w:rPr>
                  </w:pPr>
                  <w:r>
                    <w:rPr>
                      <w:rFonts w:ascii="Times New Roman" w:hAnsi="Times New Roman" w:cs="Times New Roman"/>
                      <w:b/>
                      <w:bCs/>
                      <w:color w:val="auto"/>
                      <w:spacing w:val="7"/>
                      <w:sz w:val="21"/>
                      <w:szCs w:val="21"/>
                    </w:rPr>
                    <w:t>现状监测</w:t>
                  </w:r>
                  <w:r>
                    <w:rPr>
                      <w:rFonts w:ascii="Times New Roman" w:hAnsi="Times New Roman" w:cs="Times New Roman"/>
                      <w:b/>
                      <w:bCs/>
                      <w:color w:val="auto"/>
                      <w:spacing w:val="7"/>
                      <w:sz w:val="21"/>
                      <w:szCs w:val="21"/>
                      <w:lang w:eastAsia="zh-CN"/>
                    </w:rPr>
                    <w:t>值</w:t>
                  </w:r>
                </w:p>
              </w:tc>
              <w:tc>
                <w:tcPr>
                  <w:tcW w:w="452" w:type="pct"/>
                  <w:tcBorders>
                    <w:tl2br w:val="nil"/>
                    <w:tr2bl w:val="nil"/>
                  </w:tcBorders>
                  <w:shd w:val="clear" w:color="auto" w:fill="auto"/>
                  <w:vAlign w:val="center"/>
                </w:tcPr>
                <w:p w14:paraId="07240A4E">
                  <w:pPr>
                    <w:pStyle w:val="74"/>
                    <w:adjustRightInd w:val="0"/>
                    <w:snapToGrid w:val="0"/>
                    <w:spacing w:line="360" w:lineRule="exact"/>
                    <w:jc w:val="center"/>
                    <w:rPr>
                      <w:rFonts w:ascii="Times New Roman" w:hAnsi="Times New Roman" w:cs="Times New Roman"/>
                      <w:b/>
                      <w:bCs/>
                      <w:color w:val="auto"/>
                      <w:spacing w:val="7"/>
                      <w:sz w:val="21"/>
                      <w:szCs w:val="21"/>
                      <w:lang w:eastAsia="zh-CN"/>
                    </w:rPr>
                  </w:pPr>
                  <w:r>
                    <w:rPr>
                      <w:rFonts w:ascii="Times New Roman" w:hAnsi="Times New Roman" w:cs="Times New Roman"/>
                      <w:b/>
                      <w:bCs/>
                      <w:color w:val="auto"/>
                      <w:spacing w:val="7"/>
                      <w:sz w:val="21"/>
                      <w:szCs w:val="21"/>
                      <w:lang w:eastAsia="zh-CN"/>
                    </w:rPr>
                    <w:t>预测值</w:t>
                  </w:r>
                </w:p>
              </w:tc>
              <w:tc>
                <w:tcPr>
                  <w:tcW w:w="426" w:type="pct"/>
                  <w:tcBorders>
                    <w:tl2br w:val="nil"/>
                    <w:tr2bl w:val="nil"/>
                  </w:tcBorders>
                  <w:shd w:val="clear" w:color="auto" w:fill="auto"/>
                  <w:vAlign w:val="center"/>
                </w:tcPr>
                <w:p w14:paraId="0CAC07EA">
                  <w:pPr>
                    <w:pStyle w:val="74"/>
                    <w:adjustRightInd w:val="0"/>
                    <w:snapToGrid w:val="0"/>
                    <w:spacing w:line="360" w:lineRule="exact"/>
                    <w:jc w:val="center"/>
                    <w:rPr>
                      <w:rFonts w:ascii="Times New Roman" w:hAnsi="Times New Roman" w:cs="Times New Roman"/>
                      <w:b/>
                      <w:bCs/>
                      <w:color w:val="auto"/>
                      <w:sz w:val="21"/>
                      <w:szCs w:val="21"/>
                    </w:rPr>
                  </w:pPr>
                  <w:r>
                    <w:rPr>
                      <w:rFonts w:ascii="Times New Roman" w:hAnsi="Times New Roman" w:cs="Times New Roman"/>
                      <w:b/>
                      <w:bCs/>
                      <w:color w:val="auto"/>
                      <w:spacing w:val="7"/>
                      <w:sz w:val="21"/>
                      <w:szCs w:val="21"/>
                    </w:rPr>
                    <w:t>评价标</w:t>
                  </w:r>
                  <w:r>
                    <w:rPr>
                      <w:rFonts w:ascii="Times New Roman" w:hAnsi="Times New Roman" w:cs="Times New Roman"/>
                      <w:b/>
                      <w:bCs/>
                      <w:color w:val="auto"/>
                      <w:sz w:val="21"/>
                      <w:szCs w:val="21"/>
                    </w:rPr>
                    <w:t>准</w:t>
                  </w:r>
                </w:p>
              </w:tc>
              <w:tc>
                <w:tcPr>
                  <w:tcW w:w="343" w:type="pct"/>
                  <w:tcBorders>
                    <w:tl2br w:val="nil"/>
                    <w:tr2bl w:val="nil"/>
                  </w:tcBorders>
                  <w:shd w:val="clear" w:color="auto" w:fill="auto"/>
                  <w:vAlign w:val="center"/>
                </w:tcPr>
                <w:p w14:paraId="3EB84A9D">
                  <w:pPr>
                    <w:pStyle w:val="74"/>
                    <w:adjustRightInd w:val="0"/>
                    <w:snapToGrid w:val="0"/>
                    <w:spacing w:line="360" w:lineRule="exact"/>
                    <w:jc w:val="center"/>
                    <w:rPr>
                      <w:rFonts w:ascii="Times New Roman" w:hAnsi="Times New Roman" w:cs="Times New Roman"/>
                      <w:b/>
                      <w:bCs/>
                      <w:color w:val="auto"/>
                      <w:spacing w:val="7"/>
                      <w:sz w:val="21"/>
                      <w:szCs w:val="21"/>
                      <w:lang w:eastAsia="zh-CN"/>
                    </w:rPr>
                  </w:pPr>
                  <w:r>
                    <w:rPr>
                      <w:rFonts w:ascii="Times New Roman" w:hAnsi="Times New Roman" w:cs="Times New Roman"/>
                      <w:b/>
                      <w:bCs/>
                      <w:color w:val="auto"/>
                      <w:spacing w:val="7"/>
                      <w:sz w:val="21"/>
                      <w:szCs w:val="21"/>
                      <w:lang w:eastAsia="zh-CN"/>
                    </w:rPr>
                    <w:t>评价结果</w:t>
                  </w:r>
                </w:p>
              </w:tc>
              <w:tc>
                <w:tcPr>
                  <w:tcW w:w="579" w:type="pct"/>
                  <w:tcBorders>
                    <w:tl2br w:val="nil"/>
                    <w:tr2bl w:val="nil"/>
                  </w:tcBorders>
                  <w:shd w:val="clear" w:color="auto" w:fill="auto"/>
                  <w:vAlign w:val="center"/>
                </w:tcPr>
                <w:p w14:paraId="3F134220">
                  <w:pPr>
                    <w:pStyle w:val="74"/>
                    <w:adjustRightInd w:val="0"/>
                    <w:snapToGrid w:val="0"/>
                    <w:spacing w:line="360" w:lineRule="exact"/>
                    <w:jc w:val="center"/>
                    <w:rPr>
                      <w:rFonts w:ascii="Times New Roman" w:hAnsi="Times New Roman" w:cs="Times New Roman"/>
                      <w:b/>
                      <w:bCs/>
                      <w:color w:val="auto"/>
                      <w:sz w:val="21"/>
                      <w:szCs w:val="21"/>
                      <w:lang w:eastAsia="zh-CN"/>
                    </w:rPr>
                  </w:pPr>
                  <w:r>
                    <w:rPr>
                      <w:rFonts w:ascii="Times New Roman" w:hAnsi="Times New Roman" w:cs="Times New Roman"/>
                      <w:b/>
                      <w:bCs/>
                      <w:color w:val="auto"/>
                      <w:sz w:val="21"/>
                      <w:szCs w:val="21"/>
                      <w:lang w:eastAsia="zh-CN"/>
                    </w:rPr>
                    <w:t>备注</w:t>
                  </w:r>
                </w:p>
              </w:tc>
            </w:tr>
            <w:tr w14:paraId="549E78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0AB34BD9">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1</w:t>
                  </w:r>
                </w:p>
              </w:tc>
              <w:tc>
                <w:tcPr>
                  <w:tcW w:w="131" w:type="pct"/>
                  <w:vMerge w:val="restart"/>
                  <w:tcBorders>
                    <w:tl2br w:val="nil"/>
                    <w:tr2bl w:val="nil"/>
                  </w:tcBorders>
                  <w:shd w:val="clear" w:color="auto" w:fill="auto"/>
                  <w:vAlign w:val="center"/>
                </w:tcPr>
                <w:p w14:paraId="1B7167F3">
                  <w:pPr>
                    <w:pStyle w:val="74"/>
                    <w:adjustRightInd w:val="0"/>
                    <w:snapToGrid w:val="0"/>
                    <w:spacing w:line="360" w:lineRule="exact"/>
                    <w:jc w:val="center"/>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会泽县</w:t>
                  </w:r>
                </w:p>
              </w:tc>
              <w:tc>
                <w:tcPr>
                  <w:tcW w:w="290" w:type="pct"/>
                  <w:vMerge w:val="restart"/>
                  <w:tcBorders>
                    <w:tl2br w:val="nil"/>
                    <w:tr2bl w:val="nil"/>
                  </w:tcBorders>
                  <w:shd w:val="clear" w:color="auto" w:fill="auto"/>
                  <w:vAlign w:val="center"/>
                </w:tcPr>
                <w:p w14:paraId="68AD9DE1">
                  <w:pPr>
                    <w:pStyle w:val="74"/>
                    <w:adjustRightInd w:val="0"/>
                    <w:snapToGrid w:val="0"/>
                    <w:spacing w:line="360" w:lineRule="exact"/>
                    <w:jc w:val="center"/>
                    <w:rPr>
                      <w:rFonts w:ascii="Times New Roman" w:hAnsi="Times New Roman" w:cs="Times New Roman"/>
                      <w:color w:val="auto"/>
                      <w:sz w:val="21"/>
                      <w:szCs w:val="21"/>
                      <w:lang w:eastAsia="zh-CN"/>
                    </w:rPr>
                  </w:pPr>
                  <w:r>
                    <w:rPr>
                      <w:rFonts w:hint="eastAsia" w:ascii="Times New Roman" w:hAnsi="Times New Roman" w:cs="Times New Roman"/>
                      <w:color w:val="auto"/>
                      <w:kern w:val="0"/>
                      <w:sz w:val="21"/>
                      <w:szCs w:val="21"/>
                      <w:lang w:eastAsia="zh-CN"/>
                    </w:rPr>
                    <w:t>乐业镇</w:t>
                  </w:r>
                </w:p>
              </w:tc>
              <w:tc>
                <w:tcPr>
                  <w:tcW w:w="293" w:type="pct"/>
                  <w:vMerge w:val="restart"/>
                  <w:tcBorders>
                    <w:tl2br w:val="nil"/>
                    <w:tr2bl w:val="nil"/>
                  </w:tcBorders>
                  <w:shd w:val="clear" w:color="auto" w:fill="auto"/>
                  <w:vAlign w:val="center"/>
                </w:tcPr>
                <w:p w14:paraId="678EC150">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kern w:val="0"/>
                      <w:szCs w:val="21"/>
                    </w:rPr>
                    <w:t>220</w:t>
                  </w:r>
                  <w:r>
                    <w:rPr>
                      <w:rFonts w:ascii="Times New Roman" w:hAnsi="Times New Roman"/>
                      <w:color w:val="auto"/>
                      <w:kern w:val="0"/>
                      <w:szCs w:val="21"/>
                    </w:rPr>
                    <w:t>kV单回架设</w:t>
                  </w:r>
                </w:p>
              </w:tc>
              <w:tc>
                <w:tcPr>
                  <w:tcW w:w="502" w:type="pct"/>
                  <w:gridSpan w:val="2"/>
                  <w:vMerge w:val="restart"/>
                  <w:tcBorders>
                    <w:tl2br w:val="nil"/>
                    <w:tr2bl w:val="nil"/>
                  </w:tcBorders>
                  <w:shd w:val="clear" w:color="auto" w:fill="auto"/>
                  <w:vAlign w:val="center"/>
                </w:tcPr>
                <w:p w14:paraId="6A9B0E93">
                  <w:pPr>
                    <w:widowControl/>
                    <w:adjustRightInd w:val="0"/>
                    <w:snapToGrid w:val="0"/>
                    <w:spacing w:line="320" w:lineRule="exact"/>
                    <w:jc w:val="center"/>
                    <w:rPr>
                      <w:rFonts w:ascii="Times New Roman" w:hAnsi="Times New Roman"/>
                      <w:color w:val="auto"/>
                      <w:szCs w:val="21"/>
                    </w:rPr>
                  </w:pPr>
                  <w:r>
                    <w:rPr>
                      <w:rFonts w:ascii="Times New Roman" w:hAnsi="Times New Roman"/>
                      <w:color w:val="auto"/>
                      <w:szCs w:val="21"/>
                    </w:rPr>
                    <w:t>六合村</w:t>
                  </w:r>
                </w:p>
              </w:tc>
              <w:tc>
                <w:tcPr>
                  <w:tcW w:w="569" w:type="pct"/>
                  <w:vMerge w:val="restart"/>
                  <w:tcBorders>
                    <w:tl2br w:val="nil"/>
                    <w:tr2bl w:val="nil"/>
                  </w:tcBorders>
                  <w:shd w:val="clear" w:color="auto" w:fill="auto"/>
                  <w:vAlign w:val="center"/>
                </w:tcPr>
                <w:p w14:paraId="598B088C">
                  <w:pPr>
                    <w:widowControl/>
                    <w:adjustRightInd w:val="0"/>
                    <w:snapToGrid w:val="0"/>
                    <w:spacing w:line="320" w:lineRule="exact"/>
                    <w:jc w:val="center"/>
                    <w:rPr>
                      <w:rFonts w:ascii="Times New Roman" w:hAnsi="Times New Roman"/>
                      <w:color w:val="auto"/>
                      <w:szCs w:val="21"/>
                    </w:rPr>
                  </w:pPr>
                  <w:r>
                    <w:rPr>
                      <w:rFonts w:hint="eastAsia" w:ascii="Times New Roman" w:hAnsi="Times New Roman"/>
                      <w:color w:val="auto"/>
                      <w:kern w:val="0"/>
                      <w:sz w:val="22"/>
                      <w:szCs w:val="21"/>
                    </w:rPr>
                    <w:t>线路北侧22m</w:t>
                  </w:r>
                </w:p>
              </w:tc>
              <w:tc>
                <w:tcPr>
                  <w:tcW w:w="382" w:type="pct"/>
                  <w:tcBorders>
                    <w:tl2br w:val="nil"/>
                    <w:tr2bl w:val="nil"/>
                  </w:tcBorders>
                  <w:shd w:val="clear" w:color="auto" w:fill="auto"/>
                  <w:vAlign w:val="center"/>
                </w:tcPr>
                <w:p w14:paraId="45D3D952">
                  <w:pPr>
                    <w:pStyle w:val="74"/>
                    <w:adjustRightInd w:val="0"/>
                    <w:snapToGrid w:val="0"/>
                    <w:spacing w:line="360" w:lineRule="exact"/>
                    <w:jc w:val="center"/>
                    <w:rPr>
                      <w:rFonts w:ascii="Times New Roman" w:hAnsi="Times New Roman" w:cs="Times New Roman"/>
                      <w:color w:val="auto"/>
                      <w:sz w:val="21"/>
                      <w:szCs w:val="21"/>
                      <w:lang w:eastAsia="zh-CN"/>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6B44FF4B">
                  <w:pPr>
                    <w:pStyle w:val="74"/>
                    <w:adjustRightInd w:val="0"/>
                    <w:snapToGrid w:val="0"/>
                    <w:spacing w:line="360" w:lineRule="exact"/>
                    <w:jc w:val="center"/>
                    <w:rPr>
                      <w:rFonts w:ascii="Times New Roman" w:hAnsi="Times New Roman" w:cs="Times New Roman"/>
                      <w:color w:val="auto"/>
                      <w:spacing w:val="7"/>
                      <w:sz w:val="21"/>
                      <w:szCs w:val="21"/>
                      <w:lang w:eastAsia="zh-CN"/>
                    </w:rPr>
                  </w:pPr>
                  <w:r>
                    <w:rPr>
                      <w:rFonts w:hint="eastAsia" w:ascii="Times New Roman" w:hAnsi="Times New Roman" w:cs="Times New Roman"/>
                      <w:color w:val="auto"/>
                      <w:spacing w:val="7"/>
                      <w:sz w:val="21"/>
                      <w:szCs w:val="21"/>
                      <w:lang w:eastAsia="zh-CN"/>
                    </w:rPr>
                    <w:t>41</w:t>
                  </w:r>
                </w:p>
              </w:tc>
              <w:tc>
                <w:tcPr>
                  <w:tcW w:w="410" w:type="pct"/>
                  <w:tcBorders>
                    <w:tl2br w:val="nil"/>
                    <w:tr2bl w:val="nil"/>
                  </w:tcBorders>
                  <w:shd w:val="clear" w:color="auto" w:fill="auto"/>
                  <w:vAlign w:val="center"/>
                </w:tcPr>
                <w:p w14:paraId="5102DEA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42</w:t>
                  </w:r>
                </w:p>
              </w:tc>
              <w:tc>
                <w:tcPr>
                  <w:tcW w:w="762" w:type="dxa"/>
                  <w:tcBorders>
                    <w:tl2br w:val="nil"/>
                    <w:tr2bl w:val="nil"/>
                  </w:tcBorders>
                  <w:shd w:val="clear" w:color="auto" w:fill="auto"/>
                  <w:vAlign w:val="center"/>
                </w:tcPr>
                <w:p w14:paraId="762470A0">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44.5</w:t>
                  </w:r>
                </w:p>
              </w:tc>
              <w:tc>
                <w:tcPr>
                  <w:tcW w:w="426" w:type="pct"/>
                  <w:tcBorders>
                    <w:tl2br w:val="nil"/>
                    <w:tr2bl w:val="nil"/>
                  </w:tcBorders>
                  <w:shd w:val="clear" w:color="auto" w:fill="auto"/>
                  <w:vAlign w:val="center"/>
                </w:tcPr>
                <w:p w14:paraId="6F01A0A9">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2C7D5B06">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6019B0BF">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现状监测（</w:t>
                  </w:r>
                  <w:r>
                    <w:rPr>
                      <w:rFonts w:hint="eastAsia" w:ascii="Times New Roman" w:hAnsi="Times New Roman"/>
                      <w:color w:val="auto"/>
                      <w:szCs w:val="21"/>
                    </w:rPr>
                    <w:t>1</w:t>
                  </w:r>
                  <w:r>
                    <w:rPr>
                      <w:rFonts w:ascii="Times New Roman" w:hAnsi="Times New Roman"/>
                      <w:color w:val="auto"/>
                      <w:szCs w:val="21"/>
                    </w:rPr>
                    <w:t>#）</w:t>
                  </w:r>
                </w:p>
              </w:tc>
            </w:tr>
            <w:tr w14:paraId="3E123A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5E8AACF8">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091A9CC9">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5CFD73B4">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024CB270">
                  <w:pPr>
                    <w:adjustRightInd w:val="0"/>
                    <w:snapToGrid w:val="0"/>
                    <w:spacing w:line="360" w:lineRule="exact"/>
                    <w:jc w:val="center"/>
                    <w:rPr>
                      <w:rFonts w:ascii="Times New Roman" w:hAnsi="Times New Roman"/>
                      <w:color w:val="auto"/>
                      <w:szCs w:val="21"/>
                    </w:rPr>
                  </w:pPr>
                </w:p>
              </w:tc>
              <w:tc>
                <w:tcPr>
                  <w:tcW w:w="502" w:type="pct"/>
                  <w:gridSpan w:val="2"/>
                  <w:vMerge w:val="continue"/>
                  <w:tcBorders>
                    <w:tl2br w:val="nil"/>
                    <w:tr2bl w:val="nil"/>
                  </w:tcBorders>
                  <w:shd w:val="clear" w:color="auto" w:fill="auto"/>
                  <w:vAlign w:val="center"/>
                </w:tcPr>
                <w:p w14:paraId="53661155">
                  <w:pPr>
                    <w:adjustRightInd w:val="0"/>
                    <w:snapToGrid w:val="0"/>
                    <w:spacing w:line="360" w:lineRule="exact"/>
                    <w:jc w:val="center"/>
                    <w:rPr>
                      <w:rFonts w:ascii="Times New Roman" w:hAnsi="Times New Roman"/>
                      <w:color w:val="auto"/>
                      <w:szCs w:val="21"/>
                    </w:rPr>
                  </w:pPr>
                </w:p>
              </w:tc>
              <w:tc>
                <w:tcPr>
                  <w:tcW w:w="569" w:type="pct"/>
                  <w:vMerge w:val="continue"/>
                  <w:tcBorders>
                    <w:tl2br w:val="nil"/>
                    <w:tr2bl w:val="nil"/>
                  </w:tcBorders>
                  <w:shd w:val="clear" w:color="auto" w:fill="auto"/>
                  <w:vAlign w:val="center"/>
                </w:tcPr>
                <w:p w14:paraId="0DB3CEE3">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46149F40">
                  <w:pPr>
                    <w:pStyle w:val="74"/>
                    <w:adjustRightInd w:val="0"/>
                    <w:snapToGrid w:val="0"/>
                    <w:spacing w:line="360" w:lineRule="exact"/>
                    <w:jc w:val="center"/>
                    <w:rPr>
                      <w:rFonts w:ascii="Times New Roman" w:hAnsi="Times New Roman" w:cs="Times New Roman"/>
                      <w:color w:val="auto"/>
                      <w:sz w:val="21"/>
                      <w:szCs w:val="21"/>
                      <w:lang w:eastAsia="zh-CN"/>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202E2A5A">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39</w:t>
                  </w:r>
                </w:p>
              </w:tc>
              <w:tc>
                <w:tcPr>
                  <w:tcW w:w="410" w:type="pct"/>
                  <w:tcBorders>
                    <w:tl2br w:val="nil"/>
                    <w:tr2bl w:val="nil"/>
                  </w:tcBorders>
                  <w:shd w:val="clear" w:color="auto" w:fill="auto"/>
                  <w:vAlign w:val="center"/>
                </w:tcPr>
                <w:p w14:paraId="261B78D7">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38</w:t>
                  </w:r>
                </w:p>
              </w:tc>
              <w:tc>
                <w:tcPr>
                  <w:tcW w:w="762" w:type="dxa"/>
                  <w:tcBorders>
                    <w:tl2br w:val="nil"/>
                    <w:tr2bl w:val="nil"/>
                  </w:tcBorders>
                  <w:shd w:val="clear" w:color="auto" w:fill="auto"/>
                  <w:vAlign w:val="center"/>
                </w:tcPr>
                <w:p w14:paraId="06F7A826">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41.5</w:t>
                  </w:r>
                </w:p>
              </w:tc>
              <w:tc>
                <w:tcPr>
                  <w:tcW w:w="426" w:type="pct"/>
                  <w:tcBorders>
                    <w:tl2br w:val="nil"/>
                    <w:tr2bl w:val="nil"/>
                  </w:tcBorders>
                  <w:shd w:val="clear" w:color="auto" w:fill="auto"/>
                  <w:vAlign w:val="center"/>
                </w:tcPr>
                <w:p w14:paraId="65FA7DB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55B4B881">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11171877">
                  <w:pPr>
                    <w:adjustRightInd w:val="0"/>
                    <w:snapToGrid w:val="0"/>
                    <w:spacing w:line="360" w:lineRule="exact"/>
                    <w:jc w:val="center"/>
                    <w:rPr>
                      <w:rFonts w:ascii="Times New Roman" w:hAnsi="Times New Roman"/>
                      <w:color w:val="auto"/>
                      <w:spacing w:val="3"/>
                      <w:szCs w:val="21"/>
                    </w:rPr>
                  </w:pPr>
                </w:p>
              </w:tc>
            </w:tr>
            <w:tr w14:paraId="2CF2E9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5C57BC4A">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2</w:t>
                  </w:r>
                </w:p>
              </w:tc>
              <w:tc>
                <w:tcPr>
                  <w:tcW w:w="131" w:type="pct"/>
                  <w:vMerge w:val="continue"/>
                  <w:tcBorders>
                    <w:tl2br w:val="nil"/>
                    <w:tr2bl w:val="nil"/>
                  </w:tcBorders>
                  <w:shd w:val="clear" w:color="auto" w:fill="auto"/>
                  <w:vAlign w:val="center"/>
                </w:tcPr>
                <w:p w14:paraId="2CDF3D2C">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0B3A961B">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619D4A78">
                  <w:pPr>
                    <w:adjustRightInd w:val="0"/>
                    <w:snapToGrid w:val="0"/>
                    <w:spacing w:line="360" w:lineRule="exact"/>
                    <w:jc w:val="center"/>
                    <w:rPr>
                      <w:rFonts w:ascii="Times New Roman" w:hAnsi="Times New Roman"/>
                      <w:color w:val="auto"/>
                      <w:szCs w:val="21"/>
                    </w:rPr>
                  </w:pPr>
                </w:p>
              </w:tc>
              <w:tc>
                <w:tcPr>
                  <w:tcW w:w="502" w:type="pct"/>
                  <w:gridSpan w:val="2"/>
                  <w:vMerge w:val="restart"/>
                  <w:tcBorders>
                    <w:tl2br w:val="nil"/>
                    <w:tr2bl w:val="nil"/>
                  </w:tcBorders>
                  <w:shd w:val="clear" w:color="auto" w:fill="auto"/>
                  <w:vAlign w:val="center"/>
                </w:tcPr>
                <w:p w14:paraId="6A3ED46E">
                  <w:pPr>
                    <w:widowControl/>
                    <w:adjustRightInd w:val="0"/>
                    <w:snapToGrid w:val="0"/>
                    <w:spacing w:line="320" w:lineRule="exact"/>
                    <w:jc w:val="center"/>
                    <w:rPr>
                      <w:rFonts w:ascii="Times New Roman" w:hAnsi="Times New Roman"/>
                      <w:color w:val="auto"/>
                      <w:szCs w:val="21"/>
                    </w:rPr>
                  </w:pPr>
                  <w:r>
                    <w:rPr>
                      <w:rFonts w:hint="eastAsia" w:ascii="Times New Roman" w:hAnsi="Times New Roman"/>
                      <w:color w:val="auto"/>
                      <w:kern w:val="0"/>
                      <w:sz w:val="22"/>
                      <w:szCs w:val="21"/>
                    </w:rPr>
                    <w:t>石灰窑</w:t>
                  </w:r>
                </w:p>
              </w:tc>
              <w:tc>
                <w:tcPr>
                  <w:tcW w:w="569" w:type="pct"/>
                  <w:vMerge w:val="restart"/>
                  <w:tcBorders>
                    <w:tl2br w:val="nil"/>
                    <w:tr2bl w:val="nil"/>
                  </w:tcBorders>
                  <w:shd w:val="clear" w:color="auto" w:fill="auto"/>
                  <w:vAlign w:val="center"/>
                </w:tcPr>
                <w:p w14:paraId="07685CF3">
                  <w:pPr>
                    <w:widowControl/>
                    <w:adjustRightInd w:val="0"/>
                    <w:snapToGrid w:val="0"/>
                    <w:spacing w:line="320" w:lineRule="exact"/>
                    <w:jc w:val="center"/>
                    <w:rPr>
                      <w:rFonts w:ascii="Times New Roman" w:hAnsi="Times New Roman"/>
                      <w:color w:val="auto"/>
                      <w:kern w:val="0"/>
                      <w:sz w:val="22"/>
                      <w:szCs w:val="21"/>
                    </w:rPr>
                  </w:pPr>
                  <w:r>
                    <w:rPr>
                      <w:rFonts w:hint="eastAsia" w:ascii="Times New Roman" w:hAnsi="Times New Roman"/>
                      <w:color w:val="auto"/>
                      <w:kern w:val="0"/>
                      <w:sz w:val="22"/>
                      <w:szCs w:val="21"/>
                    </w:rPr>
                    <w:t>线路东侧30m</w:t>
                  </w:r>
                </w:p>
              </w:tc>
              <w:tc>
                <w:tcPr>
                  <w:tcW w:w="382" w:type="pct"/>
                  <w:tcBorders>
                    <w:tl2br w:val="nil"/>
                    <w:tr2bl w:val="nil"/>
                  </w:tcBorders>
                  <w:shd w:val="clear" w:color="auto" w:fill="auto"/>
                  <w:vAlign w:val="center"/>
                </w:tcPr>
                <w:p w14:paraId="49C299B6">
                  <w:pPr>
                    <w:pStyle w:val="74"/>
                    <w:adjustRightInd w:val="0"/>
                    <w:snapToGrid w:val="0"/>
                    <w:spacing w:line="360" w:lineRule="exact"/>
                    <w:jc w:val="center"/>
                    <w:rPr>
                      <w:rFonts w:ascii="Times New Roman" w:hAnsi="Times New Roman" w:cs="Times New Roman"/>
                      <w:color w:val="auto"/>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498FC73D">
                  <w:pPr>
                    <w:pStyle w:val="74"/>
                    <w:adjustRightInd w:val="0"/>
                    <w:snapToGrid w:val="0"/>
                    <w:spacing w:line="360" w:lineRule="exact"/>
                    <w:jc w:val="center"/>
                    <w:rPr>
                      <w:rFonts w:ascii="Times New Roman" w:hAnsi="Times New Roman" w:cs="Times New Roman"/>
                      <w:color w:val="auto"/>
                      <w:spacing w:val="7"/>
                      <w:sz w:val="21"/>
                      <w:szCs w:val="21"/>
                      <w:lang w:eastAsia="zh-CN"/>
                    </w:rPr>
                  </w:pPr>
                  <w:r>
                    <w:rPr>
                      <w:rFonts w:hint="eastAsia" w:ascii="Times New Roman" w:hAnsi="Times New Roman" w:cs="Times New Roman"/>
                      <w:color w:val="auto"/>
                      <w:spacing w:val="7"/>
                      <w:sz w:val="21"/>
                      <w:szCs w:val="21"/>
                      <w:lang w:eastAsia="zh-CN"/>
                    </w:rPr>
                    <w:t>41</w:t>
                  </w:r>
                </w:p>
              </w:tc>
              <w:tc>
                <w:tcPr>
                  <w:tcW w:w="410" w:type="pct"/>
                  <w:tcBorders>
                    <w:tl2br w:val="nil"/>
                    <w:tr2bl w:val="nil"/>
                  </w:tcBorders>
                  <w:shd w:val="clear" w:color="auto" w:fill="auto"/>
                  <w:vAlign w:val="center"/>
                </w:tcPr>
                <w:p w14:paraId="2BDB4D1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762" w:type="dxa"/>
                  <w:tcBorders>
                    <w:tl2br w:val="nil"/>
                    <w:tr2bl w:val="nil"/>
                  </w:tcBorders>
                  <w:shd w:val="clear" w:color="auto" w:fill="auto"/>
                  <w:vAlign w:val="center"/>
                </w:tcPr>
                <w:p w14:paraId="172A6F90">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46.5</w:t>
                  </w:r>
                </w:p>
              </w:tc>
              <w:tc>
                <w:tcPr>
                  <w:tcW w:w="426" w:type="pct"/>
                  <w:tcBorders>
                    <w:tl2br w:val="nil"/>
                    <w:tr2bl w:val="nil"/>
                  </w:tcBorders>
                  <w:shd w:val="clear" w:color="auto" w:fill="auto"/>
                  <w:vAlign w:val="center"/>
                </w:tcPr>
                <w:p w14:paraId="52069DDC">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62E2E3C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35482CFE">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现状监测（</w:t>
                  </w:r>
                  <w:r>
                    <w:rPr>
                      <w:rFonts w:hint="eastAsia" w:ascii="Times New Roman" w:hAnsi="Times New Roman"/>
                      <w:color w:val="auto"/>
                      <w:szCs w:val="21"/>
                    </w:rPr>
                    <w:t>2</w:t>
                  </w:r>
                  <w:r>
                    <w:rPr>
                      <w:rFonts w:ascii="Times New Roman" w:hAnsi="Times New Roman"/>
                      <w:color w:val="auto"/>
                      <w:szCs w:val="21"/>
                    </w:rPr>
                    <w:t>#）</w:t>
                  </w:r>
                </w:p>
              </w:tc>
            </w:tr>
            <w:tr w14:paraId="7CA6A1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7E0271BD">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3ED2512D">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25810C62">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62C4C7B1">
                  <w:pPr>
                    <w:adjustRightInd w:val="0"/>
                    <w:snapToGrid w:val="0"/>
                    <w:spacing w:line="360" w:lineRule="exact"/>
                    <w:jc w:val="center"/>
                    <w:rPr>
                      <w:rFonts w:ascii="Times New Roman" w:hAnsi="Times New Roman"/>
                      <w:color w:val="auto"/>
                      <w:szCs w:val="21"/>
                    </w:rPr>
                  </w:pPr>
                </w:p>
              </w:tc>
              <w:tc>
                <w:tcPr>
                  <w:tcW w:w="502" w:type="pct"/>
                  <w:gridSpan w:val="2"/>
                  <w:vMerge w:val="continue"/>
                  <w:tcBorders>
                    <w:tl2br w:val="nil"/>
                    <w:tr2bl w:val="nil"/>
                  </w:tcBorders>
                  <w:shd w:val="clear" w:color="auto" w:fill="auto"/>
                  <w:vAlign w:val="center"/>
                </w:tcPr>
                <w:p w14:paraId="322DC511">
                  <w:pPr>
                    <w:adjustRightInd w:val="0"/>
                    <w:snapToGrid w:val="0"/>
                    <w:spacing w:line="360" w:lineRule="exact"/>
                    <w:jc w:val="center"/>
                    <w:rPr>
                      <w:rFonts w:ascii="Times New Roman" w:hAnsi="Times New Roman"/>
                      <w:color w:val="auto"/>
                      <w:szCs w:val="21"/>
                    </w:rPr>
                  </w:pPr>
                </w:p>
              </w:tc>
              <w:tc>
                <w:tcPr>
                  <w:tcW w:w="569" w:type="pct"/>
                  <w:vMerge w:val="continue"/>
                  <w:tcBorders>
                    <w:tl2br w:val="nil"/>
                    <w:tr2bl w:val="nil"/>
                  </w:tcBorders>
                  <w:shd w:val="clear" w:color="auto" w:fill="auto"/>
                  <w:vAlign w:val="center"/>
                </w:tcPr>
                <w:p w14:paraId="20EDE901">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62109E4F">
                  <w:pPr>
                    <w:pStyle w:val="74"/>
                    <w:adjustRightInd w:val="0"/>
                    <w:snapToGrid w:val="0"/>
                    <w:spacing w:line="360" w:lineRule="exact"/>
                    <w:jc w:val="center"/>
                    <w:rPr>
                      <w:rFonts w:ascii="Times New Roman" w:hAnsi="Times New Roman" w:cs="Times New Roman"/>
                      <w:color w:val="auto"/>
                      <w:sz w:val="21"/>
                      <w:szCs w:val="21"/>
                      <w:lang w:eastAsia="zh-CN"/>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32961976">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38</w:t>
                  </w:r>
                </w:p>
              </w:tc>
              <w:tc>
                <w:tcPr>
                  <w:tcW w:w="410" w:type="pct"/>
                  <w:tcBorders>
                    <w:tl2br w:val="nil"/>
                    <w:tr2bl w:val="nil"/>
                  </w:tcBorders>
                  <w:shd w:val="clear" w:color="auto" w:fill="auto"/>
                  <w:vAlign w:val="center"/>
                </w:tcPr>
                <w:p w14:paraId="435B98C3">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40</w:t>
                  </w:r>
                </w:p>
              </w:tc>
              <w:tc>
                <w:tcPr>
                  <w:tcW w:w="762" w:type="dxa"/>
                  <w:tcBorders>
                    <w:tl2br w:val="nil"/>
                    <w:tr2bl w:val="nil"/>
                  </w:tcBorders>
                  <w:shd w:val="clear" w:color="auto" w:fill="auto"/>
                  <w:vAlign w:val="center"/>
                </w:tcPr>
                <w:p w14:paraId="2C0042F6">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42.1</w:t>
                  </w:r>
                </w:p>
              </w:tc>
              <w:tc>
                <w:tcPr>
                  <w:tcW w:w="426" w:type="pct"/>
                  <w:tcBorders>
                    <w:tl2br w:val="nil"/>
                    <w:tr2bl w:val="nil"/>
                  </w:tcBorders>
                  <w:shd w:val="clear" w:color="auto" w:fill="auto"/>
                  <w:vAlign w:val="center"/>
                </w:tcPr>
                <w:p w14:paraId="2115B435">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58AF0AC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4E3C5C1D">
                  <w:pPr>
                    <w:adjustRightInd w:val="0"/>
                    <w:snapToGrid w:val="0"/>
                    <w:spacing w:line="360" w:lineRule="exact"/>
                    <w:jc w:val="center"/>
                    <w:rPr>
                      <w:rFonts w:ascii="Times New Roman" w:hAnsi="Times New Roman"/>
                      <w:color w:val="auto"/>
                      <w:spacing w:val="3"/>
                      <w:szCs w:val="21"/>
                    </w:rPr>
                  </w:pPr>
                </w:p>
              </w:tc>
            </w:tr>
            <w:tr w14:paraId="6156C8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1F97F4BB">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3</w:t>
                  </w:r>
                </w:p>
              </w:tc>
              <w:tc>
                <w:tcPr>
                  <w:tcW w:w="131" w:type="pct"/>
                  <w:vMerge w:val="continue"/>
                  <w:tcBorders>
                    <w:tl2br w:val="nil"/>
                    <w:tr2bl w:val="nil"/>
                  </w:tcBorders>
                  <w:shd w:val="clear" w:color="auto" w:fill="auto"/>
                  <w:vAlign w:val="center"/>
                </w:tcPr>
                <w:p w14:paraId="23946368">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0EB64C79">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02A08093">
                  <w:pPr>
                    <w:adjustRightInd w:val="0"/>
                    <w:snapToGrid w:val="0"/>
                    <w:spacing w:line="360" w:lineRule="exact"/>
                    <w:jc w:val="center"/>
                    <w:rPr>
                      <w:rFonts w:ascii="Times New Roman" w:hAnsi="Times New Roman"/>
                      <w:color w:val="auto"/>
                      <w:szCs w:val="21"/>
                    </w:rPr>
                  </w:pPr>
                </w:p>
              </w:tc>
              <w:tc>
                <w:tcPr>
                  <w:tcW w:w="502" w:type="pct"/>
                  <w:gridSpan w:val="2"/>
                  <w:vMerge w:val="restart"/>
                  <w:tcBorders>
                    <w:tl2br w:val="nil"/>
                    <w:tr2bl w:val="nil"/>
                  </w:tcBorders>
                  <w:shd w:val="clear" w:color="auto" w:fill="auto"/>
                  <w:vAlign w:val="center"/>
                </w:tcPr>
                <w:p w14:paraId="627126DF">
                  <w:pPr>
                    <w:widowControl/>
                    <w:adjustRightInd w:val="0"/>
                    <w:snapToGrid w:val="0"/>
                    <w:spacing w:line="320" w:lineRule="exact"/>
                    <w:jc w:val="center"/>
                    <w:rPr>
                      <w:rFonts w:ascii="Times New Roman" w:hAnsi="Times New Roman"/>
                      <w:color w:val="auto"/>
                      <w:kern w:val="0"/>
                      <w:szCs w:val="21"/>
                    </w:rPr>
                  </w:pPr>
                  <w:r>
                    <w:rPr>
                      <w:rFonts w:hint="eastAsia" w:ascii="Times New Roman" w:hAnsi="Times New Roman"/>
                      <w:color w:val="auto"/>
                      <w:kern w:val="0"/>
                      <w:szCs w:val="21"/>
                    </w:rPr>
                    <w:t>工棚</w:t>
                  </w:r>
                </w:p>
              </w:tc>
              <w:tc>
                <w:tcPr>
                  <w:tcW w:w="569" w:type="pct"/>
                  <w:vMerge w:val="restart"/>
                  <w:tcBorders>
                    <w:tl2br w:val="nil"/>
                    <w:tr2bl w:val="nil"/>
                  </w:tcBorders>
                  <w:shd w:val="clear" w:color="auto" w:fill="auto"/>
                  <w:vAlign w:val="center"/>
                </w:tcPr>
                <w:p w14:paraId="29ED1DF2">
                  <w:pPr>
                    <w:widowControl/>
                    <w:adjustRightInd w:val="0"/>
                    <w:snapToGrid w:val="0"/>
                    <w:spacing w:line="320" w:lineRule="exact"/>
                    <w:jc w:val="center"/>
                    <w:rPr>
                      <w:rFonts w:ascii="Times New Roman" w:hAnsi="Times New Roman"/>
                      <w:color w:val="auto"/>
                      <w:kern w:val="0"/>
                      <w:sz w:val="22"/>
                      <w:szCs w:val="21"/>
                    </w:rPr>
                  </w:pPr>
                  <w:r>
                    <w:rPr>
                      <w:rFonts w:hint="eastAsia" w:ascii="Times New Roman" w:hAnsi="Times New Roman"/>
                      <w:color w:val="auto"/>
                      <w:kern w:val="0"/>
                      <w:sz w:val="22"/>
                      <w:szCs w:val="21"/>
                    </w:rPr>
                    <w:t>线路南侧32m</w:t>
                  </w:r>
                </w:p>
              </w:tc>
              <w:tc>
                <w:tcPr>
                  <w:tcW w:w="382" w:type="pct"/>
                  <w:tcBorders>
                    <w:tl2br w:val="nil"/>
                    <w:tr2bl w:val="nil"/>
                  </w:tcBorders>
                  <w:shd w:val="clear" w:color="auto" w:fill="auto"/>
                  <w:vAlign w:val="center"/>
                </w:tcPr>
                <w:p w14:paraId="08A28ABC">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5EB0FC27">
                  <w:pPr>
                    <w:pStyle w:val="74"/>
                    <w:adjustRightInd w:val="0"/>
                    <w:snapToGrid w:val="0"/>
                    <w:spacing w:line="360" w:lineRule="exact"/>
                    <w:jc w:val="center"/>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41</w:t>
                  </w:r>
                </w:p>
              </w:tc>
              <w:tc>
                <w:tcPr>
                  <w:tcW w:w="410" w:type="pct"/>
                  <w:tcBorders>
                    <w:tl2br w:val="nil"/>
                    <w:tr2bl w:val="nil"/>
                  </w:tcBorders>
                  <w:shd w:val="clear" w:color="auto" w:fill="auto"/>
                  <w:vAlign w:val="center"/>
                </w:tcPr>
                <w:p w14:paraId="46C6444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762" w:type="dxa"/>
                  <w:tcBorders>
                    <w:tl2br w:val="nil"/>
                    <w:tr2bl w:val="nil"/>
                  </w:tcBorders>
                  <w:shd w:val="clear" w:color="auto" w:fill="auto"/>
                  <w:vAlign w:val="center"/>
                </w:tcPr>
                <w:p w14:paraId="3F371989">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46.5</w:t>
                  </w:r>
                </w:p>
              </w:tc>
              <w:tc>
                <w:tcPr>
                  <w:tcW w:w="426" w:type="pct"/>
                  <w:tcBorders>
                    <w:tl2br w:val="nil"/>
                    <w:tr2bl w:val="nil"/>
                  </w:tcBorders>
                  <w:shd w:val="clear" w:color="auto" w:fill="auto"/>
                  <w:vAlign w:val="center"/>
                </w:tcPr>
                <w:p w14:paraId="3FDB7543">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612E52AB">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49266753">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现状监测（</w:t>
                  </w:r>
                  <w:r>
                    <w:rPr>
                      <w:rFonts w:hint="eastAsia" w:ascii="Times New Roman" w:hAnsi="Times New Roman"/>
                      <w:color w:val="auto"/>
                      <w:szCs w:val="21"/>
                    </w:rPr>
                    <w:t>3</w:t>
                  </w:r>
                  <w:r>
                    <w:rPr>
                      <w:rFonts w:ascii="Times New Roman" w:hAnsi="Times New Roman"/>
                      <w:color w:val="auto"/>
                      <w:szCs w:val="21"/>
                    </w:rPr>
                    <w:t>#）</w:t>
                  </w:r>
                </w:p>
              </w:tc>
            </w:tr>
            <w:tr w14:paraId="25AF6E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5969C36A">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497A9F1C">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0036DAB4">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5370E396">
                  <w:pPr>
                    <w:adjustRightInd w:val="0"/>
                    <w:snapToGrid w:val="0"/>
                    <w:spacing w:line="360" w:lineRule="exact"/>
                    <w:jc w:val="center"/>
                    <w:rPr>
                      <w:rFonts w:ascii="Times New Roman" w:hAnsi="Times New Roman"/>
                      <w:color w:val="auto"/>
                      <w:kern w:val="0"/>
                      <w:szCs w:val="21"/>
                    </w:rPr>
                  </w:pPr>
                </w:p>
              </w:tc>
              <w:tc>
                <w:tcPr>
                  <w:tcW w:w="502" w:type="pct"/>
                  <w:gridSpan w:val="2"/>
                  <w:vMerge w:val="continue"/>
                  <w:tcBorders>
                    <w:tl2br w:val="nil"/>
                    <w:tr2bl w:val="nil"/>
                  </w:tcBorders>
                  <w:shd w:val="clear" w:color="auto" w:fill="auto"/>
                  <w:vAlign w:val="center"/>
                </w:tcPr>
                <w:p w14:paraId="2CD7D42D">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6EF38CAD">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1068A9E2">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1A49FF46">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38</w:t>
                  </w:r>
                </w:p>
              </w:tc>
              <w:tc>
                <w:tcPr>
                  <w:tcW w:w="410" w:type="pct"/>
                  <w:tcBorders>
                    <w:tl2br w:val="nil"/>
                    <w:tr2bl w:val="nil"/>
                  </w:tcBorders>
                  <w:shd w:val="clear" w:color="auto" w:fill="auto"/>
                  <w:vAlign w:val="center"/>
                </w:tcPr>
                <w:p w14:paraId="23D2CE70">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41</w:t>
                  </w:r>
                </w:p>
              </w:tc>
              <w:tc>
                <w:tcPr>
                  <w:tcW w:w="762" w:type="dxa"/>
                  <w:tcBorders>
                    <w:tl2br w:val="nil"/>
                    <w:tr2bl w:val="nil"/>
                  </w:tcBorders>
                  <w:shd w:val="clear" w:color="auto" w:fill="auto"/>
                  <w:vAlign w:val="center"/>
                </w:tcPr>
                <w:p w14:paraId="69466664">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42.8</w:t>
                  </w:r>
                </w:p>
              </w:tc>
              <w:tc>
                <w:tcPr>
                  <w:tcW w:w="426" w:type="pct"/>
                  <w:tcBorders>
                    <w:tl2br w:val="nil"/>
                    <w:tr2bl w:val="nil"/>
                  </w:tcBorders>
                  <w:shd w:val="clear" w:color="auto" w:fill="auto"/>
                  <w:vAlign w:val="center"/>
                </w:tcPr>
                <w:p w14:paraId="4CD30403">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564DC054">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7FD83D2A">
                  <w:pPr>
                    <w:adjustRightInd w:val="0"/>
                    <w:snapToGrid w:val="0"/>
                    <w:spacing w:line="360" w:lineRule="exact"/>
                    <w:jc w:val="center"/>
                    <w:rPr>
                      <w:rFonts w:ascii="Times New Roman" w:hAnsi="Times New Roman"/>
                      <w:color w:val="auto"/>
                      <w:spacing w:val="3"/>
                      <w:szCs w:val="21"/>
                    </w:rPr>
                  </w:pPr>
                </w:p>
              </w:tc>
            </w:tr>
            <w:tr w14:paraId="5ECE67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56336EB3">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w:t>
                  </w:r>
                </w:p>
              </w:tc>
              <w:tc>
                <w:tcPr>
                  <w:tcW w:w="131" w:type="pct"/>
                  <w:vMerge w:val="continue"/>
                  <w:tcBorders>
                    <w:tl2br w:val="nil"/>
                    <w:tr2bl w:val="nil"/>
                  </w:tcBorders>
                  <w:shd w:val="clear" w:color="auto" w:fill="auto"/>
                  <w:vAlign w:val="center"/>
                </w:tcPr>
                <w:p w14:paraId="0E2AB7ED">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17DEABFC">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54788E74">
                  <w:pPr>
                    <w:adjustRightInd w:val="0"/>
                    <w:snapToGrid w:val="0"/>
                    <w:spacing w:line="360" w:lineRule="exact"/>
                    <w:jc w:val="center"/>
                    <w:rPr>
                      <w:rFonts w:ascii="Times New Roman" w:hAnsi="Times New Roman"/>
                      <w:color w:val="auto"/>
                      <w:kern w:val="0"/>
                      <w:szCs w:val="21"/>
                    </w:rPr>
                  </w:pPr>
                </w:p>
              </w:tc>
              <w:tc>
                <w:tcPr>
                  <w:tcW w:w="502" w:type="pct"/>
                  <w:gridSpan w:val="2"/>
                  <w:vMerge w:val="restart"/>
                  <w:tcBorders>
                    <w:tl2br w:val="nil"/>
                    <w:tr2bl w:val="nil"/>
                  </w:tcBorders>
                  <w:shd w:val="clear" w:color="auto" w:fill="auto"/>
                  <w:vAlign w:val="center"/>
                </w:tcPr>
                <w:p w14:paraId="2FFDE2EA">
                  <w:pPr>
                    <w:widowControl/>
                    <w:adjustRightInd w:val="0"/>
                    <w:snapToGrid w:val="0"/>
                    <w:spacing w:line="320" w:lineRule="exact"/>
                    <w:jc w:val="center"/>
                    <w:rPr>
                      <w:rFonts w:ascii="Times New Roman" w:hAnsi="Times New Roman"/>
                      <w:color w:val="auto"/>
                      <w:kern w:val="0"/>
                      <w:szCs w:val="21"/>
                    </w:rPr>
                  </w:pPr>
                  <w:r>
                    <w:rPr>
                      <w:rFonts w:ascii="Times New Roman" w:hAnsi="Times New Roman"/>
                      <w:color w:val="auto"/>
                      <w:kern w:val="0"/>
                      <w:szCs w:val="21"/>
                    </w:rPr>
                    <w:t>叶家冲村</w:t>
                  </w:r>
                </w:p>
              </w:tc>
              <w:tc>
                <w:tcPr>
                  <w:tcW w:w="569" w:type="pct"/>
                  <w:vMerge w:val="restart"/>
                  <w:tcBorders>
                    <w:tl2br w:val="nil"/>
                    <w:tr2bl w:val="nil"/>
                  </w:tcBorders>
                  <w:shd w:val="clear" w:color="auto" w:fill="auto"/>
                  <w:vAlign w:val="center"/>
                </w:tcPr>
                <w:p w14:paraId="39F6FEA1">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kern w:val="0"/>
                      <w:sz w:val="22"/>
                      <w:szCs w:val="21"/>
                    </w:rPr>
                    <w:t>线路东侧40m</w:t>
                  </w:r>
                </w:p>
              </w:tc>
              <w:tc>
                <w:tcPr>
                  <w:tcW w:w="382" w:type="pct"/>
                  <w:tcBorders>
                    <w:tl2br w:val="nil"/>
                    <w:tr2bl w:val="nil"/>
                  </w:tcBorders>
                  <w:shd w:val="clear" w:color="auto" w:fill="auto"/>
                  <w:vAlign w:val="center"/>
                </w:tcPr>
                <w:p w14:paraId="5393353D">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516E3B54">
                  <w:pPr>
                    <w:pStyle w:val="74"/>
                    <w:adjustRightInd w:val="0"/>
                    <w:snapToGrid w:val="0"/>
                    <w:spacing w:line="360" w:lineRule="exact"/>
                    <w:jc w:val="center"/>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40</w:t>
                  </w:r>
                </w:p>
              </w:tc>
              <w:tc>
                <w:tcPr>
                  <w:tcW w:w="410" w:type="pct"/>
                  <w:tcBorders>
                    <w:tl2br w:val="nil"/>
                    <w:tr2bl w:val="nil"/>
                  </w:tcBorders>
                  <w:shd w:val="clear" w:color="auto" w:fill="auto"/>
                  <w:vAlign w:val="center"/>
                </w:tcPr>
                <w:p w14:paraId="0CE6DB03">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41</w:t>
                  </w:r>
                </w:p>
              </w:tc>
              <w:tc>
                <w:tcPr>
                  <w:tcW w:w="762" w:type="dxa"/>
                  <w:tcBorders>
                    <w:tl2br w:val="nil"/>
                    <w:tr2bl w:val="nil"/>
                  </w:tcBorders>
                  <w:shd w:val="clear" w:color="auto" w:fill="auto"/>
                  <w:vAlign w:val="center"/>
                </w:tcPr>
                <w:p w14:paraId="0F6CBF3C">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43.5</w:t>
                  </w:r>
                </w:p>
              </w:tc>
              <w:tc>
                <w:tcPr>
                  <w:tcW w:w="426" w:type="pct"/>
                  <w:tcBorders>
                    <w:tl2br w:val="nil"/>
                    <w:tr2bl w:val="nil"/>
                  </w:tcBorders>
                  <w:shd w:val="clear" w:color="auto" w:fill="auto"/>
                  <w:vAlign w:val="center"/>
                </w:tcPr>
                <w:p w14:paraId="59F11CAA">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11E5849F">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2D1D7997">
                  <w:pPr>
                    <w:adjustRightInd w:val="0"/>
                    <w:snapToGrid w:val="0"/>
                    <w:spacing w:line="360" w:lineRule="exact"/>
                    <w:jc w:val="center"/>
                    <w:rPr>
                      <w:rFonts w:ascii="Times New Roman" w:hAnsi="Times New Roman"/>
                      <w:color w:val="auto"/>
                      <w:spacing w:val="3"/>
                      <w:szCs w:val="21"/>
                    </w:rPr>
                  </w:pPr>
                  <w:r>
                    <w:rPr>
                      <w:rFonts w:ascii="Times New Roman" w:hAnsi="Times New Roman"/>
                      <w:color w:val="auto"/>
                      <w:szCs w:val="21"/>
                    </w:rPr>
                    <w:t>现状监测（</w:t>
                  </w:r>
                  <w:r>
                    <w:rPr>
                      <w:rFonts w:hint="eastAsia" w:ascii="Times New Roman" w:hAnsi="Times New Roman"/>
                      <w:color w:val="auto"/>
                      <w:szCs w:val="21"/>
                    </w:rPr>
                    <w:t>4</w:t>
                  </w:r>
                  <w:r>
                    <w:rPr>
                      <w:rFonts w:ascii="Times New Roman" w:hAnsi="Times New Roman"/>
                      <w:color w:val="auto"/>
                      <w:szCs w:val="21"/>
                    </w:rPr>
                    <w:t>#）</w:t>
                  </w:r>
                </w:p>
              </w:tc>
            </w:tr>
            <w:tr w14:paraId="118F07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2F6C3F2D">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66C06754">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7E48F461">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4FD41889">
                  <w:pPr>
                    <w:adjustRightInd w:val="0"/>
                    <w:snapToGrid w:val="0"/>
                    <w:spacing w:line="360" w:lineRule="exact"/>
                    <w:jc w:val="center"/>
                    <w:rPr>
                      <w:rFonts w:ascii="Times New Roman" w:hAnsi="Times New Roman"/>
                      <w:color w:val="auto"/>
                      <w:kern w:val="0"/>
                      <w:szCs w:val="21"/>
                    </w:rPr>
                  </w:pPr>
                </w:p>
              </w:tc>
              <w:tc>
                <w:tcPr>
                  <w:tcW w:w="502" w:type="pct"/>
                  <w:gridSpan w:val="2"/>
                  <w:vMerge w:val="continue"/>
                  <w:tcBorders>
                    <w:tl2br w:val="nil"/>
                    <w:tr2bl w:val="nil"/>
                  </w:tcBorders>
                  <w:shd w:val="clear" w:color="auto" w:fill="auto"/>
                  <w:vAlign w:val="center"/>
                </w:tcPr>
                <w:p w14:paraId="16BE1DCF">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168A401B">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50C9FE3C">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702B2700">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37</w:t>
                  </w:r>
                </w:p>
              </w:tc>
              <w:tc>
                <w:tcPr>
                  <w:tcW w:w="410" w:type="pct"/>
                  <w:tcBorders>
                    <w:tl2br w:val="nil"/>
                    <w:tr2bl w:val="nil"/>
                  </w:tcBorders>
                  <w:shd w:val="clear" w:color="auto" w:fill="auto"/>
                  <w:vAlign w:val="center"/>
                </w:tcPr>
                <w:p w14:paraId="428417B9">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37</w:t>
                  </w:r>
                </w:p>
              </w:tc>
              <w:tc>
                <w:tcPr>
                  <w:tcW w:w="762" w:type="dxa"/>
                  <w:tcBorders>
                    <w:tl2br w:val="nil"/>
                    <w:tr2bl w:val="nil"/>
                  </w:tcBorders>
                  <w:shd w:val="clear" w:color="auto" w:fill="auto"/>
                  <w:vAlign w:val="center"/>
                </w:tcPr>
                <w:p w14:paraId="608EDD43">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40</w:t>
                  </w:r>
                </w:p>
              </w:tc>
              <w:tc>
                <w:tcPr>
                  <w:tcW w:w="426" w:type="pct"/>
                  <w:tcBorders>
                    <w:tl2br w:val="nil"/>
                    <w:tr2bl w:val="nil"/>
                  </w:tcBorders>
                  <w:shd w:val="clear" w:color="auto" w:fill="auto"/>
                  <w:vAlign w:val="center"/>
                </w:tcPr>
                <w:p w14:paraId="63CB310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0523A8CB">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440F146A">
                  <w:pPr>
                    <w:adjustRightInd w:val="0"/>
                    <w:snapToGrid w:val="0"/>
                    <w:spacing w:line="360" w:lineRule="exact"/>
                    <w:jc w:val="center"/>
                    <w:rPr>
                      <w:rFonts w:ascii="Times New Roman" w:hAnsi="Times New Roman"/>
                      <w:color w:val="auto"/>
                      <w:spacing w:val="3"/>
                      <w:szCs w:val="21"/>
                    </w:rPr>
                  </w:pPr>
                </w:p>
              </w:tc>
            </w:tr>
            <w:tr w14:paraId="3462ED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372C9B12">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5</w:t>
                  </w:r>
                </w:p>
              </w:tc>
              <w:tc>
                <w:tcPr>
                  <w:tcW w:w="131" w:type="pct"/>
                  <w:vMerge w:val="continue"/>
                  <w:tcBorders>
                    <w:tl2br w:val="nil"/>
                    <w:tr2bl w:val="nil"/>
                  </w:tcBorders>
                  <w:shd w:val="clear" w:color="auto" w:fill="auto"/>
                  <w:vAlign w:val="center"/>
                </w:tcPr>
                <w:p w14:paraId="4545E4D2">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2568199E">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25AB8742">
                  <w:pPr>
                    <w:adjustRightInd w:val="0"/>
                    <w:snapToGrid w:val="0"/>
                    <w:spacing w:line="360" w:lineRule="exact"/>
                    <w:jc w:val="center"/>
                    <w:rPr>
                      <w:rFonts w:ascii="Times New Roman" w:hAnsi="Times New Roman"/>
                      <w:color w:val="auto"/>
                      <w:kern w:val="0"/>
                      <w:szCs w:val="21"/>
                    </w:rPr>
                  </w:pPr>
                </w:p>
              </w:tc>
              <w:tc>
                <w:tcPr>
                  <w:tcW w:w="502" w:type="pct"/>
                  <w:gridSpan w:val="2"/>
                  <w:vMerge w:val="restart"/>
                  <w:tcBorders>
                    <w:tl2br w:val="nil"/>
                    <w:tr2bl w:val="nil"/>
                  </w:tcBorders>
                  <w:shd w:val="clear" w:color="auto" w:fill="auto"/>
                  <w:vAlign w:val="center"/>
                </w:tcPr>
                <w:p w14:paraId="4070C60B">
                  <w:pPr>
                    <w:adjustRightInd w:val="0"/>
                    <w:snapToGrid w:val="0"/>
                    <w:spacing w:line="360" w:lineRule="exact"/>
                    <w:jc w:val="center"/>
                    <w:rPr>
                      <w:rFonts w:ascii="Times New Roman" w:hAnsi="Times New Roman"/>
                      <w:color w:val="auto"/>
                      <w:kern w:val="0"/>
                      <w:szCs w:val="21"/>
                    </w:rPr>
                  </w:pPr>
                  <w:r>
                    <w:rPr>
                      <w:rFonts w:hint="eastAsia" w:ascii="Times New Roman" w:hAnsi="Times New Roman"/>
                      <w:color w:val="auto"/>
                      <w:kern w:val="0"/>
                      <w:sz w:val="22"/>
                      <w:szCs w:val="21"/>
                    </w:rPr>
                    <w:t>中梁子村</w:t>
                  </w:r>
                </w:p>
              </w:tc>
              <w:tc>
                <w:tcPr>
                  <w:tcW w:w="569" w:type="pct"/>
                  <w:vMerge w:val="restart"/>
                  <w:tcBorders>
                    <w:tl2br w:val="nil"/>
                    <w:tr2bl w:val="nil"/>
                  </w:tcBorders>
                  <w:shd w:val="clear" w:color="auto" w:fill="auto"/>
                  <w:vAlign w:val="center"/>
                </w:tcPr>
                <w:p w14:paraId="416A7062">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kern w:val="0"/>
                      <w:sz w:val="22"/>
                      <w:szCs w:val="21"/>
                    </w:rPr>
                    <w:t>线路东侧30m</w:t>
                  </w:r>
                </w:p>
              </w:tc>
              <w:tc>
                <w:tcPr>
                  <w:tcW w:w="382" w:type="pct"/>
                  <w:tcBorders>
                    <w:tl2br w:val="nil"/>
                    <w:tr2bl w:val="nil"/>
                  </w:tcBorders>
                  <w:shd w:val="clear" w:color="auto" w:fill="auto"/>
                  <w:vAlign w:val="center"/>
                </w:tcPr>
                <w:p w14:paraId="2B663805">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0B7FD82F">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41</w:t>
                  </w:r>
                </w:p>
              </w:tc>
              <w:tc>
                <w:tcPr>
                  <w:tcW w:w="410" w:type="pct"/>
                  <w:tcBorders>
                    <w:tl2br w:val="nil"/>
                    <w:tr2bl w:val="nil"/>
                  </w:tcBorders>
                  <w:shd w:val="clear" w:color="auto" w:fill="auto"/>
                  <w:vAlign w:val="center"/>
                </w:tcPr>
                <w:p w14:paraId="429537A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43</w:t>
                  </w:r>
                </w:p>
              </w:tc>
              <w:tc>
                <w:tcPr>
                  <w:tcW w:w="762" w:type="dxa"/>
                  <w:tcBorders>
                    <w:tl2br w:val="nil"/>
                    <w:tr2bl w:val="nil"/>
                  </w:tcBorders>
                  <w:shd w:val="clear" w:color="auto" w:fill="auto"/>
                  <w:vAlign w:val="center"/>
                </w:tcPr>
                <w:p w14:paraId="7185AEF4">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45.1</w:t>
                  </w:r>
                </w:p>
              </w:tc>
              <w:tc>
                <w:tcPr>
                  <w:tcW w:w="426" w:type="pct"/>
                  <w:tcBorders>
                    <w:tl2br w:val="nil"/>
                    <w:tr2bl w:val="nil"/>
                  </w:tcBorders>
                  <w:shd w:val="clear" w:color="auto" w:fill="auto"/>
                  <w:vAlign w:val="center"/>
                </w:tcPr>
                <w:p w14:paraId="3095AEF1">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79652764">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38A53159">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现状监测（</w:t>
                  </w:r>
                  <w:r>
                    <w:rPr>
                      <w:rFonts w:hint="eastAsia" w:ascii="Times New Roman" w:hAnsi="Times New Roman"/>
                      <w:color w:val="auto"/>
                      <w:szCs w:val="21"/>
                    </w:rPr>
                    <w:t>5</w:t>
                  </w:r>
                  <w:r>
                    <w:rPr>
                      <w:rFonts w:ascii="Times New Roman" w:hAnsi="Times New Roman"/>
                      <w:color w:val="auto"/>
                      <w:szCs w:val="21"/>
                    </w:rPr>
                    <w:t>#）</w:t>
                  </w:r>
                </w:p>
              </w:tc>
            </w:tr>
            <w:tr w14:paraId="595ECF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5235EE13">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79FB1F99">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31F82279">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174F5965">
                  <w:pPr>
                    <w:adjustRightInd w:val="0"/>
                    <w:snapToGrid w:val="0"/>
                    <w:spacing w:line="360" w:lineRule="exact"/>
                    <w:jc w:val="center"/>
                    <w:rPr>
                      <w:rFonts w:ascii="Times New Roman" w:hAnsi="Times New Roman"/>
                      <w:color w:val="auto"/>
                      <w:kern w:val="0"/>
                      <w:szCs w:val="21"/>
                    </w:rPr>
                  </w:pPr>
                </w:p>
              </w:tc>
              <w:tc>
                <w:tcPr>
                  <w:tcW w:w="502" w:type="pct"/>
                  <w:gridSpan w:val="2"/>
                  <w:vMerge w:val="continue"/>
                  <w:tcBorders>
                    <w:tl2br w:val="nil"/>
                    <w:tr2bl w:val="nil"/>
                  </w:tcBorders>
                  <w:shd w:val="clear" w:color="auto" w:fill="auto"/>
                  <w:vAlign w:val="center"/>
                </w:tcPr>
                <w:p w14:paraId="5A253E93">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61DE60CC">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2B345252">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1146CFF6">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38</w:t>
                  </w:r>
                </w:p>
              </w:tc>
              <w:tc>
                <w:tcPr>
                  <w:tcW w:w="410" w:type="pct"/>
                  <w:tcBorders>
                    <w:tl2br w:val="nil"/>
                    <w:tr2bl w:val="nil"/>
                  </w:tcBorders>
                  <w:shd w:val="clear" w:color="auto" w:fill="auto"/>
                  <w:vAlign w:val="center"/>
                </w:tcPr>
                <w:p w14:paraId="64A4BE5F">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39</w:t>
                  </w:r>
                </w:p>
              </w:tc>
              <w:tc>
                <w:tcPr>
                  <w:tcW w:w="762" w:type="dxa"/>
                  <w:tcBorders>
                    <w:tl2br w:val="nil"/>
                    <w:tr2bl w:val="nil"/>
                  </w:tcBorders>
                  <w:shd w:val="clear" w:color="auto" w:fill="auto"/>
                  <w:vAlign w:val="center"/>
                </w:tcPr>
                <w:p w14:paraId="1F283095">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41.5</w:t>
                  </w:r>
                </w:p>
              </w:tc>
              <w:tc>
                <w:tcPr>
                  <w:tcW w:w="426" w:type="pct"/>
                  <w:tcBorders>
                    <w:tl2br w:val="nil"/>
                    <w:tr2bl w:val="nil"/>
                  </w:tcBorders>
                  <w:shd w:val="clear" w:color="auto" w:fill="auto"/>
                  <w:vAlign w:val="center"/>
                </w:tcPr>
                <w:p w14:paraId="63DC9773">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20AAF005">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58C6B01B">
                  <w:pPr>
                    <w:adjustRightInd w:val="0"/>
                    <w:snapToGrid w:val="0"/>
                    <w:spacing w:line="360" w:lineRule="exact"/>
                    <w:jc w:val="center"/>
                    <w:rPr>
                      <w:rFonts w:ascii="Times New Roman" w:hAnsi="Times New Roman"/>
                      <w:color w:val="auto"/>
                      <w:spacing w:val="3"/>
                      <w:szCs w:val="21"/>
                    </w:rPr>
                  </w:pPr>
                </w:p>
              </w:tc>
            </w:tr>
            <w:tr w14:paraId="69337F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2556DD11">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6</w:t>
                  </w:r>
                </w:p>
              </w:tc>
              <w:tc>
                <w:tcPr>
                  <w:tcW w:w="131" w:type="pct"/>
                  <w:vMerge w:val="continue"/>
                  <w:tcBorders>
                    <w:tl2br w:val="nil"/>
                    <w:tr2bl w:val="nil"/>
                  </w:tcBorders>
                  <w:shd w:val="clear" w:color="auto" w:fill="auto"/>
                  <w:vAlign w:val="center"/>
                </w:tcPr>
                <w:p w14:paraId="106B96BE">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0A82A808">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5174E670">
                  <w:pPr>
                    <w:adjustRightInd w:val="0"/>
                    <w:snapToGrid w:val="0"/>
                    <w:spacing w:line="360" w:lineRule="exact"/>
                    <w:jc w:val="center"/>
                    <w:rPr>
                      <w:rFonts w:ascii="Times New Roman" w:hAnsi="Times New Roman"/>
                      <w:color w:val="auto"/>
                      <w:kern w:val="0"/>
                      <w:szCs w:val="21"/>
                    </w:rPr>
                  </w:pPr>
                </w:p>
              </w:tc>
              <w:tc>
                <w:tcPr>
                  <w:tcW w:w="502" w:type="pct"/>
                  <w:gridSpan w:val="2"/>
                  <w:vMerge w:val="restart"/>
                  <w:tcBorders>
                    <w:tl2br w:val="nil"/>
                    <w:tr2bl w:val="nil"/>
                  </w:tcBorders>
                  <w:shd w:val="clear" w:color="auto" w:fill="auto"/>
                  <w:vAlign w:val="center"/>
                </w:tcPr>
                <w:p w14:paraId="0CB944FC">
                  <w:pPr>
                    <w:adjustRightInd w:val="0"/>
                    <w:snapToGrid w:val="0"/>
                    <w:spacing w:line="360" w:lineRule="exact"/>
                    <w:jc w:val="center"/>
                    <w:rPr>
                      <w:rFonts w:ascii="Times New Roman" w:hAnsi="Times New Roman"/>
                      <w:color w:val="auto"/>
                      <w:kern w:val="0"/>
                      <w:szCs w:val="21"/>
                    </w:rPr>
                  </w:pPr>
                  <w:r>
                    <w:rPr>
                      <w:rFonts w:hint="eastAsia" w:ascii="Times New Roman" w:hAnsi="Times New Roman"/>
                      <w:color w:val="auto"/>
                      <w:kern w:val="0"/>
                      <w:szCs w:val="21"/>
                    </w:rPr>
                    <w:t>国道停车区</w:t>
                  </w:r>
                </w:p>
              </w:tc>
              <w:tc>
                <w:tcPr>
                  <w:tcW w:w="569" w:type="pct"/>
                  <w:vMerge w:val="restart"/>
                  <w:tcBorders>
                    <w:tl2br w:val="nil"/>
                    <w:tr2bl w:val="nil"/>
                  </w:tcBorders>
                  <w:shd w:val="clear" w:color="auto" w:fill="auto"/>
                  <w:vAlign w:val="center"/>
                </w:tcPr>
                <w:p w14:paraId="3A983969">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kern w:val="0"/>
                      <w:sz w:val="22"/>
                      <w:szCs w:val="21"/>
                    </w:rPr>
                    <w:t>线路北侧40m</w:t>
                  </w:r>
                </w:p>
              </w:tc>
              <w:tc>
                <w:tcPr>
                  <w:tcW w:w="382" w:type="pct"/>
                  <w:tcBorders>
                    <w:tl2br w:val="nil"/>
                    <w:tr2bl w:val="nil"/>
                  </w:tcBorders>
                  <w:shd w:val="clear" w:color="auto" w:fill="auto"/>
                  <w:vAlign w:val="center"/>
                </w:tcPr>
                <w:p w14:paraId="7CDF3E04">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1B5B2D98">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40</w:t>
                  </w:r>
                </w:p>
              </w:tc>
              <w:tc>
                <w:tcPr>
                  <w:tcW w:w="410" w:type="pct"/>
                  <w:tcBorders>
                    <w:tl2br w:val="nil"/>
                    <w:tr2bl w:val="nil"/>
                  </w:tcBorders>
                  <w:shd w:val="clear" w:color="auto" w:fill="auto"/>
                  <w:vAlign w:val="center"/>
                </w:tcPr>
                <w:p w14:paraId="13F0E9BA">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57</w:t>
                  </w:r>
                </w:p>
              </w:tc>
              <w:tc>
                <w:tcPr>
                  <w:tcW w:w="762" w:type="dxa"/>
                  <w:tcBorders>
                    <w:tl2br w:val="nil"/>
                    <w:tr2bl w:val="nil"/>
                  </w:tcBorders>
                  <w:shd w:val="clear" w:color="auto" w:fill="auto"/>
                  <w:vAlign w:val="center"/>
                </w:tcPr>
                <w:p w14:paraId="1C433F51">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57.1</w:t>
                  </w:r>
                </w:p>
              </w:tc>
              <w:tc>
                <w:tcPr>
                  <w:tcW w:w="426" w:type="pct"/>
                  <w:tcBorders>
                    <w:tl2br w:val="nil"/>
                    <w:tr2bl w:val="nil"/>
                  </w:tcBorders>
                  <w:shd w:val="clear" w:color="auto" w:fill="auto"/>
                  <w:vAlign w:val="center"/>
                </w:tcPr>
                <w:p w14:paraId="5AE0C97C">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70</w:t>
                  </w:r>
                </w:p>
              </w:tc>
              <w:tc>
                <w:tcPr>
                  <w:tcW w:w="343" w:type="pct"/>
                  <w:tcBorders>
                    <w:tl2br w:val="nil"/>
                    <w:tr2bl w:val="nil"/>
                  </w:tcBorders>
                  <w:shd w:val="clear" w:color="auto" w:fill="auto"/>
                  <w:vAlign w:val="center"/>
                </w:tcPr>
                <w:p w14:paraId="7C9E89B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69151780">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现状监测（</w:t>
                  </w:r>
                  <w:r>
                    <w:rPr>
                      <w:rFonts w:hint="eastAsia" w:ascii="Times New Roman" w:hAnsi="Times New Roman"/>
                      <w:color w:val="auto"/>
                      <w:szCs w:val="21"/>
                    </w:rPr>
                    <w:t>6</w:t>
                  </w:r>
                  <w:r>
                    <w:rPr>
                      <w:rFonts w:ascii="Times New Roman" w:hAnsi="Times New Roman"/>
                      <w:color w:val="auto"/>
                      <w:szCs w:val="21"/>
                    </w:rPr>
                    <w:t>#）</w:t>
                  </w:r>
                </w:p>
              </w:tc>
            </w:tr>
            <w:tr w14:paraId="653990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77A9E1E8">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4B4C7A4A">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4FFC5035">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1D9DED9A">
                  <w:pPr>
                    <w:adjustRightInd w:val="0"/>
                    <w:snapToGrid w:val="0"/>
                    <w:spacing w:line="360" w:lineRule="exact"/>
                    <w:jc w:val="center"/>
                    <w:rPr>
                      <w:rFonts w:ascii="Times New Roman" w:hAnsi="Times New Roman"/>
                      <w:color w:val="auto"/>
                      <w:kern w:val="0"/>
                      <w:szCs w:val="21"/>
                    </w:rPr>
                  </w:pPr>
                </w:p>
              </w:tc>
              <w:tc>
                <w:tcPr>
                  <w:tcW w:w="502" w:type="pct"/>
                  <w:gridSpan w:val="2"/>
                  <w:vMerge w:val="continue"/>
                  <w:tcBorders>
                    <w:tl2br w:val="nil"/>
                    <w:tr2bl w:val="nil"/>
                  </w:tcBorders>
                  <w:shd w:val="clear" w:color="auto" w:fill="auto"/>
                  <w:vAlign w:val="center"/>
                </w:tcPr>
                <w:p w14:paraId="4EB0F972">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765E75B5">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20D6A528">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658AA182">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37</w:t>
                  </w:r>
                </w:p>
              </w:tc>
              <w:tc>
                <w:tcPr>
                  <w:tcW w:w="410" w:type="pct"/>
                  <w:tcBorders>
                    <w:tl2br w:val="nil"/>
                    <w:tr2bl w:val="nil"/>
                  </w:tcBorders>
                  <w:shd w:val="clear" w:color="auto" w:fill="auto"/>
                  <w:vAlign w:val="center"/>
                </w:tcPr>
                <w:p w14:paraId="1262D7FD">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45</w:t>
                  </w:r>
                </w:p>
              </w:tc>
              <w:tc>
                <w:tcPr>
                  <w:tcW w:w="762" w:type="dxa"/>
                  <w:tcBorders>
                    <w:tl2br w:val="nil"/>
                    <w:tr2bl w:val="nil"/>
                  </w:tcBorders>
                  <w:shd w:val="clear" w:color="auto" w:fill="auto"/>
                  <w:vAlign w:val="center"/>
                </w:tcPr>
                <w:p w14:paraId="7504BDA1">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45.6</w:t>
                  </w:r>
                </w:p>
              </w:tc>
              <w:tc>
                <w:tcPr>
                  <w:tcW w:w="426" w:type="pct"/>
                  <w:tcBorders>
                    <w:tl2br w:val="nil"/>
                    <w:tr2bl w:val="nil"/>
                  </w:tcBorders>
                  <w:shd w:val="clear" w:color="auto" w:fill="auto"/>
                  <w:vAlign w:val="center"/>
                </w:tcPr>
                <w:p w14:paraId="51EBB695">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55</w:t>
                  </w:r>
                </w:p>
              </w:tc>
              <w:tc>
                <w:tcPr>
                  <w:tcW w:w="343" w:type="pct"/>
                  <w:tcBorders>
                    <w:tl2br w:val="nil"/>
                    <w:tr2bl w:val="nil"/>
                  </w:tcBorders>
                  <w:shd w:val="clear" w:color="auto" w:fill="auto"/>
                  <w:vAlign w:val="center"/>
                </w:tcPr>
                <w:p w14:paraId="5AC85DF3">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53C91BBA">
                  <w:pPr>
                    <w:adjustRightInd w:val="0"/>
                    <w:snapToGrid w:val="0"/>
                    <w:spacing w:line="360" w:lineRule="exact"/>
                    <w:jc w:val="center"/>
                    <w:rPr>
                      <w:rFonts w:ascii="Times New Roman" w:hAnsi="Times New Roman"/>
                      <w:color w:val="auto"/>
                      <w:spacing w:val="3"/>
                      <w:szCs w:val="21"/>
                    </w:rPr>
                  </w:pPr>
                </w:p>
              </w:tc>
            </w:tr>
            <w:tr w14:paraId="761BEA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restart"/>
                  <w:tcBorders>
                    <w:tl2br w:val="nil"/>
                    <w:tr2bl w:val="nil"/>
                  </w:tcBorders>
                  <w:shd w:val="clear" w:color="auto" w:fill="auto"/>
                  <w:vAlign w:val="center"/>
                </w:tcPr>
                <w:p w14:paraId="6C63A81B">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7</w:t>
                  </w:r>
                </w:p>
              </w:tc>
              <w:tc>
                <w:tcPr>
                  <w:tcW w:w="131" w:type="pct"/>
                  <w:vMerge w:val="continue"/>
                  <w:tcBorders>
                    <w:tl2br w:val="nil"/>
                    <w:tr2bl w:val="nil"/>
                  </w:tcBorders>
                  <w:shd w:val="clear" w:color="auto" w:fill="auto"/>
                  <w:vAlign w:val="center"/>
                </w:tcPr>
                <w:p w14:paraId="463504BA">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7B032337">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426AF868">
                  <w:pPr>
                    <w:adjustRightInd w:val="0"/>
                    <w:snapToGrid w:val="0"/>
                    <w:spacing w:line="360" w:lineRule="exact"/>
                    <w:jc w:val="center"/>
                    <w:rPr>
                      <w:rFonts w:ascii="Times New Roman" w:hAnsi="Times New Roman"/>
                      <w:color w:val="auto"/>
                      <w:kern w:val="0"/>
                      <w:szCs w:val="21"/>
                    </w:rPr>
                  </w:pPr>
                </w:p>
              </w:tc>
              <w:tc>
                <w:tcPr>
                  <w:tcW w:w="251" w:type="pct"/>
                  <w:vMerge w:val="restart"/>
                  <w:tcBorders>
                    <w:tl2br w:val="nil"/>
                    <w:tr2bl w:val="nil"/>
                  </w:tcBorders>
                  <w:shd w:val="clear" w:color="auto" w:fill="auto"/>
                  <w:vAlign w:val="center"/>
                </w:tcPr>
                <w:p w14:paraId="1CC87856">
                  <w:pPr>
                    <w:adjustRightInd w:val="0"/>
                    <w:snapToGrid w:val="0"/>
                    <w:spacing w:line="360" w:lineRule="exact"/>
                    <w:jc w:val="center"/>
                    <w:rPr>
                      <w:rFonts w:ascii="Times New Roman" w:hAnsi="Times New Roman"/>
                      <w:color w:val="auto"/>
                      <w:kern w:val="0"/>
                      <w:szCs w:val="21"/>
                    </w:rPr>
                  </w:pPr>
                  <w:r>
                    <w:rPr>
                      <w:rFonts w:ascii="Times New Roman" w:hAnsi="Times New Roman"/>
                      <w:color w:val="auto"/>
                      <w:kern w:val="0"/>
                      <w:szCs w:val="21"/>
                    </w:rPr>
                    <w:t>山背后村</w:t>
                  </w:r>
                </w:p>
              </w:tc>
              <w:tc>
                <w:tcPr>
                  <w:tcW w:w="251" w:type="pct"/>
                  <w:vMerge w:val="restart"/>
                  <w:tcBorders>
                    <w:tl2br w:val="nil"/>
                    <w:tr2bl w:val="nil"/>
                  </w:tcBorders>
                  <w:shd w:val="clear" w:color="auto" w:fill="auto"/>
                  <w:vAlign w:val="center"/>
                </w:tcPr>
                <w:p w14:paraId="51BD4AD1">
                  <w:pPr>
                    <w:adjustRightInd w:val="0"/>
                    <w:snapToGrid w:val="0"/>
                    <w:spacing w:line="360" w:lineRule="exact"/>
                    <w:jc w:val="center"/>
                    <w:rPr>
                      <w:rFonts w:ascii="Times New Roman" w:hAnsi="Times New Roman"/>
                      <w:color w:val="auto"/>
                      <w:kern w:val="0"/>
                      <w:szCs w:val="21"/>
                    </w:rPr>
                  </w:pPr>
                  <w:r>
                    <w:rPr>
                      <w:rFonts w:hint="eastAsia" w:ascii="Times New Roman" w:hAnsi="Times New Roman"/>
                      <w:color w:val="auto"/>
                      <w:kern w:val="0"/>
                      <w:szCs w:val="21"/>
                    </w:rPr>
                    <w:t>一层</w:t>
                  </w:r>
                </w:p>
              </w:tc>
              <w:tc>
                <w:tcPr>
                  <w:tcW w:w="569" w:type="pct"/>
                  <w:vMerge w:val="restart"/>
                  <w:tcBorders>
                    <w:tl2br w:val="nil"/>
                    <w:tr2bl w:val="nil"/>
                  </w:tcBorders>
                  <w:shd w:val="clear" w:color="auto" w:fill="auto"/>
                  <w:vAlign w:val="center"/>
                </w:tcPr>
                <w:p w14:paraId="65EC0A04">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线路南侧16m</w:t>
                  </w:r>
                </w:p>
              </w:tc>
              <w:tc>
                <w:tcPr>
                  <w:tcW w:w="382" w:type="pct"/>
                  <w:tcBorders>
                    <w:tl2br w:val="nil"/>
                    <w:tr2bl w:val="nil"/>
                  </w:tcBorders>
                  <w:shd w:val="clear" w:color="auto" w:fill="auto"/>
                  <w:vAlign w:val="center"/>
                </w:tcPr>
                <w:p w14:paraId="2B493058">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31D0613C">
                  <w:pPr>
                    <w:widowControl/>
                    <w:kinsoku w:val="0"/>
                    <w:autoSpaceDE w:val="0"/>
                    <w:autoSpaceDN w:val="0"/>
                    <w:adjustRightInd w:val="0"/>
                    <w:snapToGrid w:val="0"/>
                    <w:jc w:val="center"/>
                    <w:textAlignment w:val="baseline"/>
                    <w:rPr>
                      <w:rFonts w:ascii="Times New Roman" w:hAnsi="Times New Roman"/>
                      <w:color w:val="auto"/>
                      <w:szCs w:val="21"/>
                    </w:rPr>
                  </w:pPr>
                  <w:r>
                    <w:rPr>
                      <w:rFonts w:hint="eastAsia" w:ascii="Times New Roman" w:hAnsi="Times New Roman"/>
                      <w:color w:val="auto"/>
                      <w:szCs w:val="21"/>
                    </w:rPr>
                    <w:t>42</w:t>
                  </w:r>
                </w:p>
              </w:tc>
              <w:tc>
                <w:tcPr>
                  <w:tcW w:w="410" w:type="pct"/>
                  <w:tcBorders>
                    <w:tl2br w:val="nil"/>
                    <w:tr2bl w:val="nil"/>
                  </w:tcBorders>
                  <w:shd w:val="clear" w:color="auto" w:fill="auto"/>
                  <w:vAlign w:val="center"/>
                </w:tcPr>
                <w:p w14:paraId="222EF64B">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49</w:t>
                  </w:r>
                </w:p>
              </w:tc>
              <w:tc>
                <w:tcPr>
                  <w:tcW w:w="762" w:type="dxa"/>
                  <w:tcBorders>
                    <w:tl2br w:val="nil"/>
                    <w:tr2bl w:val="nil"/>
                  </w:tcBorders>
                  <w:shd w:val="clear" w:color="auto" w:fill="auto"/>
                  <w:vAlign w:val="center"/>
                </w:tcPr>
                <w:p w14:paraId="7EAB5743">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49.8</w:t>
                  </w:r>
                </w:p>
              </w:tc>
              <w:tc>
                <w:tcPr>
                  <w:tcW w:w="426" w:type="pct"/>
                  <w:tcBorders>
                    <w:tl2br w:val="nil"/>
                    <w:tr2bl w:val="nil"/>
                  </w:tcBorders>
                  <w:shd w:val="clear" w:color="auto" w:fill="auto"/>
                  <w:vAlign w:val="center"/>
                </w:tcPr>
                <w:p w14:paraId="0E3F9224">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37D618AA">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restart"/>
                  <w:tcBorders>
                    <w:tl2br w:val="nil"/>
                    <w:tr2bl w:val="nil"/>
                  </w:tcBorders>
                  <w:shd w:val="clear" w:color="auto" w:fill="auto"/>
                  <w:vAlign w:val="center"/>
                </w:tcPr>
                <w:p w14:paraId="2B7D0455">
                  <w:pPr>
                    <w:adjustRightInd w:val="0"/>
                    <w:snapToGrid w:val="0"/>
                    <w:spacing w:line="360" w:lineRule="exact"/>
                    <w:jc w:val="center"/>
                    <w:rPr>
                      <w:rFonts w:ascii="Times New Roman" w:hAnsi="Times New Roman"/>
                      <w:color w:val="auto"/>
                      <w:spacing w:val="3"/>
                      <w:szCs w:val="21"/>
                    </w:rPr>
                  </w:pPr>
                  <w:r>
                    <w:rPr>
                      <w:rFonts w:ascii="Times New Roman" w:hAnsi="Times New Roman"/>
                      <w:color w:val="auto"/>
                      <w:szCs w:val="21"/>
                    </w:rPr>
                    <w:t>现状监测（</w:t>
                  </w:r>
                  <w:r>
                    <w:rPr>
                      <w:rFonts w:hint="eastAsia" w:ascii="Times New Roman" w:hAnsi="Times New Roman"/>
                      <w:color w:val="auto"/>
                      <w:szCs w:val="21"/>
                    </w:rPr>
                    <w:t>7</w:t>
                  </w:r>
                  <w:r>
                    <w:rPr>
                      <w:rFonts w:ascii="Times New Roman" w:hAnsi="Times New Roman"/>
                      <w:color w:val="auto"/>
                      <w:szCs w:val="21"/>
                    </w:rPr>
                    <w:t>#）</w:t>
                  </w:r>
                </w:p>
              </w:tc>
            </w:tr>
            <w:tr w14:paraId="76C787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280B7D9C">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5BDE99EB">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05C3BAD2">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40E2B3BA">
                  <w:pPr>
                    <w:adjustRightInd w:val="0"/>
                    <w:snapToGrid w:val="0"/>
                    <w:spacing w:line="360" w:lineRule="exact"/>
                    <w:jc w:val="center"/>
                    <w:rPr>
                      <w:rFonts w:ascii="Times New Roman" w:hAnsi="Times New Roman"/>
                      <w:color w:val="auto"/>
                      <w:kern w:val="0"/>
                      <w:szCs w:val="21"/>
                    </w:rPr>
                  </w:pPr>
                </w:p>
              </w:tc>
              <w:tc>
                <w:tcPr>
                  <w:tcW w:w="251" w:type="pct"/>
                  <w:vMerge w:val="continue"/>
                  <w:tcBorders>
                    <w:tl2br w:val="nil"/>
                    <w:tr2bl w:val="nil"/>
                  </w:tcBorders>
                  <w:shd w:val="clear" w:color="auto" w:fill="auto"/>
                  <w:vAlign w:val="center"/>
                </w:tcPr>
                <w:p w14:paraId="5415AB34">
                  <w:pPr>
                    <w:adjustRightInd w:val="0"/>
                    <w:snapToGrid w:val="0"/>
                    <w:spacing w:line="360" w:lineRule="exact"/>
                    <w:jc w:val="center"/>
                    <w:rPr>
                      <w:rFonts w:ascii="Times New Roman" w:hAnsi="Times New Roman"/>
                      <w:color w:val="auto"/>
                      <w:kern w:val="0"/>
                      <w:szCs w:val="21"/>
                    </w:rPr>
                  </w:pPr>
                </w:p>
              </w:tc>
              <w:tc>
                <w:tcPr>
                  <w:tcW w:w="251" w:type="pct"/>
                  <w:vMerge w:val="continue"/>
                  <w:tcBorders>
                    <w:tl2br w:val="nil"/>
                    <w:tr2bl w:val="nil"/>
                  </w:tcBorders>
                  <w:shd w:val="clear" w:color="auto" w:fill="auto"/>
                  <w:vAlign w:val="center"/>
                </w:tcPr>
                <w:p w14:paraId="5E55D26A">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1D761543">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561A5C44">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4C528DFF">
                  <w:pPr>
                    <w:widowControl/>
                    <w:kinsoku w:val="0"/>
                    <w:autoSpaceDE w:val="0"/>
                    <w:autoSpaceDN w:val="0"/>
                    <w:adjustRightInd w:val="0"/>
                    <w:snapToGrid w:val="0"/>
                    <w:jc w:val="center"/>
                    <w:textAlignment w:val="baseline"/>
                    <w:rPr>
                      <w:rFonts w:ascii="Times New Roman" w:hAnsi="Times New Roman"/>
                      <w:color w:val="auto"/>
                      <w:szCs w:val="21"/>
                    </w:rPr>
                  </w:pPr>
                  <w:r>
                    <w:rPr>
                      <w:rFonts w:hint="eastAsia" w:ascii="Times New Roman" w:hAnsi="Times New Roman"/>
                      <w:color w:val="auto"/>
                      <w:szCs w:val="21"/>
                    </w:rPr>
                    <w:t>39</w:t>
                  </w:r>
                </w:p>
              </w:tc>
              <w:tc>
                <w:tcPr>
                  <w:tcW w:w="410" w:type="pct"/>
                  <w:tcBorders>
                    <w:tl2br w:val="nil"/>
                    <w:tr2bl w:val="nil"/>
                  </w:tcBorders>
                  <w:shd w:val="clear" w:color="auto" w:fill="auto"/>
                  <w:vAlign w:val="center"/>
                </w:tcPr>
                <w:p w14:paraId="161E3BB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w:t>
                  </w:r>
                  <w:r>
                    <w:rPr>
                      <w:rFonts w:hint="eastAsia" w:ascii="Times New Roman" w:hAnsi="Times New Roman"/>
                      <w:color w:val="auto"/>
                      <w:szCs w:val="21"/>
                    </w:rPr>
                    <w:t>2</w:t>
                  </w:r>
                </w:p>
              </w:tc>
              <w:tc>
                <w:tcPr>
                  <w:tcW w:w="762" w:type="dxa"/>
                  <w:tcBorders>
                    <w:tl2br w:val="nil"/>
                    <w:tr2bl w:val="nil"/>
                  </w:tcBorders>
                  <w:shd w:val="clear" w:color="auto" w:fill="auto"/>
                  <w:vAlign w:val="center"/>
                </w:tcPr>
                <w:p w14:paraId="20E4B6CA">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42.8</w:t>
                  </w:r>
                </w:p>
              </w:tc>
              <w:tc>
                <w:tcPr>
                  <w:tcW w:w="426" w:type="pct"/>
                  <w:tcBorders>
                    <w:tl2br w:val="nil"/>
                    <w:tr2bl w:val="nil"/>
                  </w:tcBorders>
                  <w:shd w:val="clear" w:color="auto" w:fill="auto"/>
                  <w:vAlign w:val="center"/>
                </w:tcPr>
                <w:p w14:paraId="014533C9">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56E055AC">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77439567">
                  <w:pPr>
                    <w:adjustRightInd w:val="0"/>
                    <w:snapToGrid w:val="0"/>
                    <w:spacing w:line="360" w:lineRule="exact"/>
                    <w:jc w:val="center"/>
                    <w:rPr>
                      <w:rFonts w:ascii="Times New Roman" w:hAnsi="Times New Roman"/>
                      <w:color w:val="auto"/>
                      <w:spacing w:val="3"/>
                      <w:szCs w:val="21"/>
                    </w:rPr>
                  </w:pPr>
                </w:p>
              </w:tc>
            </w:tr>
            <w:tr w14:paraId="4299F2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5FAB0507">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3EECB9C8">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1A9FF823">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05FF1F53">
                  <w:pPr>
                    <w:adjustRightInd w:val="0"/>
                    <w:snapToGrid w:val="0"/>
                    <w:spacing w:line="360" w:lineRule="exact"/>
                    <w:jc w:val="center"/>
                    <w:rPr>
                      <w:rFonts w:ascii="Times New Roman" w:hAnsi="Times New Roman"/>
                      <w:color w:val="auto"/>
                      <w:kern w:val="0"/>
                      <w:szCs w:val="21"/>
                    </w:rPr>
                  </w:pPr>
                </w:p>
              </w:tc>
              <w:tc>
                <w:tcPr>
                  <w:tcW w:w="251" w:type="pct"/>
                  <w:vMerge w:val="continue"/>
                  <w:tcBorders>
                    <w:tl2br w:val="nil"/>
                    <w:tr2bl w:val="nil"/>
                  </w:tcBorders>
                  <w:shd w:val="clear" w:color="auto" w:fill="auto"/>
                  <w:vAlign w:val="center"/>
                </w:tcPr>
                <w:p w14:paraId="27616701">
                  <w:pPr>
                    <w:adjustRightInd w:val="0"/>
                    <w:snapToGrid w:val="0"/>
                    <w:spacing w:line="360" w:lineRule="exact"/>
                    <w:jc w:val="center"/>
                    <w:rPr>
                      <w:rFonts w:ascii="Times New Roman" w:hAnsi="Times New Roman"/>
                      <w:color w:val="auto"/>
                      <w:kern w:val="0"/>
                      <w:szCs w:val="21"/>
                    </w:rPr>
                  </w:pPr>
                </w:p>
              </w:tc>
              <w:tc>
                <w:tcPr>
                  <w:tcW w:w="251" w:type="pct"/>
                  <w:vMerge w:val="restart"/>
                  <w:tcBorders>
                    <w:tl2br w:val="nil"/>
                    <w:tr2bl w:val="nil"/>
                  </w:tcBorders>
                  <w:shd w:val="clear" w:color="auto" w:fill="auto"/>
                  <w:vAlign w:val="center"/>
                </w:tcPr>
                <w:p w14:paraId="5EB95F83">
                  <w:pPr>
                    <w:adjustRightInd w:val="0"/>
                    <w:snapToGrid w:val="0"/>
                    <w:spacing w:line="360" w:lineRule="exact"/>
                    <w:jc w:val="center"/>
                    <w:rPr>
                      <w:rFonts w:ascii="Times New Roman" w:hAnsi="Times New Roman"/>
                      <w:color w:val="auto"/>
                      <w:kern w:val="0"/>
                      <w:szCs w:val="21"/>
                    </w:rPr>
                  </w:pPr>
                  <w:r>
                    <w:rPr>
                      <w:rFonts w:hint="eastAsia" w:ascii="Times New Roman" w:hAnsi="Times New Roman"/>
                      <w:color w:val="auto"/>
                      <w:kern w:val="0"/>
                      <w:szCs w:val="21"/>
                    </w:rPr>
                    <w:t>三层</w:t>
                  </w:r>
                </w:p>
              </w:tc>
              <w:tc>
                <w:tcPr>
                  <w:tcW w:w="569" w:type="pct"/>
                  <w:vMerge w:val="continue"/>
                  <w:tcBorders>
                    <w:tl2br w:val="nil"/>
                    <w:tr2bl w:val="nil"/>
                  </w:tcBorders>
                  <w:shd w:val="clear" w:color="auto" w:fill="auto"/>
                  <w:vAlign w:val="center"/>
                </w:tcPr>
                <w:p w14:paraId="08920FBE">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667295C2">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5"/>
                      <w:sz w:val="21"/>
                      <w:szCs w:val="21"/>
                    </w:rPr>
                    <w:t>昼间</w:t>
                  </w:r>
                </w:p>
              </w:tc>
              <w:tc>
                <w:tcPr>
                  <w:tcW w:w="403" w:type="pct"/>
                  <w:tcBorders>
                    <w:tl2br w:val="nil"/>
                    <w:tr2bl w:val="nil"/>
                  </w:tcBorders>
                  <w:shd w:val="clear" w:color="auto" w:fill="auto"/>
                  <w:vAlign w:val="center"/>
                </w:tcPr>
                <w:p w14:paraId="54E813FC">
                  <w:pPr>
                    <w:widowControl/>
                    <w:kinsoku w:val="0"/>
                    <w:autoSpaceDE w:val="0"/>
                    <w:autoSpaceDN w:val="0"/>
                    <w:adjustRightInd w:val="0"/>
                    <w:snapToGrid w:val="0"/>
                    <w:jc w:val="center"/>
                    <w:textAlignment w:val="baseline"/>
                    <w:rPr>
                      <w:rFonts w:ascii="Times New Roman" w:hAnsi="Times New Roman"/>
                      <w:color w:val="auto"/>
                      <w:szCs w:val="21"/>
                    </w:rPr>
                  </w:pPr>
                  <w:r>
                    <w:rPr>
                      <w:rFonts w:hint="eastAsia" w:ascii="Times New Roman" w:hAnsi="Times New Roman"/>
                      <w:color w:val="auto"/>
                      <w:szCs w:val="21"/>
                    </w:rPr>
                    <w:t>42</w:t>
                  </w:r>
                </w:p>
              </w:tc>
              <w:tc>
                <w:tcPr>
                  <w:tcW w:w="410" w:type="pct"/>
                  <w:tcBorders>
                    <w:tl2br w:val="nil"/>
                    <w:tr2bl w:val="nil"/>
                  </w:tcBorders>
                  <w:shd w:val="clear" w:color="auto" w:fill="auto"/>
                  <w:vAlign w:val="center"/>
                </w:tcPr>
                <w:p w14:paraId="66538296">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44</w:t>
                  </w:r>
                </w:p>
              </w:tc>
              <w:tc>
                <w:tcPr>
                  <w:tcW w:w="762" w:type="dxa"/>
                  <w:tcBorders>
                    <w:tl2br w:val="nil"/>
                    <w:tr2bl w:val="nil"/>
                  </w:tcBorders>
                  <w:shd w:val="clear" w:color="auto" w:fill="auto"/>
                  <w:vAlign w:val="center"/>
                </w:tcPr>
                <w:p w14:paraId="2CC59EBE">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46.1</w:t>
                  </w:r>
                </w:p>
              </w:tc>
              <w:tc>
                <w:tcPr>
                  <w:tcW w:w="426" w:type="pct"/>
                  <w:tcBorders>
                    <w:tl2br w:val="nil"/>
                    <w:tr2bl w:val="nil"/>
                  </w:tcBorders>
                  <w:shd w:val="clear" w:color="auto" w:fill="auto"/>
                  <w:vAlign w:val="center"/>
                </w:tcPr>
                <w:p w14:paraId="3467A83B">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55</w:t>
                  </w:r>
                </w:p>
              </w:tc>
              <w:tc>
                <w:tcPr>
                  <w:tcW w:w="343" w:type="pct"/>
                  <w:tcBorders>
                    <w:tl2br w:val="nil"/>
                    <w:tr2bl w:val="nil"/>
                  </w:tcBorders>
                  <w:shd w:val="clear" w:color="auto" w:fill="auto"/>
                  <w:vAlign w:val="center"/>
                </w:tcPr>
                <w:p w14:paraId="07ADA4AC">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2B9307AB">
                  <w:pPr>
                    <w:adjustRightInd w:val="0"/>
                    <w:snapToGrid w:val="0"/>
                    <w:spacing w:line="360" w:lineRule="exact"/>
                    <w:jc w:val="center"/>
                    <w:rPr>
                      <w:rFonts w:ascii="Times New Roman" w:hAnsi="Times New Roman"/>
                      <w:color w:val="auto"/>
                      <w:spacing w:val="3"/>
                      <w:szCs w:val="21"/>
                    </w:rPr>
                  </w:pPr>
                </w:p>
              </w:tc>
            </w:tr>
            <w:tr w14:paraId="6B8575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15" w:type="pct"/>
                  <w:vMerge w:val="continue"/>
                  <w:tcBorders>
                    <w:tl2br w:val="nil"/>
                    <w:tr2bl w:val="nil"/>
                  </w:tcBorders>
                  <w:shd w:val="clear" w:color="auto" w:fill="auto"/>
                  <w:vAlign w:val="center"/>
                </w:tcPr>
                <w:p w14:paraId="27086235">
                  <w:pPr>
                    <w:adjustRightInd w:val="0"/>
                    <w:snapToGrid w:val="0"/>
                    <w:spacing w:line="360" w:lineRule="exact"/>
                    <w:jc w:val="center"/>
                    <w:rPr>
                      <w:rFonts w:ascii="Times New Roman" w:hAnsi="Times New Roman"/>
                      <w:color w:val="auto"/>
                      <w:szCs w:val="21"/>
                    </w:rPr>
                  </w:pPr>
                </w:p>
              </w:tc>
              <w:tc>
                <w:tcPr>
                  <w:tcW w:w="131" w:type="pct"/>
                  <w:vMerge w:val="continue"/>
                  <w:tcBorders>
                    <w:tl2br w:val="nil"/>
                    <w:tr2bl w:val="nil"/>
                  </w:tcBorders>
                  <w:shd w:val="clear" w:color="auto" w:fill="auto"/>
                  <w:vAlign w:val="center"/>
                </w:tcPr>
                <w:p w14:paraId="07AC6060">
                  <w:pPr>
                    <w:adjustRightInd w:val="0"/>
                    <w:snapToGrid w:val="0"/>
                    <w:spacing w:line="360" w:lineRule="exact"/>
                    <w:jc w:val="center"/>
                    <w:rPr>
                      <w:rFonts w:ascii="Times New Roman" w:hAnsi="Times New Roman"/>
                      <w:color w:val="auto"/>
                      <w:szCs w:val="21"/>
                    </w:rPr>
                  </w:pPr>
                </w:p>
              </w:tc>
              <w:tc>
                <w:tcPr>
                  <w:tcW w:w="290" w:type="pct"/>
                  <w:vMerge w:val="continue"/>
                  <w:tcBorders>
                    <w:tl2br w:val="nil"/>
                    <w:tr2bl w:val="nil"/>
                  </w:tcBorders>
                  <w:shd w:val="clear" w:color="auto" w:fill="auto"/>
                  <w:vAlign w:val="center"/>
                </w:tcPr>
                <w:p w14:paraId="7AFA0389">
                  <w:pPr>
                    <w:adjustRightInd w:val="0"/>
                    <w:snapToGrid w:val="0"/>
                    <w:spacing w:line="360" w:lineRule="exact"/>
                    <w:jc w:val="center"/>
                    <w:rPr>
                      <w:rFonts w:ascii="Times New Roman" w:hAnsi="Times New Roman"/>
                      <w:color w:val="auto"/>
                      <w:szCs w:val="21"/>
                    </w:rPr>
                  </w:pPr>
                </w:p>
              </w:tc>
              <w:tc>
                <w:tcPr>
                  <w:tcW w:w="293" w:type="pct"/>
                  <w:vMerge w:val="continue"/>
                  <w:tcBorders>
                    <w:tl2br w:val="nil"/>
                    <w:tr2bl w:val="nil"/>
                  </w:tcBorders>
                  <w:shd w:val="clear" w:color="auto" w:fill="auto"/>
                  <w:vAlign w:val="center"/>
                </w:tcPr>
                <w:p w14:paraId="6466959B">
                  <w:pPr>
                    <w:adjustRightInd w:val="0"/>
                    <w:snapToGrid w:val="0"/>
                    <w:spacing w:line="360" w:lineRule="exact"/>
                    <w:jc w:val="center"/>
                    <w:rPr>
                      <w:rFonts w:ascii="Times New Roman" w:hAnsi="Times New Roman"/>
                      <w:color w:val="auto"/>
                      <w:kern w:val="0"/>
                      <w:szCs w:val="21"/>
                    </w:rPr>
                  </w:pPr>
                </w:p>
              </w:tc>
              <w:tc>
                <w:tcPr>
                  <w:tcW w:w="251" w:type="pct"/>
                  <w:vMerge w:val="continue"/>
                  <w:tcBorders>
                    <w:tl2br w:val="nil"/>
                    <w:tr2bl w:val="nil"/>
                  </w:tcBorders>
                  <w:shd w:val="clear" w:color="auto" w:fill="auto"/>
                  <w:vAlign w:val="center"/>
                </w:tcPr>
                <w:p w14:paraId="4E863872">
                  <w:pPr>
                    <w:adjustRightInd w:val="0"/>
                    <w:snapToGrid w:val="0"/>
                    <w:spacing w:line="360" w:lineRule="exact"/>
                    <w:jc w:val="center"/>
                    <w:rPr>
                      <w:rFonts w:ascii="Times New Roman" w:hAnsi="Times New Roman"/>
                      <w:color w:val="auto"/>
                      <w:kern w:val="0"/>
                      <w:szCs w:val="21"/>
                    </w:rPr>
                  </w:pPr>
                </w:p>
              </w:tc>
              <w:tc>
                <w:tcPr>
                  <w:tcW w:w="251" w:type="pct"/>
                  <w:vMerge w:val="continue"/>
                  <w:tcBorders>
                    <w:tl2br w:val="nil"/>
                    <w:tr2bl w:val="nil"/>
                  </w:tcBorders>
                  <w:shd w:val="clear" w:color="auto" w:fill="auto"/>
                  <w:vAlign w:val="center"/>
                </w:tcPr>
                <w:p w14:paraId="0E303ECA">
                  <w:pPr>
                    <w:adjustRightInd w:val="0"/>
                    <w:snapToGrid w:val="0"/>
                    <w:spacing w:line="360" w:lineRule="exact"/>
                    <w:jc w:val="center"/>
                    <w:rPr>
                      <w:rFonts w:ascii="Times New Roman" w:hAnsi="Times New Roman"/>
                      <w:color w:val="auto"/>
                      <w:kern w:val="0"/>
                      <w:szCs w:val="21"/>
                    </w:rPr>
                  </w:pPr>
                </w:p>
              </w:tc>
              <w:tc>
                <w:tcPr>
                  <w:tcW w:w="569" w:type="pct"/>
                  <w:vMerge w:val="continue"/>
                  <w:tcBorders>
                    <w:tl2br w:val="nil"/>
                    <w:tr2bl w:val="nil"/>
                  </w:tcBorders>
                  <w:shd w:val="clear" w:color="auto" w:fill="auto"/>
                  <w:vAlign w:val="center"/>
                </w:tcPr>
                <w:p w14:paraId="6BE588E6">
                  <w:pPr>
                    <w:adjustRightInd w:val="0"/>
                    <w:snapToGrid w:val="0"/>
                    <w:spacing w:line="360" w:lineRule="exact"/>
                    <w:jc w:val="center"/>
                    <w:rPr>
                      <w:rFonts w:ascii="Times New Roman" w:hAnsi="Times New Roman"/>
                      <w:color w:val="auto"/>
                      <w:szCs w:val="21"/>
                    </w:rPr>
                  </w:pPr>
                </w:p>
              </w:tc>
              <w:tc>
                <w:tcPr>
                  <w:tcW w:w="382" w:type="pct"/>
                  <w:tcBorders>
                    <w:tl2br w:val="nil"/>
                    <w:tr2bl w:val="nil"/>
                  </w:tcBorders>
                  <w:shd w:val="clear" w:color="auto" w:fill="auto"/>
                  <w:vAlign w:val="center"/>
                </w:tcPr>
                <w:p w14:paraId="5FC1BE43">
                  <w:pPr>
                    <w:pStyle w:val="74"/>
                    <w:adjustRightInd w:val="0"/>
                    <w:snapToGrid w:val="0"/>
                    <w:spacing w:line="360" w:lineRule="exact"/>
                    <w:jc w:val="center"/>
                    <w:rPr>
                      <w:rFonts w:ascii="Times New Roman" w:hAnsi="Times New Roman" w:cs="Times New Roman"/>
                      <w:color w:val="auto"/>
                      <w:spacing w:val="3"/>
                      <w:sz w:val="21"/>
                      <w:szCs w:val="21"/>
                    </w:rPr>
                  </w:pPr>
                  <w:r>
                    <w:rPr>
                      <w:rFonts w:ascii="Times New Roman" w:hAnsi="Times New Roman" w:cs="Times New Roman"/>
                      <w:color w:val="auto"/>
                      <w:spacing w:val="3"/>
                      <w:sz w:val="21"/>
                      <w:szCs w:val="21"/>
                    </w:rPr>
                    <w:t>夜间</w:t>
                  </w:r>
                </w:p>
              </w:tc>
              <w:tc>
                <w:tcPr>
                  <w:tcW w:w="403" w:type="pct"/>
                  <w:tcBorders>
                    <w:tl2br w:val="nil"/>
                    <w:tr2bl w:val="nil"/>
                  </w:tcBorders>
                  <w:shd w:val="clear" w:color="auto" w:fill="auto"/>
                  <w:vAlign w:val="center"/>
                </w:tcPr>
                <w:p w14:paraId="26AD00F5">
                  <w:pPr>
                    <w:widowControl/>
                    <w:kinsoku w:val="0"/>
                    <w:autoSpaceDE w:val="0"/>
                    <w:autoSpaceDN w:val="0"/>
                    <w:adjustRightInd w:val="0"/>
                    <w:snapToGrid w:val="0"/>
                    <w:jc w:val="center"/>
                    <w:textAlignment w:val="baseline"/>
                    <w:rPr>
                      <w:rFonts w:ascii="Times New Roman" w:hAnsi="Times New Roman"/>
                      <w:color w:val="auto"/>
                      <w:szCs w:val="21"/>
                    </w:rPr>
                  </w:pPr>
                  <w:r>
                    <w:rPr>
                      <w:rFonts w:hint="eastAsia" w:ascii="Times New Roman" w:hAnsi="Times New Roman"/>
                      <w:color w:val="auto"/>
                      <w:szCs w:val="21"/>
                    </w:rPr>
                    <w:t>39</w:t>
                  </w:r>
                </w:p>
              </w:tc>
              <w:tc>
                <w:tcPr>
                  <w:tcW w:w="410" w:type="pct"/>
                  <w:tcBorders>
                    <w:tl2br w:val="nil"/>
                    <w:tr2bl w:val="nil"/>
                  </w:tcBorders>
                  <w:shd w:val="clear" w:color="auto" w:fill="auto"/>
                  <w:vAlign w:val="center"/>
                </w:tcPr>
                <w:p w14:paraId="560A9111">
                  <w:pPr>
                    <w:widowControl/>
                    <w:kinsoku w:val="0"/>
                    <w:autoSpaceDE w:val="0"/>
                    <w:autoSpaceDN w:val="0"/>
                    <w:adjustRightInd w:val="0"/>
                    <w:snapToGrid w:val="0"/>
                    <w:jc w:val="center"/>
                    <w:textAlignment w:val="baseline"/>
                    <w:rPr>
                      <w:rFonts w:ascii="Times New Roman" w:hAnsi="Times New Roman"/>
                      <w:color w:val="auto"/>
                      <w:szCs w:val="21"/>
                    </w:rPr>
                  </w:pPr>
                  <w:r>
                    <w:rPr>
                      <w:rFonts w:ascii="Times New Roman" w:hAnsi="Times New Roman"/>
                      <w:color w:val="auto"/>
                      <w:szCs w:val="21"/>
                    </w:rPr>
                    <w:t>40</w:t>
                  </w:r>
                </w:p>
              </w:tc>
              <w:tc>
                <w:tcPr>
                  <w:tcW w:w="762" w:type="dxa"/>
                  <w:tcBorders>
                    <w:tl2br w:val="nil"/>
                    <w:tr2bl w:val="nil"/>
                  </w:tcBorders>
                  <w:shd w:val="clear" w:color="auto" w:fill="auto"/>
                  <w:vAlign w:val="center"/>
                </w:tcPr>
                <w:p w14:paraId="6E6C1FC0">
                  <w:pPr>
                    <w:adjustRightInd w:val="0"/>
                    <w:snapToGrid w:val="0"/>
                    <w:spacing w:line="360" w:lineRule="exact"/>
                    <w:jc w:val="center"/>
                    <w:rPr>
                      <w:rFonts w:ascii="Times New Roman" w:hAnsi="Times New Roman"/>
                      <w:color w:val="auto"/>
                      <w:szCs w:val="21"/>
                    </w:rPr>
                  </w:pPr>
                  <w:r>
                    <w:rPr>
                      <w:rFonts w:hint="eastAsia" w:ascii="Times New Roman" w:hAnsi="Times New Roman"/>
                      <w:color w:val="auto"/>
                      <w:szCs w:val="21"/>
                    </w:rPr>
                    <w:t>42.5</w:t>
                  </w:r>
                </w:p>
              </w:tc>
              <w:tc>
                <w:tcPr>
                  <w:tcW w:w="426" w:type="pct"/>
                  <w:tcBorders>
                    <w:tl2br w:val="nil"/>
                    <w:tr2bl w:val="nil"/>
                  </w:tcBorders>
                  <w:shd w:val="clear" w:color="auto" w:fill="auto"/>
                  <w:vAlign w:val="center"/>
                </w:tcPr>
                <w:p w14:paraId="450AFC24">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45</w:t>
                  </w:r>
                </w:p>
              </w:tc>
              <w:tc>
                <w:tcPr>
                  <w:tcW w:w="343" w:type="pct"/>
                  <w:tcBorders>
                    <w:tl2br w:val="nil"/>
                    <w:tr2bl w:val="nil"/>
                  </w:tcBorders>
                  <w:shd w:val="clear" w:color="auto" w:fill="auto"/>
                  <w:vAlign w:val="center"/>
                </w:tcPr>
                <w:p w14:paraId="5177C06D">
                  <w:pPr>
                    <w:adjustRightInd w:val="0"/>
                    <w:snapToGrid w:val="0"/>
                    <w:spacing w:line="360" w:lineRule="exact"/>
                    <w:jc w:val="center"/>
                    <w:rPr>
                      <w:rFonts w:ascii="Times New Roman" w:hAnsi="Times New Roman"/>
                      <w:color w:val="auto"/>
                      <w:szCs w:val="21"/>
                    </w:rPr>
                  </w:pPr>
                  <w:r>
                    <w:rPr>
                      <w:rFonts w:ascii="Times New Roman" w:hAnsi="Times New Roman"/>
                      <w:color w:val="auto"/>
                      <w:szCs w:val="21"/>
                    </w:rPr>
                    <w:t>达标</w:t>
                  </w:r>
                </w:p>
              </w:tc>
              <w:tc>
                <w:tcPr>
                  <w:tcW w:w="579" w:type="pct"/>
                  <w:vMerge w:val="continue"/>
                  <w:tcBorders>
                    <w:tl2br w:val="nil"/>
                    <w:tr2bl w:val="nil"/>
                  </w:tcBorders>
                  <w:shd w:val="clear" w:color="auto" w:fill="auto"/>
                  <w:vAlign w:val="center"/>
                </w:tcPr>
                <w:p w14:paraId="7A1DFD25">
                  <w:pPr>
                    <w:adjustRightInd w:val="0"/>
                    <w:snapToGrid w:val="0"/>
                    <w:spacing w:line="360" w:lineRule="exact"/>
                    <w:jc w:val="center"/>
                    <w:rPr>
                      <w:rFonts w:ascii="Times New Roman" w:hAnsi="Times New Roman"/>
                      <w:color w:val="auto"/>
                      <w:spacing w:val="3"/>
                      <w:szCs w:val="21"/>
                    </w:rPr>
                  </w:pPr>
                </w:p>
              </w:tc>
            </w:tr>
            <w:tr w14:paraId="10B29D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5000" w:type="pct"/>
                  <w:gridSpan w:val="14"/>
                  <w:tcBorders>
                    <w:tl2br w:val="nil"/>
                    <w:tr2bl w:val="nil"/>
                  </w:tcBorders>
                  <w:shd w:val="clear" w:color="auto" w:fill="auto"/>
                  <w:vAlign w:val="center"/>
                </w:tcPr>
                <w:p w14:paraId="7A00EDE0">
                  <w:pPr>
                    <w:adjustRightInd w:val="0"/>
                    <w:snapToGrid w:val="0"/>
                    <w:spacing w:line="360" w:lineRule="exact"/>
                    <w:jc w:val="left"/>
                    <w:rPr>
                      <w:rFonts w:ascii="Times New Roman" w:hAnsi="Times New Roman"/>
                      <w:b/>
                      <w:bCs/>
                      <w:color w:val="auto"/>
                      <w:spacing w:val="3"/>
                      <w:szCs w:val="21"/>
                    </w:rPr>
                  </w:pPr>
                  <w:r>
                    <w:rPr>
                      <w:rFonts w:ascii="Times New Roman" w:hAnsi="Times New Roman"/>
                      <w:b/>
                      <w:bCs/>
                      <w:color w:val="auto"/>
                      <w:spacing w:val="3"/>
                      <w:szCs w:val="21"/>
                    </w:rPr>
                    <w:t>备注：本次输电线路噪声贡献值采用类比单回路监测结果</w:t>
                  </w:r>
                  <w:r>
                    <w:rPr>
                      <w:rFonts w:hint="eastAsia" w:ascii="Times New Roman" w:hAnsi="Times New Roman"/>
                      <w:b/>
                      <w:bCs/>
                      <w:color w:val="auto"/>
                      <w:spacing w:val="3"/>
                      <w:szCs w:val="21"/>
                    </w:rPr>
                    <w:t>中对应断面距离处监测值，无对应值时取前后断面较大值</w:t>
                  </w:r>
                  <w:r>
                    <w:rPr>
                      <w:rFonts w:ascii="Times New Roman" w:hAnsi="Times New Roman"/>
                      <w:b/>
                      <w:bCs/>
                      <w:color w:val="auto"/>
                      <w:spacing w:val="3"/>
                      <w:szCs w:val="21"/>
                    </w:rPr>
                    <w:t>。</w:t>
                  </w:r>
                </w:p>
              </w:tc>
            </w:tr>
          </w:tbl>
          <w:p w14:paraId="2F5E1780">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根据预测结果，本项目线路建成后，线路周边国道停车区声环境敏感点噪声昼间预测值为57.1dB（A）之间，夜间预测值在45.6dB（A）之间，满足《声环境质量标准》（GB3096-2008）中4类标准限值要求；其余声环境敏感目标处的噪声水平能够维持现状，敏感点噪声昼间预测值在43.5dB（A）~49.8dB（A）之间，夜间预测值在40dB（A）~42.8dB（A）之间，能满足《声环境质量标准》（GB3096-2008）中1类标准限值要求。</w:t>
            </w:r>
          </w:p>
          <w:p w14:paraId="47B84D89">
            <w:pPr>
              <w:adjustRightInd w:val="0"/>
              <w:snapToGrid w:val="0"/>
              <w:spacing w:line="440" w:lineRule="exact"/>
              <w:ind w:firstLine="480" w:firstLineChars="200"/>
              <w:rPr>
                <w:rFonts w:ascii="Times New Roman" w:hAnsi="Times New Roman"/>
                <w:bCs/>
                <w:color w:val="auto"/>
                <w:sz w:val="24"/>
                <w:szCs w:val="24"/>
              </w:rPr>
            </w:pPr>
            <w:r>
              <w:rPr>
                <w:rFonts w:hint="eastAsia" w:ascii="Times New Roman" w:hAnsi="Times New Roman"/>
                <w:bCs/>
                <w:color w:val="auto"/>
                <w:sz w:val="24"/>
                <w:szCs w:val="24"/>
              </w:rPr>
              <w:t>本项目线路建成后对沿线环境保护目标的声环境贡献值影响很小。因此可以预测，本项目线路建成后，线路附近声环境敏感目标处的噪声水平能够维持现状，并能够满足《声环境质量标准》（GB3096-2008）中相应标准限值要求。</w:t>
            </w:r>
          </w:p>
          <w:p w14:paraId="048357EA">
            <w:pPr>
              <w:adjustRightInd w:val="0"/>
              <w:snapToGrid w:val="0"/>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4.2.2.3 声环境评价结论</w:t>
            </w:r>
          </w:p>
          <w:p w14:paraId="3DD06900">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根据类比预测结果分析，项目输电线路运营后，线下噪声满足《声环境质量标准》（GB3096-208）中相应标准限值要求。因此，项目的建设不会影响区域声环境功能。</w:t>
            </w:r>
          </w:p>
          <w:p w14:paraId="7F58F94A">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4.2.3</w:t>
            </w:r>
            <w:r>
              <w:rPr>
                <w:rFonts w:hint="eastAsia" w:ascii="Times New Roman" w:hAnsi="Times New Roman"/>
                <w:b/>
                <w:color w:val="auto"/>
                <w:sz w:val="24"/>
                <w:szCs w:val="24"/>
              </w:rPr>
              <w:t>地表</w:t>
            </w:r>
            <w:r>
              <w:rPr>
                <w:rFonts w:ascii="Times New Roman" w:hAnsi="Times New Roman"/>
                <w:b/>
                <w:color w:val="auto"/>
                <w:sz w:val="24"/>
                <w:szCs w:val="24"/>
              </w:rPr>
              <w:t>水环境影响</w:t>
            </w:r>
            <w:r>
              <w:rPr>
                <w:rFonts w:hint="eastAsia" w:ascii="Times New Roman" w:hAnsi="Times New Roman"/>
                <w:b/>
                <w:color w:val="auto"/>
                <w:sz w:val="24"/>
                <w:szCs w:val="24"/>
              </w:rPr>
              <w:t>分析</w:t>
            </w:r>
          </w:p>
          <w:p w14:paraId="1360995A">
            <w:pPr>
              <w:adjustRightInd w:val="0"/>
              <w:snapToGrid w:val="0"/>
              <w:spacing w:line="440" w:lineRule="exact"/>
              <w:ind w:firstLine="480" w:firstLineChars="200"/>
              <w:rPr>
                <w:color w:val="auto"/>
              </w:rPr>
            </w:pPr>
            <w:r>
              <w:rPr>
                <w:rFonts w:ascii="Times New Roman" w:hAnsi="Times New Roman"/>
                <w:color w:val="auto"/>
                <w:sz w:val="24"/>
                <w:szCs w:val="24"/>
              </w:rPr>
              <w:t>输电线路运行期间无废水产生，不会对附近水环境产生影响。</w:t>
            </w:r>
          </w:p>
          <w:p w14:paraId="7BE7C2C5">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4.2.4环境空气影响评价</w:t>
            </w:r>
          </w:p>
          <w:p w14:paraId="0527FEC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运行期间输电线路无废气排放，对周围环境空气不会造成影响。</w:t>
            </w:r>
          </w:p>
          <w:p w14:paraId="6A669C11">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4.2.5固体废物影响评价</w:t>
            </w:r>
          </w:p>
          <w:p w14:paraId="7D7E2EB5">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运营期产生的固体废弃物主</w:t>
            </w:r>
            <w:r>
              <w:rPr>
                <w:rFonts w:hint="eastAsia" w:ascii="Times New Roman" w:hAnsi="Times New Roman" w:cs="Times New Roman"/>
                <w:color w:val="auto"/>
                <w:sz w:val="24"/>
                <w:szCs w:val="24"/>
              </w:rPr>
              <w:t>要是</w:t>
            </w:r>
            <w:r>
              <w:rPr>
                <w:rFonts w:ascii="Times New Roman" w:hAnsi="Times New Roman" w:cs="Times New Roman"/>
                <w:color w:val="auto"/>
                <w:sz w:val="24"/>
                <w:szCs w:val="24"/>
              </w:rPr>
              <w:t>输电线路设备维修产生的废弃材料。</w:t>
            </w:r>
          </w:p>
          <w:p w14:paraId="6CD2E397">
            <w:pPr>
              <w:pStyle w:val="51"/>
              <w:adjustRightInd w:val="0"/>
              <w:snapToGrid w:val="0"/>
              <w:spacing w:line="440" w:lineRule="exact"/>
              <w:ind w:firstLine="476" w:firstLineChars="200"/>
              <w:jc w:val="both"/>
              <w:rPr>
                <w:rFonts w:ascii="Times New Roman" w:hAnsi="Times New Roman" w:cs="Times New Roman"/>
                <w:color w:val="auto"/>
                <w:sz w:val="24"/>
                <w:szCs w:val="24"/>
              </w:rPr>
            </w:pPr>
            <w:r>
              <w:rPr>
                <w:rFonts w:hint="eastAsia" w:ascii="Times New Roman" w:hAnsi="Times New Roman" w:cs="Times New Roman"/>
                <w:color w:val="auto"/>
                <w:spacing w:val="-1"/>
                <w:sz w:val="24"/>
                <w:szCs w:val="24"/>
              </w:rPr>
              <w:t>输电线路</w:t>
            </w:r>
            <w:r>
              <w:rPr>
                <w:rFonts w:ascii="Times New Roman" w:hAnsi="Times New Roman" w:cs="Times New Roman"/>
                <w:color w:val="auto"/>
                <w:spacing w:val="-1"/>
                <w:sz w:val="24"/>
                <w:szCs w:val="24"/>
              </w:rPr>
              <w:t>运行期间，将定期进行设备维修和更换，会产生一定量的电气设</w:t>
            </w:r>
            <w:r>
              <w:rPr>
                <w:rFonts w:ascii="Times New Roman" w:hAnsi="Times New Roman" w:cs="Times New Roman"/>
                <w:color w:val="auto"/>
                <w:spacing w:val="-9"/>
                <w:sz w:val="24"/>
                <w:szCs w:val="24"/>
              </w:rPr>
              <w:t>备零件</w:t>
            </w:r>
            <w:r>
              <w:rPr>
                <w:rFonts w:hint="eastAsia" w:ascii="Times New Roman" w:hAnsi="Times New Roman" w:cs="Times New Roman"/>
                <w:color w:val="auto"/>
                <w:spacing w:val="-9"/>
                <w:sz w:val="24"/>
                <w:szCs w:val="24"/>
              </w:rPr>
              <w:t>、绝缘子等金具</w:t>
            </w:r>
            <w:r>
              <w:rPr>
                <w:rFonts w:ascii="Times New Roman" w:hAnsi="Times New Roman" w:cs="Times New Roman"/>
                <w:color w:val="auto"/>
                <w:spacing w:val="-9"/>
                <w:sz w:val="24"/>
                <w:szCs w:val="24"/>
              </w:rPr>
              <w:t>等废旧材料，约</w:t>
            </w:r>
            <w:r>
              <w:rPr>
                <w:rFonts w:ascii="Times New Roman" w:hAnsi="Times New Roman" w:cs="Times New Roman"/>
                <w:color w:val="auto"/>
                <w:spacing w:val="-5"/>
                <w:sz w:val="24"/>
                <w:szCs w:val="24"/>
              </w:rPr>
              <w:t>0.</w:t>
            </w:r>
            <w:r>
              <w:rPr>
                <w:rFonts w:hint="eastAsia" w:ascii="Times New Roman" w:hAnsi="Times New Roman" w:cs="Times New Roman"/>
                <w:color w:val="auto"/>
                <w:spacing w:val="-5"/>
                <w:sz w:val="24"/>
                <w:szCs w:val="24"/>
              </w:rPr>
              <w:t>5</w:t>
            </w:r>
            <w:r>
              <w:rPr>
                <w:rFonts w:ascii="Times New Roman" w:hAnsi="Times New Roman" w:cs="Times New Roman"/>
                <w:color w:val="auto"/>
                <w:spacing w:val="-5"/>
                <w:sz w:val="24"/>
                <w:szCs w:val="24"/>
              </w:rPr>
              <w:t>t/a</w:t>
            </w:r>
            <w:r>
              <w:rPr>
                <w:rFonts w:ascii="Times New Roman" w:hAnsi="Times New Roman" w:cs="Times New Roman"/>
                <w:color w:val="auto"/>
                <w:spacing w:val="-9"/>
                <w:sz w:val="24"/>
                <w:szCs w:val="24"/>
              </w:rPr>
              <w:t>，主要是铁质、钢质</w:t>
            </w:r>
            <w:r>
              <w:rPr>
                <w:rFonts w:hint="eastAsia" w:ascii="Times New Roman" w:hAnsi="Times New Roman" w:cs="Times New Roman"/>
                <w:color w:val="auto"/>
                <w:spacing w:val="-9"/>
                <w:sz w:val="24"/>
                <w:szCs w:val="24"/>
              </w:rPr>
              <w:t>及绝缘材料</w:t>
            </w:r>
            <w:r>
              <w:rPr>
                <w:rFonts w:ascii="Times New Roman" w:hAnsi="Times New Roman" w:cs="Times New Roman"/>
                <w:color w:val="auto"/>
                <w:spacing w:val="-9"/>
                <w:sz w:val="24"/>
                <w:szCs w:val="24"/>
              </w:rPr>
              <w:t>的零部件，这些废弃物均可</w:t>
            </w:r>
            <w:r>
              <w:rPr>
                <w:rFonts w:ascii="Times New Roman" w:hAnsi="Times New Roman" w:cs="Times New Roman"/>
                <w:color w:val="auto"/>
                <w:sz w:val="24"/>
                <w:szCs w:val="24"/>
              </w:rPr>
              <w:t>回收，集中收集后外售给废旧资源回收中心回收利用。</w:t>
            </w:r>
          </w:p>
          <w:p w14:paraId="71721236">
            <w:pPr>
              <w:adjustRightInd w:val="0"/>
              <w:snapToGrid w:val="0"/>
              <w:jc w:val="center"/>
              <w:rPr>
                <w:rFonts w:ascii="Times New Roman" w:hAnsi="Times New Roman"/>
                <w:b/>
                <w:color w:val="auto"/>
                <w:sz w:val="24"/>
                <w:szCs w:val="24"/>
              </w:rPr>
            </w:pPr>
            <w:r>
              <w:rPr>
                <w:rFonts w:hint="eastAsia" w:ascii="Times New Roman" w:hAnsi="Times New Roman"/>
                <w:b/>
                <w:color w:val="auto"/>
                <w:sz w:val="24"/>
                <w:szCs w:val="24"/>
              </w:rPr>
              <w:t xml:space="preserve">表4-11  </w:t>
            </w:r>
            <w:r>
              <w:rPr>
                <w:rFonts w:ascii="Times New Roman" w:hAnsi="Times New Roman"/>
                <w:b/>
                <w:color w:val="auto"/>
                <w:sz w:val="24"/>
                <w:szCs w:val="24"/>
              </w:rPr>
              <w:t>项目固废产生及处置情况</w:t>
            </w:r>
          </w:p>
          <w:tbl>
            <w:tblPr>
              <w:tblStyle w:val="27"/>
              <w:tblW w:w="842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99"/>
              <w:gridCol w:w="1007"/>
              <w:gridCol w:w="955"/>
              <w:gridCol w:w="1152"/>
              <w:gridCol w:w="605"/>
              <w:gridCol w:w="1369"/>
              <w:gridCol w:w="1504"/>
              <w:gridCol w:w="1336"/>
            </w:tblGrid>
            <w:tr w14:paraId="327641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499" w:type="dxa"/>
                  <w:tcBorders>
                    <w:tl2br w:val="nil"/>
                    <w:tr2bl w:val="nil"/>
                  </w:tcBorders>
                  <w:shd w:val="clear" w:color="auto" w:fill="auto"/>
                  <w:vAlign w:val="center"/>
                </w:tcPr>
                <w:p w14:paraId="40319349">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1007" w:type="dxa"/>
                  <w:tcBorders>
                    <w:tl2br w:val="nil"/>
                    <w:tr2bl w:val="nil"/>
                  </w:tcBorders>
                  <w:shd w:val="clear" w:color="auto" w:fill="auto"/>
                  <w:vAlign w:val="center"/>
                </w:tcPr>
                <w:p w14:paraId="48EC2020">
                  <w:pPr>
                    <w:adjustRightInd w:val="0"/>
                    <w:snapToGrid w:val="0"/>
                    <w:jc w:val="center"/>
                    <w:rPr>
                      <w:rFonts w:ascii="Times New Roman" w:hAnsi="Times New Roman"/>
                      <w:b/>
                      <w:bCs/>
                      <w:color w:val="auto"/>
                      <w:szCs w:val="21"/>
                    </w:rPr>
                  </w:pPr>
                  <w:r>
                    <w:rPr>
                      <w:rFonts w:ascii="Times New Roman" w:hAnsi="Times New Roman"/>
                      <w:b/>
                      <w:bCs/>
                      <w:color w:val="auto"/>
                      <w:szCs w:val="21"/>
                    </w:rPr>
                    <w:t>固废名称</w:t>
                  </w:r>
                </w:p>
              </w:tc>
              <w:tc>
                <w:tcPr>
                  <w:tcW w:w="955" w:type="dxa"/>
                  <w:tcBorders>
                    <w:tl2br w:val="nil"/>
                    <w:tr2bl w:val="nil"/>
                  </w:tcBorders>
                  <w:shd w:val="clear" w:color="auto" w:fill="auto"/>
                  <w:vAlign w:val="center"/>
                </w:tcPr>
                <w:p w14:paraId="259945D7">
                  <w:pPr>
                    <w:adjustRightInd w:val="0"/>
                    <w:snapToGrid w:val="0"/>
                    <w:jc w:val="center"/>
                    <w:rPr>
                      <w:rFonts w:ascii="Times New Roman" w:hAnsi="Times New Roman"/>
                      <w:b/>
                      <w:bCs/>
                      <w:color w:val="auto"/>
                      <w:szCs w:val="21"/>
                    </w:rPr>
                  </w:pPr>
                  <w:r>
                    <w:rPr>
                      <w:rFonts w:ascii="Times New Roman" w:hAnsi="Times New Roman"/>
                      <w:b/>
                      <w:bCs/>
                      <w:color w:val="auto"/>
                      <w:szCs w:val="21"/>
                    </w:rPr>
                    <w:t>属性</w:t>
                  </w:r>
                </w:p>
              </w:tc>
              <w:tc>
                <w:tcPr>
                  <w:tcW w:w="1152" w:type="dxa"/>
                  <w:tcBorders>
                    <w:tl2br w:val="nil"/>
                    <w:tr2bl w:val="nil"/>
                  </w:tcBorders>
                  <w:shd w:val="clear" w:color="auto" w:fill="auto"/>
                  <w:vAlign w:val="center"/>
                </w:tcPr>
                <w:p w14:paraId="04191742">
                  <w:pPr>
                    <w:adjustRightInd w:val="0"/>
                    <w:snapToGrid w:val="0"/>
                    <w:jc w:val="center"/>
                    <w:rPr>
                      <w:rFonts w:ascii="Times New Roman" w:hAnsi="Times New Roman"/>
                      <w:b/>
                      <w:bCs/>
                      <w:color w:val="auto"/>
                      <w:szCs w:val="21"/>
                    </w:rPr>
                  </w:pPr>
                  <w:r>
                    <w:rPr>
                      <w:rFonts w:ascii="Times New Roman" w:hAnsi="Times New Roman"/>
                      <w:b/>
                      <w:bCs/>
                      <w:color w:val="auto"/>
                      <w:szCs w:val="21"/>
                    </w:rPr>
                    <w:t>产生工序</w:t>
                  </w:r>
                </w:p>
              </w:tc>
              <w:tc>
                <w:tcPr>
                  <w:tcW w:w="605" w:type="dxa"/>
                  <w:tcBorders>
                    <w:tl2br w:val="nil"/>
                    <w:tr2bl w:val="nil"/>
                  </w:tcBorders>
                  <w:shd w:val="clear" w:color="auto" w:fill="auto"/>
                  <w:vAlign w:val="center"/>
                </w:tcPr>
                <w:p w14:paraId="519E03C3">
                  <w:pPr>
                    <w:adjustRightInd w:val="0"/>
                    <w:snapToGrid w:val="0"/>
                    <w:jc w:val="center"/>
                    <w:rPr>
                      <w:rFonts w:ascii="Times New Roman" w:hAnsi="Times New Roman"/>
                      <w:b/>
                      <w:bCs/>
                      <w:color w:val="auto"/>
                      <w:szCs w:val="21"/>
                    </w:rPr>
                  </w:pPr>
                  <w:r>
                    <w:rPr>
                      <w:rFonts w:ascii="Times New Roman" w:hAnsi="Times New Roman"/>
                      <w:b/>
                      <w:bCs/>
                      <w:color w:val="auto"/>
                      <w:szCs w:val="21"/>
                    </w:rPr>
                    <w:t>形态</w:t>
                  </w:r>
                </w:p>
              </w:tc>
              <w:tc>
                <w:tcPr>
                  <w:tcW w:w="1369" w:type="dxa"/>
                  <w:tcBorders>
                    <w:tl2br w:val="nil"/>
                    <w:tr2bl w:val="nil"/>
                  </w:tcBorders>
                  <w:shd w:val="clear" w:color="auto" w:fill="auto"/>
                  <w:vAlign w:val="center"/>
                </w:tcPr>
                <w:p w14:paraId="36031FF0">
                  <w:pPr>
                    <w:adjustRightInd w:val="0"/>
                    <w:snapToGrid w:val="0"/>
                    <w:jc w:val="center"/>
                    <w:rPr>
                      <w:rFonts w:ascii="Times New Roman" w:hAnsi="Times New Roman"/>
                      <w:b/>
                      <w:bCs/>
                      <w:color w:val="auto"/>
                      <w:szCs w:val="21"/>
                    </w:rPr>
                  </w:pPr>
                  <w:r>
                    <w:rPr>
                      <w:rFonts w:ascii="Times New Roman" w:hAnsi="Times New Roman"/>
                      <w:b/>
                      <w:bCs/>
                      <w:color w:val="auto"/>
                      <w:szCs w:val="21"/>
                    </w:rPr>
                    <w:t>主要成分</w:t>
                  </w:r>
                </w:p>
              </w:tc>
              <w:tc>
                <w:tcPr>
                  <w:tcW w:w="1504" w:type="dxa"/>
                  <w:tcBorders>
                    <w:tl2br w:val="nil"/>
                    <w:tr2bl w:val="nil"/>
                  </w:tcBorders>
                  <w:shd w:val="clear" w:color="auto" w:fill="auto"/>
                  <w:vAlign w:val="center"/>
                </w:tcPr>
                <w:p w14:paraId="30ED1AB2">
                  <w:pPr>
                    <w:adjustRightInd w:val="0"/>
                    <w:snapToGrid w:val="0"/>
                    <w:jc w:val="center"/>
                    <w:rPr>
                      <w:rFonts w:ascii="Times New Roman" w:hAnsi="Times New Roman"/>
                      <w:b/>
                      <w:bCs/>
                      <w:color w:val="auto"/>
                      <w:szCs w:val="21"/>
                    </w:rPr>
                  </w:pPr>
                  <w:r>
                    <w:rPr>
                      <w:rFonts w:ascii="Times New Roman" w:hAnsi="Times New Roman"/>
                      <w:b/>
                      <w:bCs/>
                      <w:color w:val="auto"/>
                      <w:szCs w:val="21"/>
                    </w:rPr>
                    <w:t>估算产生量</w:t>
                  </w:r>
                </w:p>
              </w:tc>
              <w:tc>
                <w:tcPr>
                  <w:tcW w:w="1336" w:type="dxa"/>
                  <w:tcBorders>
                    <w:tl2br w:val="nil"/>
                    <w:tr2bl w:val="nil"/>
                  </w:tcBorders>
                  <w:shd w:val="clear" w:color="auto" w:fill="auto"/>
                  <w:vAlign w:val="center"/>
                </w:tcPr>
                <w:p w14:paraId="1325F6B5">
                  <w:pPr>
                    <w:adjustRightInd w:val="0"/>
                    <w:snapToGrid w:val="0"/>
                    <w:jc w:val="center"/>
                    <w:rPr>
                      <w:rFonts w:ascii="Times New Roman" w:hAnsi="Times New Roman"/>
                      <w:b/>
                      <w:bCs/>
                      <w:color w:val="auto"/>
                      <w:szCs w:val="21"/>
                    </w:rPr>
                  </w:pPr>
                  <w:r>
                    <w:rPr>
                      <w:rFonts w:ascii="Times New Roman" w:hAnsi="Times New Roman"/>
                      <w:b/>
                      <w:bCs/>
                      <w:color w:val="auto"/>
                      <w:szCs w:val="21"/>
                    </w:rPr>
                    <w:t>处置方式</w:t>
                  </w:r>
                </w:p>
              </w:tc>
            </w:tr>
            <w:tr w14:paraId="214695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499" w:type="dxa"/>
                  <w:tcBorders>
                    <w:tl2br w:val="nil"/>
                    <w:tr2bl w:val="nil"/>
                  </w:tcBorders>
                  <w:vAlign w:val="center"/>
                </w:tcPr>
                <w:p w14:paraId="7DC0F9C8">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1007" w:type="dxa"/>
                  <w:tcBorders>
                    <w:tl2br w:val="nil"/>
                    <w:tr2bl w:val="nil"/>
                  </w:tcBorders>
                  <w:vAlign w:val="center"/>
                </w:tcPr>
                <w:p w14:paraId="6F3B5940">
                  <w:pPr>
                    <w:adjustRightInd w:val="0"/>
                    <w:snapToGrid w:val="0"/>
                    <w:jc w:val="center"/>
                    <w:rPr>
                      <w:rFonts w:ascii="Times New Roman" w:hAnsi="Times New Roman"/>
                      <w:color w:val="auto"/>
                      <w:szCs w:val="21"/>
                    </w:rPr>
                  </w:pPr>
                  <w:r>
                    <w:rPr>
                      <w:rFonts w:ascii="Times New Roman" w:hAnsi="Times New Roman"/>
                      <w:color w:val="auto"/>
                      <w:szCs w:val="21"/>
                    </w:rPr>
                    <w:t>废旧材料</w:t>
                  </w:r>
                </w:p>
              </w:tc>
              <w:tc>
                <w:tcPr>
                  <w:tcW w:w="955" w:type="dxa"/>
                  <w:tcBorders>
                    <w:tl2br w:val="nil"/>
                    <w:tr2bl w:val="nil"/>
                  </w:tcBorders>
                  <w:vAlign w:val="center"/>
                </w:tcPr>
                <w:p w14:paraId="52DBE628">
                  <w:pPr>
                    <w:adjustRightInd w:val="0"/>
                    <w:snapToGrid w:val="0"/>
                    <w:jc w:val="center"/>
                    <w:rPr>
                      <w:rFonts w:ascii="Times New Roman" w:hAnsi="Times New Roman"/>
                      <w:color w:val="auto"/>
                      <w:szCs w:val="21"/>
                    </w:rPr>
                  </w:pPr>
                  <w:r>
                    <w:rPr>
                      <w:rFonts w:ascii="Times New Roman" w:hAnsi="Times New Roman"/>
                      <w:color w:val="auto"/>
                      <w:szCs w:val="21"/>
                    </w:rPr>
                    <w:t>一般固废</w:t>
                  </w:r>
                </w:p>
              </w:tc>
              <w:tc>
                <w:tcPr>
                  <w:tcW w:w="1152" w:type="dxa"/>
                  <w:tcBorders>
                    <w:tl2br w:val="nil"/>
                    <w:tr2bl w:val="nil"/>
                  </w:tcBorders>
                  <w:vAlign w:val="center"/>
                </w:tcPr>
                <w:p w14:paraId="59197AC0">
                  <w:pPr>
                    <w:adjustRightInd w:val="0"/>
                    <w:snapToGrid w:val="0"/>
                    <w:jc w:val="center"/>
                    <w:rPr>
                      <w:rFonts w:ascii="Times New Roman" w:hAnsi="Times New Roman"/>
                      <w:color w:val="auto"/>
                      <w:szCs w:val="21"/>
                    </w:rPr>
                  </w:pPr>
                  <w:r>
                    <w:rPr>
                      <w:rFonts w:ascii="Times New Roman" w:hAnsi="Times New Roman"/>
                      <w:color w:val="auto"/>
                      <w:szCs w:val="21"/>
                    </w:rPr>
                    <w:t>设备维修</w:t>
                  </w:r>
                </w:p>
              </w:tc>
              <w:tc>
                <w:tcPr>
                  <w:tcW w:w="605" w:type="dxa"/>
                  <w:tcBorders>
                    <w:tl2br w:val="nil"/>
                    <w:tr2bl w:val="nil"/>
                  </w:tcBorders>
                  <w:vAlign w:val="center"/>
                </w:tcPr>
                <w:p w14:paraId="4186F902">
                  <w:pPr>
                    <w:adjustRightInd w:val="0"/>
                    <w:snapToGrid w:val="0"/>
                    <w:jc w:val="center"/>
                    <w:rPr>
                      <w:rFonts w:ascii="Times New Roman" w:hAnsi="Times New Roman"/>
                      <w:color w:val="auto"/>
                      <w:szCs w:val="21"/>
                    </w:rPr>
                  </w:pPr>
                  <w:r>
                    <w:rPr>
                      <w:rFonts w:ascii="Times New Roman" w:hAnsi="Times New Roman"/>
                      <w:color w:val="auto"/>
                      <w:szCs w:val="21"/>
                    </w:rPr>
                    <w:t>固态</w:t>
                  </w:r>
                </w:p>
              </w:tc>
              <w:tc>
                <w:tcPr>
                  <w:tcW w:w="1369" w:type="dxa"/>
                  <w:tcBorders>
                    <w:tl2br w:val="nil"/>
                    <w:tr2bl w:val="nil"/>
                  </w:tcBorders>
                  <w:vAlign w:val="center"/>
                </w:tcPr>
                <w:p w14:paraId="720B92B9">
                  <w:pPr>
                    <w:adjustRightInd w:val="0"/>
                    <w:snapToGrid w:val="0"/>
                    <w:jc w:val="center"/>
                    <w:rPr>
                      <w:rFonts w:ascii="Times New Roman" w:hAnsi="Times New Roman"/>
                      <w:color w:val="auto"/>
                      <w:szCs w:val="21"/>
                    </w:rPr>
                  </w:pPr>
                  <w:r>
                    <w:rPr>
                      <w:rFonts w:ascii="Times New Roman" w:hAnsi="Times New Roman"/>
                      <w:color w:val="auto"/>
                      <w:szCs w:val="21"/>
                    </w:rPr>
                    <w:t>木质、金属等</w:t>
                  </w:r>
                </w:p>
              </w:tc>
              <w:tc>
                <w:tcPr>
                  <w:tcW w:w="1504" w:type="dxa"/>
                  <w:tcBorders>
                    <w:tl2br w:val="nil"/>
                    <w:tr2bl w:val="nil"/>
                  </w:tcBorders>
                  <w:vAlign w:val="center"/>
                </w:tcPr>
                <w:p w14:paraId="4108AA9C">
                  <w:pPr>
                    <w:adjustRightInd w:val="0"/>
                    <w:snapToGrid w:val="0"/>
                    <w:jc w:val="center"/>
                    <w:rPr>
                      <w:rFonts w:ascii="Times New Roman" w:hAnsi="Times New Roman"/>
                      <w:color w:val="auto"/>
                      <w:szCs w:val="21"/>
                    </w:rPr>
                  </w:pPr>
                  <w:r>
                    <w:rPr>
                      <w:rFonts w:ascii="Times New Roman" w:hAnsi="Times New Roman"/>
                      <w:color w:val="auto"/>
                      <w:szCs w:val="21"/>
                    </w:rPr>
                    <w:t>0.</w:t>
                  </w:r>
                  <w:r>
                    <w:rPr>
                      <w:rFonts w:hint="eastAsia" w:ascii="Times New Roman" w:hAnsi="Times New Roman"/>
                      <w:color w:val="auto"/>
                      <w:szCs w:val="21"/>
                    </w:rPr>
                    <w:t>5</w:t>
                  </w:r>
                  <w:r>
                    <w:rPr>
                      <w:rFonts w:ascii="Times New Roman" w:hAnsi="Times New Roman"/>
                      <w:color w:val="auto"/>
                      <w:szCs w:val="21"/>
                    </w:rPr>
                    <w:t>t/a</w:t>
                  </w:r>
                </w:p>
              </w:tc>
              <w:tc>
                <w:tcPr>
                  <w:tcW w:w="1336" w:type="dxa"/>
                  <w:tcBorders>
                    <w:tl2br w:val="nil"/>
                    <w:tr2bl w:val="nil"/>
                  </w:tcBorders>
                  <w:vAlign w:val="center"/>
                </w:tcPr>
                <w:p w14:paraId="0485EFA1">
                  <w:pPr>
                    <w:adjustRightInd w:val="0"/>
                    <w:snapToGrid w:val="0"/>
                    <w:jc w:val="center"/>
                    <w:rPr>
                      <w:rFonts w:ascii="Times New Roman" w:hAnsi="Times New Roman"/>
                      <w:color w:val="auto"/>
                      <w:szCs w:val="21"/>
                    </w:rPr>
                  </w:pPr>
                  <w:r>
                    <w:rPr>
                      <w:rFonts w:ascii="Times New Roman" w:hAnsi="Times New Roman"/>
                      <w:color w:val="auto"/>
                      <w:szCs w:val="21"/>
                    </w:rPr>
                    <w:t>回收利用</w:t>
                  </w:r>
                </w:p>
              </w:tc>
            </w:tr>
          </w:tbl>
          <w:p w14:paraId="2BE26189">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输电线路</w:t>
            </w:r>
            <w:r>
              <w:rPr>
                <w:rFonts w:ascii="Times New Roman" w:hAnsi="Times New Roman" w:cs="Times New Roman"/>
                <w:color w:val="auto"/>
                <w:sz w:val="24"/>
                <w:szCs w:val="24"/>
              </w:rPr>
              <w:t>运行期间，将定期进行设备维修和更换，会产生一定量的电气设备零件、绝缘子等金具等废旧材料，主要是铁质、钢质及绝缘材料的零部件，这些废弃物均可回收，集中收集后外售给废旧资源回收中心回收利用。</w:t>
            </w:r>
          </w:p>
          <w:p w14:paraId="26C49F49">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采取以上措施后，项目产生的固体废物均可得到妥善处置，不会对周围环境造成较大影响。</w:t>
            </w:r>
          </w:p>
          <w:p w14:paraId="601F772E">
            <w:pPr>
              <w:pStyle w:val="51"/>
              <w:adjustRightInd w:val="0"/>
              <w:snapToGrid w:val="0"/>
              <w:spacing w:line="440" w:lineRule="exact"/>
              <w:jc w:val="both"/>
              <w:rPr>
                <w:rFonts w:ascii="Times New Roman" w:hAnsi="Times New Roman" w:cs="Times New Roman"/>
                <w:b/>
                <w:color w:val="auto"/>
                <w:sz w:val="24"/>
                <w:szCs w:val="24"/>
              </w:rPr>
            </w:pPr>
            <w:r>
              <w:rPr>
                <w:rFonts w:ascii="Times New Roman" w:hAnsi="Times New Roman" w:cs="Times New Roman"/>
                <w:b/>
                <w:color w:val="auto"/>
                <w:sz w:val="24"/>
                <w:szCs w:val="24"/>
              </w:rPr>
              <w:t>4.2.</w:t>
            </w:r>
            <w:r>
              <w:rPr>
                <w:rFonts w:hint="eastAsia" w:ascii="Times New Roman" w:hAnsi="Times New Roman" w:cs="Times New Roman"/>
                <w:b/>
                <w:color w:val="auto"/>
                <w:sz w:val="24"/>
                <w:szCs w:val="24"/>
              </w:rPr>
              <w:t>6</w:t>
            </w:r>
            <w:r>
              <w:rPr>
                <w:rFonts w:ascii="Times New Roman" w:hAnsi="Times New Roman" w:cs="Times New Roman"/>
                <w:b/>
                <w:color w:val="auto"/>
                <w:sz w:val="24"/>
                <w:szCs w:val="24"/>
              </w:rPr>
              <w:t>生态影响分析</w:t>
            </w:r>
          </w:p>
          <w:p w14:paraId="322BFA60">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输变电项目在运行期内，对生态系统、动物及灌丛、草地植被等植物资源基本没有影响。</w:t>
            </w:r>
          </w:p>
          <w:p w14:paraId="5C310678">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（1）对</w:t>
            </w:r>
            <w:r>
              <w:rPr>
                <w:rFonts w:hint="eastAsia" w:ascii="Times New Roman" w:hAnsi="Times New Roman" w:cs="Times New Roman"/>
                <w:b/>
                <w:bCs/>
                <w:color w:val="auto"/>
                <w:sz w:val="24"/>
                <w:szCs w:val="24"/>
              </w:rPr>
              <w:t>陆生植被的</w:t>
            </w:r>
            <w:r>
              <w:rPr>
                <w:rFonts w:ascii="Times New Roman" w:hAnsi="Times New Roman" w:cs="Times New Roman"/>
                <w:b/>
                <w:bCs/>
                <w:color w:val="auto"/>
                <w:sz w:val="24"/>
                <w:szCs w:val="24"/>
              </w:rPr>
              <w:t>影响分析</w:t>
            </w:r>
          </w:p>
          <w:p w14:paraId="5FD22260">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永久占用的自然植被将永久改变土地利用性质，由林地转变为输电线路设施用地，临时占用的自然植被在竣工后将成为施工迹地，通过自然演替或者人工恢复，可以逐渐恢复成次生植被。施工迹地演替的次生植被类型质量将低于其对应的原生植被的质量。评价区项目竣工后，生态质量将比施工前下降。但由于项目占地面积很小，这种影响也较小。</w:t>
            </w:r>
          </w:p>
          <w:p w14:paraId="1B7DB596">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建设项目输电线路</w:t>
            </w:r>
            <w:r>
              <w:rPr>
                <w:rFonts w:hint="eastAsia" w:ascii="Times New Roman" w:hAnsi="Times New Roman" w:cs="Times New Roman"/>
                <w:color w:val="auto"/>
                <w:sz w:val="24"/>
                <w:szCs w:val="24"/>
              </w:rPr>
              <w:t>跨越</w:t>
            </w:r>
            <w:r>
              <w:rPr>
                <w:rFonts w:ascii="Times New Roman" w:hAnsi="Times New Roman" w:cs="Times New Roman"/>
                <w:color w:val="auto"/>
                <w:sz w:val="24"/>
                <w:szCs w:val="24"/>
              </w:rPr>
              <w:t>部分主要植被类型为云南松林</w:t>
            </w:r>
            <w:r>
              <w:rPr>
                <w:rFonts w:hint="eastAsia" w:ascii="Times New Roman" w:hAnsi="Times New Roman" w:cs="Times New Roman"/>
                <w:color w:val="auto"/>
                <w:sz w:val="24"/>
                <w:szCs w:val="24"/>
              </w:rPr>
              <w:t>、暖温性灌丛和耕地</w:t>
            </w:r>
            <w:r>
              <w:rPr>
                <w:rFonts w:ascii="Times New Roman" w:hAnsi="Times New Roman" w:cs="Times New Roman"/>
                <w:color w:val="auto"/>
                <w:sz w:val="24"/>
                <w:szCs w:val="24"/>
              </w:rPr>
              <w:t>，影响的主要为评价区乔木层，乔木层主要为云南松，最高高度</w:t>
            </w:r>
            <w:r>
              <w:rPr>
                <w:rFonts w:hint="eastAsia" w:ascii="Times New Roman" w:hAnsi="Times New Roman" w:cs="Times New Roman"/>
                <w:color w:val="auto"/>
                <w:sz w:val="24"/>
                <w:szCs w:val="24"/>
              </w:rPr>
              <w:t>约12</w:t>
            </w:r>
            <w:r>
              <w:rPr>
                <w:rFonts w:ascii="Times New Roman" w:hAnsi="Times New Roman" w:cs="Times New Roman"/>
                <w:color w:val="auto"/>
                <w:sz w:val="24"/>
                <w:szCs w:val="24"/>
              </w:rPr>
              <w:t>m。本项目塔基高度</w:t>
            </w:r>
            <w:r>
              <w:rPr>
                <w:rFonts w:hint="eastAsia" w:ascii="Times New Roman" w:hAnsi="Times New Roman" w:cs="Times New Roman"/>
                <w:color w:val="auto"/>
                <w:sz w:val="24"/>
                <w:szCs w:val="24"/>
              </w:rPr>
              <w:t>约</w:t>
            </w:r>
            <w:r>
              <w:rPr>
                <w:rFonts w:ascii="Times New Roman" w:hAnsi="Times New Roman" w:cs="Times New Roman"/>
                <w:color w:val="auto"/>
                <w:sz w:val="24"/>
                <w:szCs w:val="24"/>
              </w:rPr>
              <w:t>为</w:t>
            </w:r>
            <w:r>
              <w:rPr>
                <w:rFonts w:hint="eastAsia" w:ascii="Times New Roman" w:hAnsi="Times New Roman" w:cs="Times New Roman"/>
                <w:color w:val="auto"/>
                <w:sz w:val="24"/>
                <w:szCs w:val="24"/>
              </w:rPr>
              <w:t>24~48m</w:t>
            </w:r>
            <w:r>
              <w:rPr>
                <w:rFonts w:ascii="Times New Roman" w:hAnsi="Times New Roman" w:cs="Times New Roman"/>
                <w:color w:val="auto"/>
                <w:sz w:val="24"/>
                <w:szCs w:val="24"/>
              </w:rPr>
              <w:t>，</w:t>
            </w:r>
            <w:r>
              <w:rPr>
                <w:rFonts w:hint="eastAsia" w:ascii="Times New Roman" w:hAnsi="Times New Roman" w:cs="Times New Roman"/>
                <w:color w:val="auto"/>
                <w:sz w:val="24"/>
                <w:szCs w:val="24"/>
              </w:rPr>
              <w:t>跨越</w:t>
            </w:r>
            <w:r>
              <w:rPr>
                <w:rFonts w:ascii="Times New Roman" w:hAnsi="Times New Roman" w:cs="Times New Roman"/>
                <w:color w:val="auto"/>
                <w:sz w:val="24"/>
                <w:szCs w:val="24"/>
              </w:rPr>
              <w:t>自然植被的部分林冠高度矮，项目建设过程通过飞艇布线，建设阶段和运营初期均不需要砍伐通道，开挖仅为基塔地基开挖。运营后期，当输电线路下方林冠生长到2</w:t>
            </w:r>
            <w:r>
              <w:rPr>
                <w:rFonts w:hint="eastAsia" w:ascii="Times New Roman" w:hAnsi="Times New Roman" w:cs="Times New Roman"/>
                <w:color w:val="auto"/>
                <w:sz w:val="24"/>
                <w:szCs w:val="24"/>
              </w:rPr>
              <w:t>1</w:t>
            </w:r>
            <w:r>
              <w:rPr>
                <w:rFonts w:ascii="Times New Roman" w:hAnsi="Times New Roman" w:cs="Times New Roman"/>
                <w:color w:val="auto"/>
                <w:sz w:val="24"/>
                <w:szCs w:val="24"/>
              </w:rPr>
              <w:t>m以上高度时，必须对林冠进行修剪，但不砍伐通道，影响较小。</w:t>
            </w:r>
          </w:p>
          <w:p w14:paraId="40AC06DF">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w:t>
            </w:r>
            <w:r>
              <w:rPr>
                <w:rFonts w:hint="eastAsia" w:ascii="Times New Roman" w:hAnsi="Times New Roman" w:cs="Times New Roman"/>
                <w:b/>
                <w:bCs/>
                <w:color w:val="auto"/>
                <w:sz w:val="24"/>
                <w:szCs w:val="24"/>
              </w:rPr>
              <w:t>对陆生植物的影响分析</w:t>
            </w:r>
          </w:p>
          <w:p w14:paraId="22906883">
            <w:pPr>
              <w:autoSpaceDE w:val="0"/>
              <w:autoSpaceDN w:val="0"/>
              <w:adjustRightInd w:val="0"/>
              <w:snapToGrid w:val="0"/>
              <w:spacing w:line="440" w:lineRule="exact"/>
              <w:ind w:firstLine="480" w:firstLineChars="200"/>
              <w:rPr>
                <w:rFonts w:ascii="Times New Roman" w:hAnsi="Times New Roman"/>
                <w:color w:val="auto"/>
                <w:kern w:val="0"/>
                <w:sz w:val="24"/>
                <w:szCs w:val="24"/>
              </w:rPr>
            </w:pPr>
            <w:r>
              <w:rPr>
                <w:rFonts w:ascii="Times New Roman" w:hAnsi="Times New Roman"/>
                <w:color w:val="auto"/>
                <w:kern w:val="0"/>
                <w:sz w:val="24"/>
                <w:szCs w:val="24"/>
              </w:rPr>
              <w:t>输电线路运营期对评价区植物资源的直接</w:t>
            </w:r>
            <w:r>
              <w:rPr>
                <w:rFonts w:hint="eastAsia" w:ascii="Times New Roman" w:hAnsi="Times New Roman"/>
                <w:color w:val="auto"/>
                <w:kern w:val="0"/>
                <w:sz w:val="24"/>
                <w:szCs w:val="24"/>
              </w:rPr>
              <w:t>影响</w:t>
            </w:r>
            <w:r>
              <w:rPr>
                <w:rFonts w:ascii="Times New Roman" w:hAnsi="Times New Roman"/>
                <w:color w:val="auto"/>
                <w:kern w:val="0"/>
                <w:sz w:val="24"/>
                <w:szCs w:val="24"/>
              </w:rPr>
              <w:t>不大，可能造成的影响来自以下方面：</w:t>
            </w:r>
          </w:p>
          <w:p w14:paraId="190638B8">
            <w:pPr>
              <w:autoSpaceDE w:val="0"/>
              <w:autoSpaceDN w:val="0"/>
              <w:adjustRightInd w:val="0"/>
              <w:snapToGrid w:val="0"/>
              <w:spacing w:line="440" w:lineRule="exact"/>
              <w:ind w:firstLine="480" w:firstLineChars="200"/>
              <w:rPr>
                <w:rFonts w:ascii="Times New Roman" w:hAnsi="Times New Roman"/>
                <w:color w:val="auto"/>
                <w:kern w:val="0"/>
                <w:sz w:val="24"/>
                <w:szCs w:val="24"/>
              </w:rPr>
            </w:pPr>
            <w:r>
              <w:rPr>
                <w:rFonts w:ascii="Times New Roman" w:hAnsi="Times New Roman"/>
                <w:color w:val="auto"/>
                <w:kern w:val="0"/>
                <w:sz w:val="24"/>
                <w:szCs w:val="24"/>
              </w:rPr>
              <w:t>①巡护道路、巡护人员的进入，使许多原先行人不能进入的地区变得易于进入。</w:t>
            </w:r>
          </w:p>
          <w:p w14:paraId="1EBA972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②现场调查表明，评价区列入</w:t>
            </w:r>
            <w:r>
              <w:rPr>
                <w:rFonts w:hint="eastAsia" w:ascii="Times New Roman" w:hAnsi="Times New Roman"/>
                <w:color w:val="auto"/>
                <w:sz w:val="24"/>
                <w:szCs w:val="24"/>
                <w:lang w:val="en-US" w:eastAsia="zh-CN"/>
              </w:rPr>
              <w:t>生</w:t>
            </w:r>
            <w:bookmarkStart w:id="185" w:name="_GoBack"/>
            <w:bookmarkEnd w:id="185"/>
            <w:r>
              <w:rPr>
                <w:rFonts w:hint="eastAsia" w:ascii="Times New Roman" w:hAnsi="Times New Roman"/>
                <w:color w:val="auto"/>
                <w:sz w:val="24"/>
                <w:szCs w:val="24"/>
                <w:lang w:val="en-US" w:eastAsia="zh-CN"/>
              </w:rPr>
              <w:t>态环境部</w:t>
            </w:r>
            <w:r>
              <w:rPr>
                <w:rFonts w:ascii="Times New Roman" w:hAnsi="Times New Roman"/>
                <w:color w:val="auto"/>
                <w:sz w:val="24"/>
                <w:szCs w:val="24"/>
              </w:rPr>
              <w:t>公布的第一批（2003）和第二批（2010）外来入侵物种名单有紫茎泽兰</w:t>
            </w:r>
            <w:r>
              <w:rPr>
                <w:rFonts w:ascii="Times New Roman" w:hAnsi="Times New Roman"/>
                <w:i/>
                <w:iCs/>
                <w:color w:val="auto"/>
                <w:sz w:val="24"/>
                <w:szCs w:val="24"/>
              </w:rPr>
              <w:t>Ageratina adenophora</w:t>
            </w:r>
            <w:r>
              <w:rPr>
                <w:rFonts w:ascii="Times New Roman" w:hAnsi="Times New Roman"/>
                <w:color w:val="auto"/>
                <w:sz w:val="24"/>
                <w:szCs w:val="24"/>
              </w:rPr>
              <w:t>、</w:t>
            </w:r>
            <w:r>
              <w:rPr>
                <w:rFonts w:hint="eastAsia" w:ascii="Times New Roman" w:hAnsi="Times New Roman"/>
                <w:color w:val="auto"/>
                <w:sz w:val="24"/>
                <w:szCs w:val="24"/>
              </w:rPr>
              <w:t>白酒草</w:t>
            </w:r>
            <w:r>
              <w:rPr>
                <w:rFonts w:ascii="Times New Roman" w:hAnsi="Times New Roman"/>
                <w:i/>
                <w:iCs/>
                <w:color w:val="auto"/>
                <w:sz w:val="24"/>
                <w:szCs w:val="24"/>
              </w:rPr>
              <w:t>Eschenbachia japonica</w:t>
            </w:r>
            <w:r>
              <w:rPr>
                <w:rFonts w:ascii="Times New Roman" w:hAnsi="Times New Roman"/>
                <w:color w:val="auto"/>
                <w:sz w:val="24"/>
                <w:szCs w:val="24"/>
              </w:rPr>
              <w:t> </w:t>
            </w:r>
            <w:r>
              <w:rPr>
                <w:rFonts w:hint="eastAsia" w:ascii="Times New Roman" w:hAnsi="Times New Roman"/>
                <w:color w:val="auto"/>
                <w:sz w:val="24"/>
                <w:szCs w:val="24"/>
              </w:rPr>
              <w:t>、革命菜</w:t>
            </w:r>
            <w:r>
              <w:rPr>
                <w:rFonts w:ascii="Times New Roman" w:hAnsi="Times New Roman"/>
                <w:i/>
                <w:iCs/>
                <w:color w:val="auto"/>
                <w:sz w:val="24"/>
                <w:szCs w:val="24"/>
              </w:rPr>
              <w:t>Crassocephalum crepidioides</w:t>
            </w:r>
            <w:r>
              <w:rPr>
                <w:rFonts w:hint="eastAsia" w:ascii="Times New Roman" w:hAnsi="Times New Roman"/>
                <w:color w:val="auto"/>
                <w:sz w:val="24"/>
                <w:szCs w:val="24"/>
              </w:rPr>
              <w:t>、牛膝菊</w:t>
            </w:r>
            <w:r>
              <w:rPr>
                <w:rFonts w:ascii="Times New Roman" w:hAnsi="Times New Roman"/>
                <w:i/>
                <w:iCs/>
                <w:color w:val="auto"/>
                <w:sz w:val="24"/>
                <w:szCs w:val="24"/>
              </w:rPr>
              <w:t>Galinsoga parviflora</w:t>
            </w:r>
            <w:r>
              <w:rPr>
                <w:rFonts w:hint="eastAsia" w:ascii="Times New Roman" w:hAnsi="Times New Roman"/>
                <w:color w:val="auto"/>
                <w:sz w:val="24"/>
                <w:szCs w:val="24"/>
              </w:rPr>
              <w:t>、牛膝菊、</w:t>
            </w:r>
            <w:r>
              <w:rPr>
                <w:rFonts w:ascii="Times New Roman" w:hAnsi="Times New Roman"/>
                <w:color w:val="auto"/>
                <w:sz w:val="24"/>
                <w:szCs w:val="24"/>
              </w:rPr>
              <w:t>鬼针草</w:t>
            </w:r>
            <w:r>
              <w:rPr>
                <w:rFonts w:ascii="Times New Roman" w:hAnsi="Times New Roman"/>
                <w:i/>
                <w:iCs/>
                <w:color w:val="auto"/>
                <w:sz w:val="24"/>
                <w:szCs w:val="24"/>
              </w:rPr>
              <w:t>Biden spilosa</w:t>
            </w:r>
            <w:r>
              <w:rPr>
                <w:rFonts w:hint="eastAsia" w:ascii="Times New Roman" w:hAnsi="Times New Roman"/>
                <w:i w:val="0"/>
                <w:iCs w:val="0"/>
                <w:color w:val="auto"/>
                <w:sz w:val="24"/>
                <w:szCs w:val="24"/>
                <w:lang w:val="en-US" w:eastAsia="zh-CN"/>
              </w:rPr>
              <w:t>等</w:t>
            </w:r>
            <w:r>
              <w:rPr>
                <w:rFonts w:hint="eastAsia" w:ascii="Times New Roman" w:hAnsi="Times New Roman"/>
                <w:color w:val="auto"/>
                <w:sz w:val="24"/>
                <w:szCs w:val="24"/>
                <w:lang w:val="en-US" w:eastAsia="zh-CN"/>
              </w:rPr>
              <w:t>5</w:t>
            </w:r>
            <w:r>
              <w:rPr>
                <w:rFonts w:ascii="Times New Roman" w:hAnsi="Times New Roman"/>
                <w:color w:val="auto"/>
                <w:sz w:val="24"/>
                <w:szCs w:val="24"/>
              </w:rPr>
              <w:t>种。在评价区内分布均较多，均生于开阔、空旷、森林郁闭度显著降低、人畜干扰活动频繁的区域。</w:t>
            </w:r>
          </w:p>
          <w:p w14:paraId="77448DE0">
            <w:pPr>
              <w:autoSpaceDE w:val="0"/>
              <w:autoSpaceDN w:val="0"/>
              <w:adjustRightInd w:val="0"/>
              <w:snapToGrid w:val="0"/>
              <w:spacing w:line="440" w:lineRule="exact"/>
              <w:ind w:firstLine="480" w:firstLineChars="200"/>
              <w:rPr>
                <w:rFonts w:ascii="Times New Roman" w:hAnsi="Times New Roman"/>
                <w:color w:val="auto"/>
                <w:kern w:val="0"/>
                <w:sz w:val="24"/>
                <w:szCs w:val="24"/>
              </w:rPr>
            </w:pPr>
            <w:r>
              <w:rPr>
                <w:rFonts w:ascii="Times New Roman" w:hAnsi="Times New Roman"/>
                <w:color w:val="auto"/>
                <w:kern w:val="0"/>
                <w:sz w:val="24"/>
                <w:szCs w:val="24"/>
              </w:rPr>
              <w:t>项目施工中及建成后的廊道效应可能会引起沿线现有外来物种的分布范围扩大，工程建设形成裸地，若不及时进行采用本地物种绿化，可能会造成局部区域外来物种侵入并逐步形成单一优势植物群落，进而对本地物种造成不利影响。同时，项目沿线区域主导生态功能为农产品提供，外来物种入侵会降低群落物种多样性，减缓群落正常演替的速度，对群落生态功能的持续增强和发挥产生一定不利影响。</w:t>
            </w:r>
          </w:p>
          <w:p w14:paraId="1C03AFC1">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应采取针对性措施预防因项目建设引起外来物种明显扩大分布范围，进一步加重生物入侵，特别是经过保护植物集中分布区和重点公益林线路段应重点</w:t>
            </w:r>
            <w:r>
              <w:rPr>
                <w:rFonts w:hint="eastAsia" w:ascii="Times New Roman" w:hAnsi="Times New Roman" w:cs="Times New Roman"/>
                <w:color w:val="auto"/>
                <w:sz w:val="24"/>
                <w:szCs w:val="24"/>
              </w:rPr>
              <w:t>加大</w:t>
            </w:r>
            <w:r>
              <w:rPr>
                <w:rFonts w:ascii="Times New Roman" w:hAnsi="Times New Roman" w:cs="Times New Roman"/>
                <w:color w:val="auto"/>
                <w:sz w:val="24"/>
                <w:szCs w:val="24"/>
              </w:rPr>
              <w:t>预防工作力度。</w:t>
            </w:r>
          </w:p>
          <w:p w14:paraId="547A4FCF">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（3）对陆生脊椎动物影响</w:t>
            </w:r>
          </w:p>
          <w:p w14:paraId="7354AA1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工程运行对陆栖脊椎动物的影响主要体现在输电线路电场、磁场对鸟类迁徙的影响和碰撞影响和对栖息地连通性影响上。</w:t>
            </w:r>
          </w:p>
          <w:p w14:paraId="120E11C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输变电线路营运的噪声、电磁辐射会对鸟类造成潜在的威胁和影响，干扰鸟类的生殖活动和行为。但由于鸟类趋避能力较强，且工程输电线路电压等级较低，这种影响是较小的。</w:t>
            </w:r>
          </w:p>
          <w:p w14:paraId="40CD5FB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在鸟类迁徙途中，普通鸟类飞翔高度在400m以下，其中飞行高度较低的鸟类飞翔高度在参照物的上方70-80m之间。项目基塔</w:t>
            </w:r>
            <w:r>
              <w:rPr>
                <w:rFonts w:hint="eastAsia" w:ascii="Times New Roman" w:hAnsi="Times New Roman"/>
                <w:color w:val="auto"/>
                <w:sz w:val="24"/>
                <w:szCs w:val="24"/>
              </w:rPr>
              <w:t>高度约</w:t>
            </w:r>
            <w:r>
              <w:rPr>
                <w:rFonts w:ascii="Times New Roman" w:hAnsi="Times New Roman"/>
                <w:color w:val="auto"/>
                <w:sz w:val="24"/>
                <w:szCs w:val="24"/>
              </w:rPr>
              <w:t>为</w:t>
            </w:r>
            <w:r>
              <w:rPr>
                <w:rFonts w:hint="eastAsia" w:ascii="Times New Roman" w:hAnsi="Times New Roman"/>
                <w:color w:val="auto"/>
                <w:sz w:val="24"/>
                <w:szCs w:val="24"/>
              </w:rPr>
              <w:t>24~48</w:t>
            </w:r>
            <w:r>
              <w:rPr>
                <w:rFonts w:ascii="Times New Roman" w:hAnsi="Times New Roman"/>
                <w:color w:val="auto"/>
                <w:sz w:val="24"/>
                <w:szCs w:val="24"/>
              </w:rPr>
              <w:t>m</w:t>
            </w:r>
            <w:r>
              <w:rPr>
                <w:rFonts w:hint="eastAsia" w:ascii="Times New Roman" w:hAnsi="Times New Roman"/>
                <w:color w:val="auto"/>
                <w:sz w:val="24"/>
                <w:szCs w:val="24"/>
              </w:rPr>
              <w:t>，</w:t>
            </w:r>
            <w:r>
              <w:rPr>
                <w:rFonts w:ascii="Times New Roman" w:hAnsi="Times New Roman"/>
                <w:color w:val="auto"/>
                <w:sz w:val="24"/>
                <w:szCs w:val="24"/>
              </w:rPr>
              <w:t>低于鸟类迁徙飞行的高度，在空间上不会阻挡鸟类的飞翔进程。且根据云南省鸟类迁徙路线，迁飞高度均在2000m以上，项目海拔较低对其影响很小。但由于鸟类觅食等活动频繁，输电线路的建设仍然会增加鸟类的死亡率。</w:t>
            </w:r>
          </w:p>
          <w:p w14:paraId="21DD56C2">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出于线路安全考虑，根据《110</w:t>
            </w:r>
            <w:r>
              <w:rPr>
                <w:rFonts w:hint="eastAsia" w:ascii="Times New Roman" w:hAnsi="Times New Roman" w:cs="Times New Roman"/>
                <w:color w:val="auto"/>
                <w:sz w:val="24"/>
                <w:szCs w:val="24"/>
              </w:rPr>
              <w:t>kV</w:t>
            </w:r>
            <w:r>
              <w:rPr>
                <w:rFonts w:ascii="Times New Roman" w:hAnsi="Times New Roman" w:cs="Times New Roman"/>
                <w:color w:val="auto"/>
                <w:sz w:val="24"/>
                <w:szCs w:val="24"/>
              </w:rPr>
              <w:t>～750</w:t>
            </w:r>
            <w:r>
              <w:rPr>
                <w:rFonts w:hint="eastAsia" w:ascii="Times New Roman" w:hAnsi="Times New Roman" w:cs="Times New Roman"/>
                <w:color w:val="auto"/>
                <w:sz w:val="24"/>
                <w:szCs w:val="24"/>
              </w:rPr>
              <w:t>kV</w:t>
            </w:r>
            <w:r>
              <w:rPr>
                <w:rFonts w:ascii="Times New Roman" w:hAnsi="Times New Roman" w:cs="Times New Roman"/>
                <w:color w:val="auto"/>
                <w:sz w:val="24"/>
                <w:szCs w:val="24"/>
              </w:rPr>
              <w:t>架空输电线路施工及验收规范》（GB50233-2014），本工程为220</w:t>
            </w:r>
            <w:r>
              <w:rPr>
                <w:rFonts w:hint="eastAsia" w:ascii="Times New Roman" w:hAnsi="Times New Roman" w:cs="Times New Roman"/>
                <w:color w:val="auto"/>
                <w:sz w:val="24"/>
                <w:szCs w:val="24"/>
              </w:rPr>
              <w:t>kV</w:t>
            </w:r>
            <w:r>
              <w:rPr>
                <w:rFonts w:ascii="Times New Roman" w:hAnsi="Times New Roman" w:cs="Times New Roman"/>
                <w:color w:val="auto"/>
                <w:sz w:val="24"/>
                <w:szCs w:val="24"/>
              </w:rPr>
              <w:t>线路，在最大计算风偏情况下，输电线路导线与树木之间的最小净空垂直距离不小于4.5m，导线状态为40°弧垂。本项目基塔</w:t>
            </w:r>
            <w:r>
              <w:rPr>
                <w:rFonts w:hint="eastAsia" w:ascii="Times New Roman" w:hAnsi="Times New Roman" w:cs="Times New Roman"/>
                <w:color w:val="auto"/>
                <w:sz w:val="24"/>
                <w:szCs w:val="24"/>
              </w:rPr>
              <w:t>高度约</w:t>
            </w:r>
            <w:r>
              <w:rPr>
                <w:rFonts w:ascii="Times New Roman" w:hAnsi="Times New Roman" w:cs="Times New Roman"/>
                <w:color w:val="auto"/>
                <w:sz w:val="24"/>
                <w:szCs w:val="24"/>
              </w:rPr>
              <w:t>为</w:t>
            </w:r>
            <w:r>
              <w:rPr>
                <w:rFonts w:hint="eastAsia" w:ascii="Times New Roman" w:hAnsi="Times New Roman" w:cs="Times New Roman"/>
                <w:color w:val="auto"/>
                <w:sz w:val="24"/>
                <w:szCs w:val="24"/>
              </w:rPr>
              <w:t>24~48m</w:t>
            </w:r>
            <w:r>
              <w:rPr>
                <w:rFonts w:ascii="Times New Roman" w:hAnsi="Times New Roman" w:cs="Times New Roman"/>
                <w:color w:val="auto"/>
                <w:sz w:val="24"/>
                <w:szCs w:val="24"/>
              </w:rPr>
              <w:t>，</w:t>
            </w:r>
            <w:r>
              <w:rPr>
                <w:rFonts w:hint="eastAsia" w:ascii="Times New Roman" w:hAnsi="Times New Roman" w:cs="Times New Roman"/>
                <w:color w:val="auto"/>
                <w:sz w:val="24"/>
                <w:szCs w:val="24"/>
              </w:rPr>
              <w:t>跨越</w:t>
            </w:r>
            <w:r>
              <w:rPr>
                <w:rFonts w:ascii="Times New Roman" w:hAnsi="Times New Roman" w:cs="Times New Roman"/>
                <w:color w:val="auto"/>
                <w:sz w:val="24"/>
                <w:szCs w:val="24"/>
              </w:rPr>
              <w:t>自然植被部分植被林冠最高高度10m，且</w:t>
            </w:r>
            <w:r>
              <w:rPr>
                <w:rFonts w:hint="eastAsia" w:ascii="Times New Roman" w:hAnsi="Times New Roman" w:cs="Times New Roman"/>
                <w:color w:val="auto"/>
                <w:sz w:val="24"/>
                <w:szCs w:val="24"/>
              </w:rPr>
              <w:t>跨越</w:t>
            </w:r>
            <w:r>
              <w:rPr>
                <w:rFonts w:ascii="Times New Roman" w:hAnsi="Times New Roman" w:cs="Times New Roman"/>
                <w:color w:val="auto"/>
                <w:sz w:val="24"/>
                <w:szCs w:val="24"/>
              </w:rPr>
              <w:t>自然植被的部分林冠高度矮，项目建设过程通过飞艇布线，建设阶段和运营初期均不需要砍伐通道，开挖仅为基塔地基开挖。运营后期，当输电线路下方林冠生长到2</w:t>
            </w:r>
            <w:r>
              <w:rPr>
                <w:rFonts w:hint="eastAsia" w:ascii="Times New Roman" w:hAnsi="Times New Roman" w:cs="Times New Roman"/>
                <w:color w:val="auto"/>
                <w:sz w:val="24"/>
                <w:szCs w:val="24"/>
              </w:rPr>
              <w:t>1</w:t>
            </w:r>
            <w:r>
              <w:rPr>
                <w:rFonts w:ascii="Times New Roman" w:hAnsi="Times New Roman" w:cs="Times New Roman"/>
                <w:color w:val="auto"/>
                <w:sz w:val="24"/>
                <w:szCs w:val="24"/>
              </w:rPr>
              <w:t>m以上高度时，必须对林冠进行修剪。同时工程虽然不需要砍伐隔离带和通道，但由于运营时线路产生电磁噪声，仍然会影响动物栖息地的连通性，对线路两侧的生物种群交流造成一定的影响，长此以往将降低评价区内种群遗传多样性；评价区由于生境偏干，两栖类分布数量很小，且两栖类动物活动范围较小，不需要广阔的觅食、繁殖区域，因此工程建设对两栖类生境连通性影响较小；评价区内爬行类动物主要为适应偏干生境的种类，爬行类活动范围较小，觅食、繁殖所需区域相对较小，且由于工程电压等级较低、线路高度远高于植被高度，不砍伐隔离带仅对超过安全距离的林冠进行修剪，因此对爬行类动物影响较小；评价区内分布的兽类需要广阔的觅食和繁殖区域，日常活动范围均较大，工程虽不砍伐隔离带，但受输电线路基塔开挖、线路噪声、电磁辐射等影响，线路建设仍会对兽类的生境进行分割，影响兽类栖息地的连通性。因此，输电线路对陆栖脊椎动物生境存在一定的分割，整体来说项目</w:t>
            </w:r>
            <w:r>
              <w:rPr>
                <w:rFonts w:hint="eastAsia" w:ascii="Times New Roman" w:hAnsi="Times New Roman" w:cs="Times New Roman"/>
                <w:color w:val="auto"/>
                <w:sz w:val="24"/>
                <w:szCs w:val="24"/>
              </w:rPr>
              <w:t>跨越</w:t>
            </w:r>
            <w:r>
              <w:rPr>
                <w:rFonts w:ascii="Times New Roman" w:hAnsi="Times New Roman" w:cs="Times New Roman"/>
                <w:color w:val="auto"/>
                <w:sz w:val="24"/>
                <w:szCs w:val="24"/>
              </w:rPr>
              <w:t>自然植被的长度较短，这种影响是可以接受的。</w:t>
            </w:r>
          </w:p>
          <w:p w14:paraId="43560633">
            <w:pPr>
              <w:pStyle w:val="51"/>
              <w:adjustRightInd w:val="0"/>
              <w:snapToGrid w:val="0"/>
              <w:spacing w:line="440" w:lineRule="exact"/>
              <w:jc w:val="both"/>
              <w:rPr>
                <w:rFonts w:ascii="Times New Roman" w:hAnsi="Times New Roman" w:cs="Times New Roman"/>
                <w:b/>
                <w:color w:val="auto"/>
                <w:sz w:val="24"/>
                <w:szCs w:val="24"/>
              </w:rPr>
            </w:pPr>
            <w:r>
              <w:rPr>
                <w:rFonts w:ascii="Times New Roman" w:hAnsi="Times New Roman" w:cs="Times New Roman"/>
                <w:b/>
                <w:color w:val="auto"/>
                <w:sz w:val="24"/>
                <w:szCs w:val="24"/>
              </w:rPr>
              <w:t>4.2.8环境风险分析</w:t>
            </w:r>
          </w:p>
          <w:p w14:paraId="6EFF557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本项目不属于工业生产类项目，</w:t>
            </w:r>
            <w:r>
              <w:rPr>
                <w:rFonts w:hint="eastAsia" w:ascii="Times New Roman" w:hAnsi="Times New Roman"/>
                <w:color w:val="auto"/>
                <w:spacing w:val="-1"/>
                <w:sz w:val="24"/>
                <w:szCs w:val="24"/>
              </w:rPr>
              <w:t>线路运营不产生危险废物。</w:t>
            </w:r>
            <w:r>
              <w:rPr>
                <w:rFonts w:hint="eastAsia" w:ascii="Times New Roman" w:hAnsi="Times New Roman"/>
                <w:color w:val="auto"/>
                <w:sz w:val="24"/>
                <w:szCs w:val="24"/>
              </w:rPr>
              <w:t>因此</w:t>
            </w:r>
            <w:r>
              <w:rPr>
                <w:rFonts w:ascii="Times New Roman" w:hAnsi="Times New Roman"/>
                <w:color w:val="auto"/>
                <w:sz w:val="24"/>
                <w:szCs w:val="24"/>
              </w:rPr>
              <w:t>，运营期在加强环境管理的情况下，</w:t>
            </w:r>
            <w:r>
              <w:rPr>
                <w:rFonts w:hint="eastAsia" w:ascii="Times New Roman" w:hAnsi="Times New Roman"/>
                <w:color w:val="auto"/>
                <w:sz w:val="24"/>
                <w:szCs w:val="24"/>
              </w:rPr>
              <w:t>本项目</w:t>
            </w:r>
            <w:r>
              <w:rPr>
                <w:rFonts w:ascii="Times New Roman" w:hAnsi="Times New Roman"/>
                <w:color w:val="auto"/>
                <w:sz w:val="24"/>
                <w:szCs w:val="24"/>
              </w:rPr>
              <w:t>发生环境风险的可能性较低，对周围环境影响不大，环境风险可控。</w:t>
            </w:r>
          </w:p>
          <w:p w14:paraId="547DF1F8">
            <w:pPr>
              <w:adjustRightInd w:val="0"/>
              <w:snapToGrid w:val="0"/>
              <w:spacing w:line="440" w:lineRule="exact"/>
              <w:ind w:firstLine="480" w:firstLineChars="200"/>
              <w:rPr>
                <w:rFonts w:ascii="Times New Roman" w:hAnsi="Times New Roman"/>
                <w:color w:val="auto"/>
              </w:rPr>
            </w:pPr>
            <w:r>
              <w:rPr>
                <w:rFonts w:ascii="Times New Roman" w:hAnsi="Times New Roman"/>
                <w:color w:val="auto"/>
                <w:sz w:val="24"/>
                <w:szCs w:val="24"/>
              </w:rPr>
              <w:t>综上，运营期在加强环境管理</w:t>
            </w:r>
            <w:r>
              <w:rPr>
                <w:rFonts w:hint="eastAsia" w:ascii="Times New Roman" w:hAnsi="Times New Roman"/>
                <w:color w:val="auto"/>
                <w:sz w:val="24"/>
                <w:szCs w:val="24"/>
              </w:rPr>
              <w:t>前提</w:t>
            </w:r>
            <w:r>
              <w:rPr>
                <w:rFonts w:ascii="Times New Roman" w:hAnsi="Times New Roman"/>
                <w:color w:val="auto"/>
                <w:sz w:val="24"/>
                <w:szCs w:val="24"/>
              </w:rPr>
              <w:t>下，发生环境风险的可能性较低，对周围环境影响不大，环境风险可控，项目产生的环境风险可接受。</w:t>
            </w:r>
          </w:p>
        </w:tc>
      </w:tr>
      <w:tr w14:paraId="1C77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dxa"/>
            <w:shd w:val="clear" w:color="auto" w:fill="auto"/>
            <w:vAlign w:val="center"/>
          </w:tcPr>
          <w:p w14:paraId="0CA50F95">
            <w:pPr>
              <w:jc w:val="center"/>
              <w:rPr>
                <w:rFonts w:ascii="Times New Roman" w:hAnsi="Times New Roman"/>
                <w:b/>
                <w:color w:val="auto"/>
                <w:sz w:val="24"/>
                <w:szCs w:val="24"/>
              </w:rPr>
            </w:pPr>
          </w:p>
          <w:p w14:paraId="33537A02">
            <w:pPr>
              <w:pStyle w:val="26"/>
              <w:rPr>
                <w:rFonts w:ascii="Times New Roman" w:hAnsi="Times New Roman"/>
                <w:b/>
                <w:color w:val="auto"/>
                <w:sz w:val="24"/>
                <w:szCs w:val="24"/>
              </w:rPr>
            </w:pPr>
          </w:p>
          <w:p w14:paraId="247C5F04">
            <w:pPr>
              <w:pStyle w:val="25"/>
              <w:ind w:firstLine="241"/>
              <w:rPr>
                <w:b/>
                <w:color w:val="auto"/>
                <w:sz w:val="24"/>
              </w:rPr>
            </w:pPr>
          </w:p>
          <w:p w14:paraId="5255F072">
            <w:pPr>
              <w:pStyle w:val="25"/>
              <w:ind w:firstLine="241"/>
              <w:rPr>
                <w:b/>
                <w:color w:val="auto"/>
                <w:sz w:val="24"/>
              </w:rPr>
            </w:pPr>
          </w:p>
          <w:p w14:paraId="45F63701">
            <w:pPr>
              <w:rPr>
                <w:rFonts w:ascii="Times New Roman" w:hAnsi="Times New Roman"/>
                <w:b/>
                <w:color w:val="auto"/>
                <w:sz w:val="24"/>
                <w:szCs w:val="24"/>
              </w:rPr>
            </w:pPr>
          </w:p>
          <w:p w14:paraId="11A9094B">
            <w:pPr>
              <w:pStyle w:val="26"/>
              <w:rPr>
                <w:color w:val="auto"/>
              </w:rPr>
            </w:pPr>
          </w:p>
          <w:p w14:paraId="1CD63340">
            <w:pPr>
              <w:jc w:val="center"/>
              <w:rPr>
                <w:rFonts w:ascii="Times New Roman" w:hAnsi="Times New Roman"/>
                <w:b/>
                <w:color w:val="auto"/>
                <w:sz w:val="24"/>
                <w:szCs w:val="24"/>
              </w:rPr>
            </w:pPr>
            <w:r>
              <w:rPr>
                <w:rFonts w:ascii="Times New Roman" w:hAnsi="Times New Roman"/>
                <w:b/>
                <w:color w:val="auto"/>
                <w:sz w:val="24"/>
                <w:szCs w:val="24"/>
              </w:rPr>
              <w:t>选址选线环境合理性分析</w:t>
            </w:r>
          </w:p>
          <w:p w14:paraId="6078F025">
            <w:pPr>
              <w:jc w:val="center"/>
              <w:rPr>
                <w:rFonts w:ascii="Times New Roman" w:hAnsi="Times New Roman"/>
                <w:b/>
                <w:color w:val="auto"/>
                <w:sz w:val="24"/>
                <w:szCs w:val="24"/>
              </w:rPr>
            </w:pPr>
          </w:p>
          <w:p w14:paraId="1AA1A9BD">
            <w:pPr>
              <w:jc w:val="center"/>
              <w:rPr>
                <w:rFonts w:ascii="Times New Roman" w:hAnsi="Times New Roman"/>
                <w:b/>
                <w:color w:val="auto"/>
                <w:sz w:val="24"/>
                <w:szCs w:val="24"/>
              </w:rPr>
            </w:pPr>
          </w:p>
          <w:p w14:paraId="46F97986">
            <w:pPr>
              <w:jc w:val="center"/>
              <w:rPr>
                <w:rFonts w:ascii="Times New Roman" w:hAnsi="Times New Roman"/>
                <w:b/>
                <w:color w:val="auto"/>
                <w:sz w:val="24"/>
                <w:szCs w:val="24"/>
              </w:rPr>
            </w:pPr>
          </w:p>
          <w:p w14:paraId="6BB7D68E">
            <w:pPr>
              <w:jc w:val="center"/>
              <w:rPr>
                <w:rFonts w:ascii="Times New Roman" w:hAnsi="Times New Roman"/>
                <w:b/>
                <w:color w:val="auto"/>
                <w:sz w:val="24"/>
                <w:szCs w:val="24"/>
              </w:rPr>
            </w:pPr>
          </w:p>
          <w:p w14:paraId="06AEED5E">
            <w:pPr>
              <w:jc w:val="center"/>
              <w:rPr>
                <w:rFonts w:ascii="Times New Roman" w:hAnsi="Times New Roman"/>
                <w:b/>
                <w:color w:val="auto"/>
                <w:sz w:val="24"/>
                <w:szCs w:val="24"/>
              </w:rPr>
            </w:pPr>
          </w:p>
          <w:p w14:paraId="7FD4D249">
            <w:pPr>
              <w:jc w:val="center"/>
              <w:rPr>
                <w:rFonts w:ascii="Times New Roman" w:hAnsi="Times New Roman"/>
                <w:b/>
                <w:color w:val="auto"/>
                <w:sz w:val="24"/>
                <w:szCs w:val="24"/>
              </w:rPr>
            </w:pPr>
          </w:p>
          <w:p w14:paraId="229441FE">
            <w:pPr>
              <w:jc w:val="center"/>
              <w:rPr>
                <w:rFonts w:ascii="Times New Roman" w:hAnsi="Times New Roman"/>
                <w:b/>
                <w:color w:val="auto"/>
                <w:sz w:val="24"/>
                <w:szCs w:val="24"/>
              </w:rPr>
            </w:pPr>
          </w:p>
          <w:p w14:paraId="2CB47056">
            <w:pPr>
              <w:jc w:val="center"/>
              <w:rPr>
                <w:rFonts w:ascii="Times New Roman" w:hAnsi="Times New Roman"/>
                <w:b/>
                <w:color w:val="auto"/>
                <w:sz w:val="24"/>
                <w:szCs w:val="24"/>
              </w:rPr>
            </w:pPr>
          </w:p>
          <w:p w14:paraId="21465C86">
            <w:pPr>
              <w:jc w:val="center"/>
              <w:rPr>
                <w:rFonts w:ascii="Times New Roman" w:hAnsi="Times New Roman"/>
                <w:b/>
                <w:color w:val="auto"/>
                <w:sz w:val="24"/>
                <w:szCs w:val="24"/>
              </w:rPr>
            </w:pPr>
          </w:p>
          <w:p w14:paraId="23584CE2">
            <w:pPr>
              <w:jc w:val="center"/>
              <w:rPr>
                <w:rFonts w:ascii="Times New Roman" w:hAnsi="Times New Roman"/>
                <w:b/>
                <w:color w:val="auto"/>
                <w:sz w:val="24"/>
                <w:szCs w:val="24"/>
              </w:rPr>
            </w:pPr>
          </w:p>
          <w:p w14:paraId="0D8A4987">
            <w:pPr>
              <w:jc w:val="center"/>
              <w:rPr>
                <w:rFonts w:ascii="Times New Roman" w:hAnsi="Times New Roman"/>
                <w:b/>
                <w:color w:val="auto"/>
                <w:sz w:val="24"/>
                <w:szCs w:val="24"/>
              </w:rPr>
            </w:pPr>
          </w:p>
          <w:p w14:paraId="0D338834">
            <w:pPr>
              <w:jc w:val="center"/>
              <w:rPr>
                <w:rFonts w:ascii="Times New Roman" w:hAnsi="Times New Roman"/>
                <w:b/>
                <w:color w:val="auto"/>
                <w:sz w:val="24"/>
                <w:szCs w:val="24"/>
              </w:rPr>
            </w:pPr>
          </w:p>
          <w:p w14:paraId="0CFCE34C">
            <w:pPr>
              <w:jc w:val="center"/>
              <w:rPr>
                <w:rFonts w:ascii="Times New Roman" w:hAnsi="Times New Roman"/>
                <w:b/>
                <w:color w:val="auto"/>
                <w:sz w:val="24"/>
                <w:szCs w:val="24"/>
              </w:rPr>
            </w:pPr>
          </w:p>
          <w:p w14:paraId="5CA89B1F">
            <w:pPr>
              <w:jc w:val="center"/>
              <w:rPr>
                <w:rFonts w:ascii="Times New Roman" w:hAnsi="Times New Roman"/>
                <w:b/>
                <w:color w:val="auto"/>
                <w:sz w:val="24"/>
                <w:szCs w:val="24"/>
              </w:rPr>
            </w:pPr>
          </w:p>
          <w:p w14:paraId="4B53DD29">
            <w:pPr>
              <w:jc w:val="center"/>
              <w:rPr>
                <w:rFonts w:ascii="Times New Roman" w:hAnsi="Times New Roman"/>
                <w:b/>
                <w:color w:val="auto"/>
                <w:sz w:val="24"/>
                <w:szCs w:val="24"/>
              </w:rPr>
            </w:pPr>
          </w:p>
          <w:p w14:paraId="6B58531F">
            <w:pPr>
              <w:jc w:val="center"/>
              <w:rPr>
                <w:rFonts w:ascii="Times New Roman" w:hAnsi="Times New Roman"/>
                <w:b/>
                <w:color w:val="auto"/>
                <w:sz w:val="24"/>
                <w:szCs w:val="24"/>
              </w:rPr>
            </w:pPr>
          </w:p>
          <w:p w14:paraId="3679B550">
            <w:pPr>
              <w:jc w:val="center"/>
              <w:rPr>
                <w:rFonts w:ascii="Times New Roman" w:hAnsi="Times New Roman"/>
                <w:b/>
                <w:color w:val="auto"/>
                <w:sz w:val="24"/>
                <w:szCs w:val="24"/>
              </w:rPr>
            </w:pPr>
          </w:p>
          <w:p w14:paraId="762D8B03">
            <w:pPr>
              <w:jc w:val="center"/>
              <w:rPr>
                <w:rFonts w:ascii="Times New Roman" w:hAnsi="Times New Roman"/>
                <w:b/>
                <w:color w:val="auto"/>
                <w:sz w:val="24"/>
                <w:szCs w:val="24"/>
              </w:rPr>
            </w:pPr>
          </w:p>
          <w:p w14:paraId="4C3AE0D5">
            <w:pPr>
              <w:jc w:val="center"/>
              <w:rPr>
                <w:rFonts w:ascii="Times New Roman" w:hAnsi="Times New Roman"/>
                <w:b/>
                <w:color w:val="auto"/>
                <w:sz w:val="24"/>
                <w:szCs w:val="24"/>
              </w:rPr>
            </w:pPr>
            <w:r>
              <w:rPr>
                <w:rFonts w:ascii="Times New Roman" w:hAnsi="Times New Roman"/>
                <w:b/>
                <w:color w:val="auto"/>
                <w:sz w:val="24"/>
                <w:szCs w:val="24"/>
              </w:rPr>
              <w:t>选址选线环境合理性分析</w:t>
            </w:r>
          </w:p>
          <w:p w14:paraId="09D03734">
            <w:pPr>
              <w:jc w:val="center"/>
              <w:rPr>
                <w:rFonts w:ascii="Times New Roman" w:hAnsi="Times New Roman"/>
                <w:b/>
                <w:color w:val="auto"/>
                <w:sz w:val="24"/>
                <w:szCs w:val="24"/>
              </w:rPr>
            </w:pPr>
          </w:p>
          <w:p w14:paraId="13E287FB">
            <w:pPr>
              <w:jc w:val="center"/>
              <w:rPr>
                <w:rFonts w:ascii="Times New Roman" w:hAnsi="Times New Roman"/>
                <w:b/>
                <w:color w:val="auto"/>
                <w:sz w:val="24"/>
                <w:szCs w:val="24"/>
              </w:rPr>
            </w:pPr>
          </w:p>
          <w:p w14:paraId="74876399">
            <w:pPr>
              <w:pStyle w:val="26"/>
              <w:rPr>
                <w:rFonts w:ascii="Times New Roman" w:hAnsi="Times New Roman"/>
                <w:b/>
                <w:color w:val="auto"/>
                <w:sz w:val="24"/>
                <w:szCs w:val="24"/>
              </w:rPr>
            </w:pPr>
          </w:p>
          <w:p w14:paraId="0904E65D">
            <w:pPr>
              <w:pStyle w:val="25"/>
              <w:ind w:firstLine="241"/>
              <w:rPr>
                <w:b/>
                <w:color w:val="auto"/>
                <w:sz w:val="24"/>
              </w:rPr>
            </w:pPr>
          </w:p>
          <w:p w14:paraId="1C0621FA">
            <w:pPr>
              <w:rPr>
                <w:rFonts w:ascii="Times New Roman" w:hAnsi="Times New Roman"/>
                <w:b/>
                <w:color w:val="auto"/>
                <w:sz w:val="24"/>
                <w:szCs w:val="24"/>
              </w:rPr>
            </w:pPr>
          </w:p>
          <w:p w14:paraId="32524365">
            <w:pPr>
              <w:pStyle w:val="26"/>
              <w:rPr>
                <w:color w:val="auto"/>
              </w:rPr>
            </w:pPr>
          </w:p>
          <w:p w14:paraId="18F04FC9">
            <w:pPr>
              <w:jc w:val="center"/>
              <w:rPr>
                <w:rFonts w:ascii="Times New Roman" w:hAnsi="Times New Roman"/>
                <w:b/>
                <w:color w:val="auto"/>
                <w:sz w:val="24"/>
                <w:szCs w:val="24"/>
              </w:rPr>
            </w:pPr>
          </w:p>
          <w:p w14:paraId="5631A08B">
            <w:pPr>
              <w:jc w:val="center"/>
              <w:rPr>
                <w:rFonts w:ascii="Times New Roman" w:hAnsi="Times New Roman"/>
                <w:b/>
                <w:color w:val="auto"/>
                <w:sz w:val="24"/>
                <w:szCs w:val="24"/>
              </w:rPr>
            </w:pPr>
          </w:p>
          <w:p w14:paraId="48E8DC1F">
            <w:pPr>
              <w:jc w:val="center"/>
              <w:rPr>
                <w:rFonts w:ascii="Times New Roman" w:hAnsi="Times New Roman"/>
                <w:b/>
                <w:color w:val="auto"/>
                <w:sz w:val="24"/>
                <w:szCs w:val="24"/>
              </w:rPr>
            </w:pPr>
          </w:p>
          <w:p w14:paraId="2851731F">
            <w:pPr>
              <w:jc w:val="center"/>
              <w:rPr>
                <w:rFonts w:ascii="Times New Roman" w:hAnsi="Times New Roman"/>
                <w:b/>
                <w:color w:val="auto"/>
                <w:sz w:val="24"/>
                <w:szCs w:val="24"/>
              </w:rPr>
            </w:pPr>
          </w:p>
          <w:p w14:paraId="57BA2847">
            <w:pPr>
              <w:jc w:val="center"/>
              <w:rPr>
                <w:rFonts w:ascii="Times New Roman" w:hAnsi="Times New Roman"/>
                <w:b/>
                <w:color w:val="auto"/>
                <w:sz w:val="24"/>
                <w:szCs w:val="24"/>
              </w:rPr>
            </w:pPr>
          </w:p>
          <w:p w14:paraId="1BA81897">
            <w:pPr>
              <w:jc w:val="center"/>
              <w:rPr>
                <w:rFonts w:ascii="Times New Roman" w:hAnsi="Times New Roman"/>
                <w:b/>
                <w:color w:val="auto"/>
                <w:sz w:val="24"/>
                <w:szCs w:val="24"/>
              </w:rPr>
            </w:pPr>
          </w:p>
          <w:p w14:paraId="1AC428CE">
            <w:pPr>
              <w:jc w:val="center"/>
              <w:rPr>
                <w:rFonts w:ascii="Times New Roman" w:hAnsi="Times New Roman"/>
                <w:b/>
                <w:color w:val="auto"/>
                <w:sz w:val="24"/>
                <w:szCs w:val="24"/>
              </w:rPr>
            </w:pPr>
          </w:p>
          <w:p w14:paraId="725E3967">
            <w:pPr>
              <w:jc w:val="center"/>
              <w:rPr>
                <w:rFonts w:ascii="Times New Roman" w:hAnsi="Times New Roman"/>
                <w:b/>
                <w:color w:val="auto"/>
                <w:sz w:val="24"/>
                <w:szCs w:val="24"/>
              </w:rPr>
            </w:pPr>
          </w:p>
          <w:p w14:paraId="23CD2B11">
            <w:pPr>
              <w:jc w:val="center"/>
              <w:rPr>
                <w:rFonts w:ascii="Times New Roman" w:hAnsi="Times New Roman"/>
                <w:b/>
                <w:color w:val="auto"/>
                <w:sz w:val="24"/>
                <w:szCs w:val="24"/>
              </w:rPr>
            </w:pPr>
          </w:p>
          <w:p w14:paraId="10F9EE64">
            <w:pPr>
              <w:jc w:val="center"/>
              <w:rPr>
                <w:rFonts w:ascii="Times New Roman" w:hAnsi="Times New Roman"/>
                <w:b/>
                <w:color w:val="auto"/>
                <w:sz w:val="24"/>
                <w:szCs w:val="24"/>
              </w:rPr>
            </w:pPr>
          </w:p>
          <w:p w14:paraId="5F3B232E">
            <w:pPr>
              <w:rPr>
                <w:rFonts w:ascii="Times New Roman" w:hAnsi="Times New Roman"/>
                <w:b/>
                <w:color w:val="auto"/>
                <w:sz w:val="24"/>
                <w:szCs w:val="24"/>
              </w:rPr>
            </w:pPr>
          </w:p>
        </w:tc>
        <w:tc>
          <w:tcPr>
            <w:tcW w:w="8648" w:type="dxa"/>
            <w:shd w:val="clear" w:color="auto" w:fill="auto"/>
          </w:tcPr>
          <w:p w14:paraId="7AC18608">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4.3选址</w:t>
            </w:r>
            <w:r>
              <w:rPr>
                <w:rFonts w:hint="eastAsia" w:ascii="Times New Roman" w:hAnsi="Times New Roman"/>
                <w:b/>
                <w:color w:val="auto"/>
                <w:sz w:val="24"/>
                <w:szCs w:val="24"/>
              </w:rPr>
              <w:t>、</w:t>
            </w:r>
            <w:r>
              <w:rPr>
                <w:rFonts w:ascii="Times New Roman" w:hAnsi="Times New Roman"/>
                <w:b/>
                <w:color w:val="auto"/>
                <w:sz w:val="24"/>
                <w:szCs w:val="24"/>
              </w:rPr>
              <w:t>选线环境合理性分析</w:t>
            </w:r>
          </w:p>
          <w:p w14:paraId="6D3FD771">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4.3.1对跨越物的影响评价</w:t>
            </w:r>
          </w:p>
          <w:p w14:paraId="4538F1A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根据《110～750</w:t>
            </w:r>
            <w:r>
              <w:rPr>
                <w:rFonts w:hint="eastAsia" w:ascii="Times New Roman" w:hAnsi="Times New Roman"/>
                <w:color w:val="auto"/>
                <w:sz w:val="24"/>
                <w:szCs w:val="24"/>
              </w:rPr>
              <w:t>kV</w:t>
            </w:r>
            <w:r>
              <w:rPr>
                <w:rFonts w:ascii="Times New Roman" w:hAnsi="Times New Roman"/>
                <w:color w:val="auto"/>
                <w:sz w:val="24"/>
                <w:szCs w:val="24"/>
              </w:rPr>
              <w:t>架空输电线路设计规范》</w:t>
            </w:r>
            <w:r>
              <w:rPr>
                <w:rFonts w:hint="eastAsia" w:ascii="Times New Roman" w:hAnsi="Times New Roman"/>
                <w:color w:val="auto"/>
                <w:sz w:val="24"/>
                <w:szCs w:val="24"/>
              </w:rPr>
              <w:t>（</w:t>
            </w:r>
            <w:r>
              <w:rPr>
                <w:rFonts w:ascii="Times New Roman" w:hAnsi="Times New Roman"/>
                <w:color w:val="auto"/>
                <w:sz w:val="24"/>
                <w:szCs w:val="24"/>
              </w:rPr>
              <w:t>GB50545-2010</w:t>
            </w:r>
            <w:r>
              <w:rPr>
                <w:rFonts w:hint="eastAsia" w:ascii="Times New Roman" w:hAnsi="Times New Roman"/>
                <w:color w:val="auto"/>
                <w:sz w:val="24"/>
                <w:szCs w:val="24"/>
              </w:rPr>
              <w:t>）</w:t>
            </w:r>
            <w:r>
              <w:rPr>
                <w:rFonts w:ascii="Times New Roman" w:hAnsi="Times New Roman"/>
                <w:color w:val="auto"/>
                <w:sz w:val="24"/>
                <w:szCs w:val="24"/>
              </w:rPr>
              <w:t>，</w:t>
            </w:r>
            <w:r>
              <w:rPr>
                <w:rFonts w:hint="eastAsia" w:ascii="Times New Roman" w:hAnsi="Times New Roman"/>
                <w:color w:val="auto"/>
                <w:sz w:val="24"/>
                <w:szCs w:val="24"/>
              </w:rPr>
              <w:t>22</w:t>
            </w:r>
            <w:r>
              <w:rPr>
                <w:rFonts w:ascii="Times New Roman" w:hAnsi="Times New Roman"/>
                <w:color w:val="auto"/>
                <w:sz w:val="24"/>
                <w:szCs w:val="24"/>
              </w:rPr>
              <w:t>0</w:t>
            </w:r>
            <w:r>
              <w:rPr>
                <w:rFonts w:hint="eastAsia" w:ascii="Times New Roman" w:hAnsi="Times New Roman"/>
                <w:color w:val="auto"/>
                <w:sz w:val="24"/>
                <w:szCs w:val="24"/>
              </w:rPr>
              <w:t>kV</w:t>
            </w:r>
            <w:r>
              <w:rPr>
                <w:rFonts w:ascii="Times New Roman" w:hAnsi="Times New Roman"/>
                <w:color w:val="auto"/>
                <w:sz w:val="24"/>
                <w:szCs w:val="24"/>
              </w:rPr>
              <w:t>送电线路在不同地区，最大计算弧垂情况下与地面最小距离数值见表4-</w:t>
            </w:r>
            <w:r>
              <w:rPr>
                <w:rFonts w:hint="eastAsia" w:ascii="Times New Roman" w:hAnsi="Times New Roman"/>
                <w:color w:val="auto"/>
                <w:sz w:val="24"/>
                <w:szCs w:val="24"/>
              </w:rPr>
              <w:t>12</w:t>
            </w:r>
            <w:r>
              <w:rPr>
                <w:rFonts w:ascii="Times New Roman" w:hAnsi="Times New Roman"/>
                <w:color w:val="auto"/>
                <w:sz w:val="24"/>
                <w:szCs w:val="24"/>
              </w:rPr>
              <w:t>。</w:t>
            </w:r>
          </w:p>
          <w:p w14:paraId="349C5BC8">
            <w:pPr>
              <w:adjustRightInd w:val="0"/>
              <w:snapToGrid w:val="0"/>
              <w:jc w:val="center"/>
              <w:rPr>
                <w:rFonts w:ascii="Times New Roman" w:hAnsi="Times New Roman"/>
                <w:b/>
                <w:color w:val="auto"/>
                <w:sz w:val="24"/>
                <w:szCs w:val="24"/>
              </w:rPr>
            </w:pPr>
            <w:r>
              <w:rPr>
                <w:rFonts w:ascii="Times New Roman" w:hAnsi="Times New Roman"/>
                <w:b/>
                <w:color w:val="auto"/>
                <w:sz w:val="24"/>
                <w:szCs w:val="24"/>
              </w:rPr>
              <w:t>表4-</w:t>
            </w:r>
            <w:r>
              <w:rPr>
                <w:rFonts w:hint="eastAsia" w:ascii="Times New Roman" w:hAnsi="Times New Roman"/>
                <w:b/>
                <w:color w:val="auto"/>
                <w:sz w:val="24"/>
                <w:szCs w:val="24"/>
              </w:rPr>
              <w:t>12</w:t>
            </w:r>
            <w:r>
              <w:rPr>
                <w:rFonts w:ascii="Times New Roman" w:hAnsi="Times New Roman"/>
                <w:b/>
                <w:color w:val="auto"/>
                <w:sz w:val="24"/>
                <w:szCs w:val="24"/>
              </w:rPr>
              <w:t xml:space="preserve">  </w:t>
            </w:r>
            <w:r>
              <w:rPr>
                <w:rFonts w:hint="eastAsia" w:ascii="Times New Roman" w:hAnsi="Times New Roman"/>
                <w:b/>
                <w:color w:val="auto"/>
                <w:sz w:val="24"/>
                <w:szCs w:val="24"/>
              </w:rPr>
              <w:t>22</w:t>
            </w:r>
            <w:r>
              <w:rPr>
                <w:rFonts w:ascii="Times New Roman" w:hAnsi="Times New Roman"/>
                <w:b/>
                <w:color w:val="auto"/>
                <w:sz w:val="24"/>
                <w:szCs w:val="24"/>
              </w:rPr>
              <w:t>0</w:t>
            </w:r>
            <w:r>
              <w:rPr>
                <w:rFonts w:hint="eastAsia" w:ascii="Times New Roman" w:hAnsi="Times New Roman"/>
                <w:b/>
                <w:color w:val="auto"/>
                <w:sz w:val="24"/>
                <w:szCs w:val="24"/>
              </w:rPr>
              <w:t>kV</w:t>
            </w:r>
            <w:r>
              <w:rPr>
                <w:rFonts w:ascii="Times New Roman" w:hAnsi="Times New Roman"/>
                <w:b/>
                <w:color w:val="auto"/>
                <w:sz w:val="24"/>
                <w:szCs w:val="24"/>
              </w:rPr>
              <w:t>送电线路在不同地区的相对距离</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823"/>
              <w:gridCol w:w="2445"/>
              <w:gridCol w:w="2342"/>
              <w:gridCol w:w="1317"/>
            </w:tblGrid>
            <w:tr w14:paraId="6BD9F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noWrap/>
                  <w:vAlign w:val="center"/>
                </w:tcPr>
                <w:p w14:paraId="6D79CAA4">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序号</w:t>
                  </w:r>
                </w:p>
              </w:tc>
              <w:tc>
                <w:tcPr>
                  <w:tcW w:w="1080" w:type="pct"/>
                  <w:shd w:val="clear" w:color="auto" w:fill="auto"/>
                  <w:noWrap/>
                  <w:vAlign w:val="center"/>
                </w:tcPr>
                <w:p w14:paraId="745FDE40">
                  <w:pPr>
                    <w:widowControl/>
                    <w:adjustRightInd w:val="0"/>
                    <w:snapToGrid w:val="0"/>
                    <w:jc w:val="center"/>
                    <w:rPr>
                      <w:rFonts w:ascii="Times New Roman" w:hAnsi="Times New Roman"/>
                      <w:b/>
                      <w:color w:val="auto"/>
                      <w:kern w:val="0"/>
                      <w:szCs w:val="21"/>
                    </w:rPr>
                  </w:pPr>
                  <w:r>
                    <w:rPr>
                      <w:rFonts w:ascii="Times New Roman" w:hAnsi="Times New Roman"/>
                      <w:b/>
                      <w:color w:val="auto"/>
                      <w:kern w:val="0"/>
                      <w:szCs w:val="21"/>
                    </w:rPr>
                    <w:t>线路经过地区</w:t>
                  </w:r>
                </w:p>
              </w:tc>
              <w:tc>
                <w:tcPr>
                  <w:tcW w:w="1449" w:type="pct"/>
                  <w:shd w:val="clear" w:color="auto" w:fill="auto"/>
                  <w:noWrap/>
                  <w:vAlign w:val="center"/>
                </w:tcPr>
                <w:p w14:paraId="1CDE3404">
                  <w:pPr>
                    <w:widowControl/>
                    <w:adjustRightInd w:val="0"/>
                    <w:snapToGrid w:val="0"/>
                    <w:jc w:val="center"/>
                    <w:rPr>
                      <w:rFonts w:ascii="Times New Roman" w:hAnsi="Times New Roman"/>
                      <w:b/>
                      <w:color w:val="auto"/>
                      <w:kern w:val="0"/>
                      <w:szCs w:val="21"/>
                    </w:rPr>
                  </w:pPr>
                  <w:r>
                    <w:rPr>
                      <w:rFonts w:hint="eastAsia" w:ascii="Times New Roman" w:hAnsi="Times New Roman"/>
                      <w:b/>
                      <w:color w:val="auto"/>
                      <w:kern w:val="0"/>
                      <w:szCs w:val="21"/>
                    </w:rPr>
                    <w:t>22</w:t>
                  </w:r>
                  <w:r>
                    <w:rPr>
                      <w:rFonts w:ascii="Times New Roman" w:hAnsi="Times New Roman"/>
                      <w:b/>
                      <w:color w:val="auto"/>
                      <w:kern w:val="0"/>
                      <w:szCs w:val="21"/>
                    </w:rPr>
                    <w:t>0</w:t>
                  </w:r>
                  <w:r>
                    <w:rPr>
                      <w:rFonts w:hint="eastAsia" w:ascii="Times New Roman" w:hAnsi="Times New Roman"/>
                      <w:b/>
                      <w:color w:val="auto"/>
                      <w:kern w:val="0"/>
                      <w:szCs w:val="21"/>
                    </w:rPr>
                    <w:t>kV</w:t>
                  </w:r>
                  <w:r>
                    <w:rPr>
                      <w:rFonts w:ascii="Times New Roman" w:hAnsi="Times New Roman"/>
                      <w:b/>
                      <w:color w:val="auto"/>
                      <w:kern w:val="0"/>
                      <w:szCs w:val="21"/>
                    </w:rPr>
                    <w:t>线路与交叉跨越物间距离（m）</w:t>
                  </w:r>
                </w:p>
              </w:tc>
              <w:tc>
                <w:tcPr>
                  <w:tcW w:w="1388" w:type="pct"/>
                  <w:shd w:val="clear" w:color="auto" w:fill="auto"/>
                  <w:noWrap/>
                  <w:vAlign w:val="center"/>
                </w:tcPr>
                <w:p w14:paraId="137E2D2F">
                  <w:pPr>
                    <w:pStyle w:val="51"/>
                    <w:adjustRightInd w:val="0"/>
                    <w:snapToGrid w:val="0"/>
                    <w:rPr>
                      <w:rFonts w:ascii="Times New Roman" w:hAnsi="Times New Roman" w:cs="Times New Roman"/>
                      <w:b/>
                      <w:bCs/>
                      <w:color w:val="auto"/>
                      <w:sz w:val="21"/>
                      <w:szCs w:val="21"/>
                    </w:rPr>
                  </w:pPr>
                  <w:r>
                    <w:rPr>
                      <w:rFonts w:ascii="Times New Roman" w:hAnsi="Times New Roman" w:cs="Times New Roman"/>
                      <w:b/>
                      <w:bCs/>
                      <w:color w:val="auto"/>
                      <w:sz w:val="21"/>
                      <w:szCs w:val="21"/>
                    </w:rPr>
                    <w:t>GB50545-2010中</w:t>
                  </w:r>
                  <w:r>
                    <w:rPr>
                      <w:rFonts w:ascii="Times New Roman" w:hAnsi="Times New Roman" w:cs="Times New Roman"/>
                      <w:b/>
                      <w:bCs/>
                      <w:color w:val="auto"/>
                      <w:w w:val="95"/>
                      <w:sz w:val="21"/>
                      <w:szCs w:val="21"/>
                    </w:rPr>
                    <w:t>的规定距离（m）</w:t>
                  </w:r>
                </w:p>
              </w:tc>
              <w:tc>
                <w:tcPr>
                  <w:tcW w:w="781" w:type="pct"/>
                  <w:shd w:val="clear" w:color="auto" w:fill="auto"/>
                  <w:noWrap/>
                  <w:vAlign w:val="center"/>
                </w:tcPr>
                <w:p w14:paraId="6A983299">
                  <w:pPr>
                    <w:pStyle w:val="51"/>
                    <w:adjustRightInd w:val="0"/>
                    <w:snapToGrid w:val="0"/>
                    <w:rPr>
                      <w:rFonts w:ascii="Times New Roman" w:hAnsi="Times New Roman" w:cs="Times New Roman"/>
                      <w:b/>
                      <w:bCs/>
                      <w:color w:val="auto"/>
                      <w:sz w:val="21"/>
                      <w:szCs w:val="21"/>
                    </w:rPr>
                  </w:pPr>
                  <w:r>
                    <w:rPr>
                      <w:rFonts w:ascii="Times New Roman" w:hAnsi="Times New Roman" w:cs="Times New Roman"/>
                      <w:b/>
                      <w:bCs/>
                      <w:color w:val="auto"/>
                      <w:w w:val="95"/>
                      <w:sz w:val="21"/>
                      <w:szCs w:val="21"/>
                    </w:rPr>
                    <w:t>是否符合设计要求</w:t>
                  </w:r>
                </w:p>
              </w:tc>
            </w:tr>
            <w:tr w14:paraId="498B2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noWrap/>
                  <w:vAlign w:val="center"/>
                </w:tcPr>
                <w:p w14:paraId="2520761D">
                  <w:pPr>
                    <w:widowControl/>
                    <w:adjustRightInd w:val="0"/>
                    <w:snapToGrid w:val="0"/>
                    <w:jc w:val="center"/>
                    <w:rPr>
                      <w:rFonts w:ascii="Times New Roman" w:hAnsi="Times New Roman"/>
                      <w:color w:val="auto"/>
                      <w:kern w:val="0"/>
                      <w:szCs w:val="21"/>
                    </w:rPr>
                  </w:pPr>
                  <w:r>
                    <w:rPr>
                      <w:rFonts w:ascii="Times New Roman" w:hAnsi="Times New Roman"/>
                      <w:color w:val="auto"/>
                      <w:szCs w:val="21"/>
                    </w:rPr>
                    <w:t>1</w:t>
                  </w:r>
                </w:p>
              </w:tc>
              <w:tc>
                <w:tcPr>
                  <w:tcW w:w="1080" w:type="pct"/>
                  <w:shd w:val="clear" w:color="auto" w:fill="auto"/>
                  <w:noWrap/>
                  <w:vAlign w:val="center"/>
                </w:tcPr>
                <w:p w14:paraId="695FF2B3">
                  <w:pPr>
                    <w:overflowPunct w:val="0"/>
                    <w:topLinePunct/>
                    <w:autoSpaceDE w:val="0"/>
                    <w:autoSpaceDN w:val="0"/>
                    <w:adjustRightInd w:val="0"/>
                    <w:snapToGrid w:val="0"/>
                    <w:jc w:val="center"/>
                    <w:rPr>
                      <w:rFonts w:ascii="Times New Roman" w:hAnsi="Times New Roman"/>
                      <w:color w:val="auto"/>
                      <w:szCs w:val="21"/>
                    </w:rPr>
                  </w:pPr>
                  <w:r>
                    <w:rPr>
                      <w:rFonts w:ascii="Times New Roman" w:hAnsi="Times New Roman"/>
                      <w:color w:val="auto"/>
                      <w:szCs w:val="21"/>
                    </w:rPr>
                    <w:t>跨越G213国道</w:t>
                  </w:r>
                </w:p>
              </w:tc>
              <w:tc>
                <w:tcPr>
                  <w:tcW w:w="1449" w:type="pct"/>
                  <w:shd w:val="clear" w:color="auto" w:fill="auto"/>
                  <w:noWrap/>
                  <w:vAlign w:val="center"/>
                </w:tcPr>
                <w:p w14:paraId="20EEB7C3">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58</w:t>
                  </w:r>
                </w:p>
              </w:tc>
              <w:tc>
                <w:tcPr>
                  <w:tcW w:w="1388" w:type="pct"/>
                  <w:vMerge w:val="restart"/>
                  <w:shd w:val="clear" w:color="auto" w:fill="auto"/>
                  <w:noWrap/>
                  <w:vAlign w:val="center"/>
                </w:tcPr>
                <w:p w14:paraId="010C7B8D">
                  <w:pPr>
                    <w:widowControl/>
                    <w:adjustRightInd w:val="0"/>
                    <w:snapToGrid w:val="0"/>
                    <w:jc w:val="center"/>
                    <w:rPr>
                      <w:rFonts w:ascii="Times New Roman" w:hAnsi="Times New Roman"/>
                      <w:color w:val="auto"/>
                      <w:kern w:val="0"/>
                      <w:szCs w:val="21"/>
                    </w:rPr>
                  </w:pPr>
                  <w:r>
                    <w:rPr>
                      <w:rFonts w:hint="eastAsia" w:ascii="宋体" w:hAnsi="宋体" w:cs="宋体"/>
                      <w:color w:val="auto"/>
                      <w:szCs w:val="21"/>
                    </w:rPr>
                    <w:t>≥</w:t>
                  </w:r>
                  <w:r>
                    <w:rPr>
                      <w:rFonts w:hint="eastAsia" w:ascii="Times New Roman" w:hAnsi="Times New Roman"/>
                      <w:color w:val="auto"/>
                      <w:szCs w:val="21"/>
                    </w:rPr>
                    <w:t>8.0</w:t>
                  </w:r>
                  <w:r>
                    <w:rPr>
                      <w:rFonts w:ascii="Times New Roman" w:hAnsi="Times New Roman"/>
                      <w:color w:val="auto"/>
                      <w:szCs w:val="21"/>
                    </w:rPr>
                    <w:t>（参照公路）</w:t>
                  </w:r>
                </w:p>
              </w:tc>
              <w:tc>
                <w:tcPr>
                  <w:tcW w:w="781" w:type="pct"/>
                  <w:shd w:val="clear" w:color="auto" w:fill="auto"/>
                  <w:noWrap/>
                  <w:vAlign w:val="center"/>
                </w:tcPr>
                <w:p w14:paraId="56EC7D2E">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45E3D0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noWrap/>
                  <w:vAlign w:val="center"/>
                </w:tcPr>
                <w:p w14:paraId="7A622A64">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2</w:t>
                  </w:r>
                </w:p>
              </w:tc>
              <w:tc>
                <w:tcPr>
                  <w:tcW w:w="1080" w:type="pct"/>
                  <w:shd w:val="clear" w:color="auto" w:fill="auto"/>
                  <w:noWrap/>
                  <w:vAlign w:val="center"/>
                </w:tcPr>
                <w:p w14:paraId="230130AC">
                  <w:pPr>
                    <w:overflowPunct w:val="0"/>
                    <w:topLinePunct/>
                    <w:autoSpaceDE w:val="0"/>
                    <w:autoSpaceDN w:val="0"/>
                    <w:adjustRightInd w:val="0"/>
                    <w:snapToGrid w:val="0"/>
                    <w:jc w:val="center"/>
                    <w:rPr>
                      <w:rFonts w:ascii="Times New Roman" w:hAnsi="Times New Roman"/>
                      <w:color w:val="auto"/>
                      <w:szCs w:val="21"/>
                    </w:rPr>
                  </w:pPr>
                  <w:r>
                    <w:rPr>
                      <w:rFonts w:hint="eastAsia" w:ascii="Times New Roman" w:hAnsi="Times New Roman"/>
                      <w:color w:val="auto"/>
                      <w:szCs w:val="21"/>
                    </w:rPr>
                    <w:t>跨越</w:t>
                  </w:r>
                  <w:r>
                    <w:rPr>
                      <w:rFonts w:ascii="Times New Roman" w:hAnsi="Times New Roman"/>
                      <w:color w:val="auto"/>
                      <w:szCs w:val="21"/>
                    </w:rPr>
                    <w:t>六合线</w:t>
                  </w:r>
                </w:p>
              </w:tc>
              <w:tc>
                <w:tcPr>
                  <w:tcW w:w="1449" w:type="pct"/>
                  <w:shd w:val="clear" w:color="auto" w:fill="auto"/>
                  <w:noWrap/>
                  <w:vAlign w:val="center"/>
                </w:tcPr>
                <w:p w14:paraId="7FB4F126">
                  <w:pPr>
                    <w:overflowPunct w:val="0"/>
                    <w:topLinePunct/>
                    <w:autoSpaceDE w:val="0"/>
                    <w:autoSpaceDN w:val="0"/>
                    <w:adjustRightInd w:val="0"/>
                    <w:snapToGrid w:val="0"/>
                    <w:jc w:val="center"/>
                    <w:textAlignment w:val="center"/>
                    <w:rPr>
                      <w:rFonts w:ascii="Times New Roman" w:hAnsi="Times New Roman"/>
                      <w:color w:val="auto"/>
                      <w:kern w:val="0"/>
                      <w:szCs w:val="21"/>
                      <w:lang w:bidi="ar"/>
                    </w:rPr>
                  </w:pPr>
                  <w:r>
                    <w:rPr>
                      <w:rFonts w:hint="eastAsia" w:ascii="Times New Roman" w:hAnsi="Times New Roman"/>
                      <w:color w:val="auto"/>
                      <w:kern w:val="0"/>
                      <w:szCs w:val="21"/>
                      <w:lang w:bidi="ar"/>
                    </w:rPr>
                    <w:t>35</w:t>
                  </w:r>
                </w:p>
              </w:tc>
              <w:tc>
                <w:tcPr>
                  <w:tcW w:w="1388" w:type="pct"/>
                  <w:vMerge w:val="continue"/>
                  <w:shd w:val="clear" w:color="auto" w:fill="auto"/>
                  <w:noWrap/>
                  <w:vAlign w:val="center"/>
                </w:tcPr>
                <w:p w14:paraId="5B94479F">
                  <w:pPr>
                    <w:widowControl/>
                    <w:adjustRightInd w:val="0"/>
                    <w:snapToGrid w:val="0"/>
                    <w:jc w:val="center"/>
                    <w:rPr>
                      <w:rFonts w:ascii="宋体" w:hAnsi="宋体" w:cs="宋体"/>
                      <w:color w:val="auto"/>
                      <w:szCs w:val="21"/>
                    </w:rPr>
                  </w:pPr>
                </w:p>
              </w:tc>
              <w:tc>
                <w:tcPr>
                  <w:tcW w:w="781" w:type="pct"/>
                  <w:shd w:val="clear" w:color="auto" w:fill="auto"/>
                  <w:noWrap/>
                  <w:vAlign w:val="center"/>
                </w:tcPr>
                <w:p w14:paraId="628C92AD">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490269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noWrap/>
                  <w:vAlign w:val="center"/>
                </w:tcPr>
                <w:p w14:paraId="4FC6E1BD">
                  <w:pPr>
                    <w:widowControl/>
                    <w:adjustRightInd w:val="0"/>
                    <w:snapToGrid w:val="0"/>
                    <w:jc w:val="center"/>
                    <w:rPr>
                      <w:rFonts w:ascii="Times New Roman" w:hAnsi="Times New Roman"/>
                      <w:color w:val="auto"/>
                      <w:szCs w:val="21"/>
                    </w:rPr>
                  </w:pPr>
                  <w:r>
                    <w:rPr>
                      <w:rFonts w:ascii="Times New Roman" w:hAnsi="Times New Roman"/>
                      <w:color w:val="auto"/>
                      <w:szCs w:val="21"/>
                    </w:rPr>
                    <w:t>3</w:t>
                  </w:r>
                </w:p>
              </w:tc>
              <w:tc>
                <w:tcPr>
                  <w:tcW w:w="1080" w:type="pct"/>
                  <w:shd w:val="clear" w:color="auto" w:fill="auto"/>
                  <w:noWrap/>
                  <w:vAlign w:val="center"/>
                </w:tcPr>
                <w:p w14:paraId="1BCEED2C">
                  <w:pPr>
                    <w:widowControl/>
                    <w:adjustRightInd w:val="0"/>
                    <w:snapToGrid w:val="0"/>
                    <w:jc w:val="center"/>
                    <w:rPr>
                      <w:rFonts w:ascii="Times New Roman" w:hAnsi="Times New Roman"/>
                      <w:color w:val="auto"/>
                      <w:szCs w:val="21"/>
                    </w:rPr>
                  </w:pPr>
                  <w:r>
                    <w:rPr>
                      <w:rFonts w:ascii="Times New Roman" w:hAnsi="Times New Roman"/>
                      <w:color w:val="auto"/>
                      <w:szCs w:val="21"/>
                    </w:rPr>
                    <w:t>35</w:t>
                  </w:r>
                  <w:r>
                    <w:rPr>
                      <w:rFonts w:hint="eastAsia" w:ascii="Times New Roman" w:hAnsi="Times New Roman"/>
                      <w:color w:val="auto"/>
                      <w:szCs w:val="21"/>
                    </w:rPr>
                    <w:t>kV</w:t>
                  </w:r>
                  <w:r>
                    <w:rPr>
                      <w:rFonts w:ascii="Times New Roman" w:hAnsi="Times New Roman"/>
                      <w:color w:val="auto"/>
                      <w:szCs w:val="21"/>
                    </w:rPr>
                    <w:t>线路</w:t>
                  </w:r>
                </w:p>
              </w:tc>
              <w:tc>
                <w:tcPr>
                  <w:tcW w:w="1449" w:type="pct"/>
                  <w:shd w:val="clear" w:color="auto" w:fill="auto"/>
                  <w:noWrap/>
                  <w:vAlign w:val="center"/>
                </w:tcPr>
                <w:p w14:paraId="6C6D7ED5">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6.8~11.4</w:t>
                  </w:r>
                </w:p>
              </w:tc>
              <w:tc>
                <w:tcPr>
                  <w:tcW w:w="1388" w:type="pct"/>
                  <w:vMerge w:val="restart"/>
                  <w:shd w:val="clear" w:color="auto" w:fill="auto"/>
                  <w:noWrap/>
                  <w:vAlign w:val="center"/>
                </w:tcPr>
                <w:p w14:paraId="3FA7A704">
                  <w:pPr>
                    <w:widowControl/>
                    <w:adjustRightInd w:val="0"/>
                    <w:snapToGrid w:val="0"/>
                    <w:jc w:val="center"/>
                    <w:rPr>
                      <w:rFonts w:ascii="Times New Roman" w:hAnsi="Times New Roman"/>
                      <w:color w:val="auto"/>
                      <w:kern w:val="0"/>
                      <w:szCs w:val="21"/>
                    </w:rPr>
                  </w:pPr>
                  <w:r>
                    <w:rPr>
                      <w:rFonts w:hint="eastAsia" w:ascii="宋体" w:hAnsi="宋体" w:cs="宋体"/>
                      <w:color w:val="auto"/>
                      <w:szCs w:val="21"/>
                    </w:rPr>
                    <w:t>≥</w:t>
                  </w:r>
                  <w:r>
                    <w:rPr>
                      <w:rFonts w:hint="eastAsia" w:ascii="Times New Roman" w:hAnsi="Times New Roman"/>
                      <w:color w:val="auto"/>
                      <w:szCs w:val="21"/>
                    </w:rPr>
                    <w:t>4.0</w:t>
                  </w:r>
                  <w:r>
                    <w:rPr>
                      <w:rFonts w:ascii="Times New Roman" w:hAnsi="Times New Roman"/>
                      <w:color w:val="auto"/>
                      <w:szCs w:val="21"/>
                    </w:rPr>
                    <w:t>（参照电力线路）</w:t>
                  </w:r>
                </w:p>
              </w:tc>
              <w:tc>
                <w:tcPr>
                  <w:tcW w:w="781" w:type="pct"/>
                  <w:shd w:val="clear" w:color="auto" w:fill="auto"/>
                  <w:noWrap/>
                  <w:vAlign w:val="center"/>
                </w:tcPr>
                <w:p w14:paraId="1DBF2530">
                  <w:pPr>
                    <w:widowControl/>
                    <w:adjustRightInd w:val="0"/>
                    <w:snapToGrid w:val="0"/>
                    <w:jc w:val="center"/>
                    <w:rPr>
                      <w:rFonts w:ascii="Times New Roman" w:hAnsi="Times New Roman"/>
                      <w:color w:val="auto"/>
                      <w:kern w:val="0"/>
                      <w:szCs w:val="21"/>
                    </w:rPr>
                  </w:pPr>
                  <w:r>
                    <w:rPr>
                      <w:rFonts w:ascii="Times New Roman" w:hAnsi="Times New Roman"/>
                      <w:color w:val="auto"/>
                      <w:kern w:val="0"/>
                      <w:szCs w:val="21"/>
                    </w:rPr>
                    <w:t>符合</w:t>
                  </w:r>
                </w:p>
              </w:tc>
            </w:tr>
            <w:tr w14:paraId="6718F3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noWrap/>
                  <w:vAlign w:val="center"/>
                </w:tcPr>
                <w:p w14:paraId="7C83C2B3">
                  <w:pPr>
                    <w:widowControl/>
                    <w:adjustRightInd w:val="0"/>
                    <w:snapToGrid w:val="0"/>
                    <w:jc w:val="center"/>
                    <w:rPr>
                      <w:rFonts w:ascii="Times New Roman" w:hAnsi="Times New Roman"/>
                      <w:color w:val="auto"/>
                      <w:kern w:val="0"/>
                      <w:szCs w:val="21"/>
                    </w:rPr>
                  </w:pPr>
                  <w:r>
                    <w:rPr>
                      <w:rFonts w:ascii="Times New Roman" w:hAnsi="Times New Roman"/>
                      <w:color w:val="auto"/>
                      <w:szCs w:val="21"/>
                    </w:rPr>
                    <w:t>4</w:t>
                  </w:r>
                </w:p>
              </w:tc>
              <w:tc>
                <w:tcPr>
                  <w:tcW w:w="1080" w:type="pct"/>
                  <w:shd w:val="clear" w:color="auto" w:fill="auto"/>
                  <w:noWrap/>
                  <w:vAlign w:val="center"/>
                </w:tcPr>
                <w:p w14:paraId="65D13DB8">
                  <w:pPr>
                    <w:widowControl/>
                    <w:adjustRightInd w:val="0"/>
                    <w:snapToGrid w:val="0"/>
                    <w:jc w:val="center"/>
                    <w:rPr>
                      <w:rFonts w:ascii="Times New Roman" w:hAnsi="Times New Roman"/>
                      <w:color w:val="auto"/>
                      <w:szCs w:val="21"/>
                    </w:rPr>
                  </w:pPr>
                  <w:r>
                    <w:rPr>
                      <w:rFonts w:ascii="Times New Roman" w:hAnsi="Times New Roman"/>
                      <w:color w:val="auto"/>
                      <w:szCs w:val="21"/>
                    </w:rPr>
                    <w:t>10</w:t>
                  </w:r>
                  <w:r>
                    <w:rPr>
                      <w:rFonts w:hint="eastAsia" w:ascii="Times New Roman" w:hAnsi="Times New Roman"/>
                      <w:color w:val="auto"/>
                      <w:szCs w:val="21"/>
                    </w:rPr>
                    <w:t>kV</w:t>
                  </w:r>
                  <w:r>
                    <w:rPr>
                      <w:rFonts w:ascii="Times New Roman" w:hAnsi="Times New Roman"/>
                      <w:color w:val="auto"/>
                      <w:szCs w:val="21"/>
                    </w:rPr>
                    <w:t>线路</w:t>
                  </w:r>
                </w:p>
              </w:tc>
              <w:tc>
                <w:tcPr>
                  <w:tcW w:w="1449" w:type="pct"/>
                  <w:shd w:val="clear" w:color="auto" w:fill="auto"/>
                  <w:noWrap/>
                  <w:vAlign w:val="center"/>
                </w:tcPr>
                <w:p w14:paraId="27399CE1">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10.2~14.5</w:t>
                  </w:r>
                </w:p>
              </w:tc>
              <w:tc>
                <w:tcPr>
                  <w:tcW w:w="1388" w:type="pct"/>
                  <w:vMerge w:val="continue"/>
                  <w:shd w:val="clear" w:color="auto" w:fill="auto"/>
                  <w:noWrap/>
                  <w:vAlign w:val="center"/>
                </w:tcPr>
                <w:p w14:paraId="68441FD4">
                  <w:pPr>
                    <w:widowControl/>
                    <w:adjustRightInd w:val="0"/>
                    <w:snapToGrid w:val="0"/>
                    <w:jc w:val="center"/>
                    <w:rPr>
                      <w:rFonts w:ascii="Times New Roman" w:hAnsi="Times New Roman"/>
                      <w:color w:val="auto"/>
                      <w:szCs w:val="21"/>
                    </w:rPr>
                  </w:pPr>
                </w:p>
              </w:tc>
              <w:tc>
                <w:tcPr>
                  <w:tcW w:w="781" w:type="pct"/>
                  <w:shd w:val="clear" w:color="auto" w:fill="auto"/>
                  <w:noWrap/>
                  <w:vAlign w:val="center"/>
                </w:tcPr>
                <w:p w14:paraId="1885FBC8">
                  <w:pPr>
                    <w:widowControl/>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bl>
          <w:p w14:paraId="4341AEF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次线路工程在规划、设计时，对沿线的环境敏感目标进行了有效的避让，依据可行性研究报告及现场勘查，在跨越道路、输电线路、通信线路时均选择了合适的跨越高度和距离，并满足相关标准的要求。输电线路设计时，设计单位已按《110</w:t>
            </w:r>
            <w:r>
              <w:rPr>
                <w:rFonts w:hint="eastAsia" w:ascii="Times New Roman" w:hAnsi="Times New Roman"/>
                <w:color w:val="auto"/>
                <w:sz w:val="24"/>
                <w:szCs w:val="24"/>
              </w:rPr>
              <w:t>kV</w:t>
            </w:r>
            <w:r>
              <w:rPr>
                <w:rFonts w:ascii="Times New Roman" w:hAnsi="Times New Roman"/>
                <w:color w:val="auto"/>
                <w:sz w:val="24"/>
                <w:szCs w:val="24"/>
              </w:rPr>
              <w:t>～750</w:t>
            </w:r>
            <w:r>
              <w:rPr>
                <w:rFonts w:hint="eastAsia" w:ascii="Times New Roman" w:hAnsi="Times New Roman"/>
                <w:color w:val="auto"/>
                <w:sz w:val="24"/>
                <w:szCs w:val="24"/>
              </w:rPr>
              <w:t>kV</w:t>
            </w:r>
            <w:r>
              <w:rPr>
                <w:rFonts w:ascii="Times New Roman" w:hAnsi="Times New Roman"/>
                <w:color w:val="auto"/>
                <w:sz w:val="24"/>
                <w:szCs w:val="24"/>
              </w:rPr>
              <w:t>架空输电线路设计规范》（GB50545-2010）中规定要求，使输电线路与跨越电力线路、道路的间距满足设计规范中最小距离要求。输电线路在跨越现有道路时，塔基落点根据《</w:t>
            </w:r>
            <w:r>
              <w:rPr>
                <w:rFonts w:hint="eastAsia" w:ascii="Times New Roman" w:hAnsi="Times New Roman"/>
                <w:color w:val="auto"/>
                <w:sz w:val="24"/>
                <w:szCs w:val="24"/>
              </w:rPr>
              <w:t>中华人民共和国公路法</w:t>
            </w:r>
            <w:r>
              <w:rPr>
                <w:rFonts w:ascii="Times New Roman" w:hAnsi="Times New Roman"/>
                <w:color w:val="auto"/>
                <w:sz w:val="24"/>
                <w:szCs w:val="24"/>
              </w:rPr>
              <w:t>》、《公路安全保护条例</w:t>
            </w:r>
            <w:r>
              <w:rPr>
                <w:rFonts w:hint="eastAsia" w:ascii="Times New Roman" w:hAnsi="Times New Roman"/>
                <w:color w:val="auto"/>
                <w:sz w:val="24"/>
                <w:szCs w:val="24"/>
              </w:rPr>
              <w:t>》等</w:t>
            </w:r>
            <w:r>
              <w:rPr>
                <w:rFonts w:ascii="Times New Roman" w:hAnsi="Times New Roman"/>
                <w:color w:val="auto"/>
                <w:sz w:val="24"/>
                <w:szCs w:val="24"/>
              </w:rPr>
              <w:t>相关规定进行选择，即经过现有公路（和现有公路有交叉处）的塔位建设应满足公路控制红线范围，国道控制红线20m，省道15m，县道10m，乡道5m，严格按照相关要求进行施工建设，不会影响现有道路的安全运行。</w:t>
            </w:r>
          </w:p>
          <w:p w14:paraId="49E32309">
            <w:pPr>
              <w:adjustRightInd w:val="0"/>
              <w:snapToGrid w:val="0"/>
              <w:spacing w:line="440" w:lineRule="exact"/>
              <w:ind w:firstLine="482" w:firstLineChars="200"/>
              <w:rPr>
                <w:rFonts w:ascii="Times New Roman" w:hAnsi="Times New Roman"/>
                <w:b/>
                <w:color w:val="auto"/>
                <w:sz w:val="24"/>
                <w:szCs w:val="24"/>
                <w:highlight w:val="yellow"/>
              </w:rPr>
            </w:pPr>
            <w:r>
              <w:rPr>
                <w:rFonts w:ascii="Times New Roman" w:hAnsi="Times New Roman"/>
                <w:b/>
                <w:color w:val="auto"/>
                <w:sz w:val="24"/>
                <w:szCs w:val="24"/>
              </w:rPr>
              <w:t>4.3.2</w:t>
            </w:r>
            <w:r>
              <w:rPr>
                <w:rFonts w:hint="eastAsia" w:ascii="Times New Roman" w:hAnsi="Times New Roman"/>
                <w:b/>
                <w:color w:val="auto"/>
                <w:sz w:val="24"/>
                <w:szCs w:val="24"/>
              </w:rPr>
              <w:t>架空线路路径合理性分析</w:t>
            </w:r>
          </w:p>
          <w:p w14:paraId="29C3E52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ascii="Times New Roman" w:hAnsi="Times New Roman"/>
                <w:color w:val="auto"/>
                <w:sz w:val="24"/>
                <w:szCs w:val="24"/>
              </w:rPr>
              <w:t>六合一至乐业变220kV送出线路工程</w:t>
            </w:r>
            <w:r>
              <w:rPr>
                <w:rFonts w:ascii="Times New Roman" w:hAnsi="Times New Roman"/>
                <w:color w:val="auto"/>
                <w:sz w:val="24"/>
                <w:szCs w:val="24"/>
              </w:rPr>
              <w:t>设计</w:t>
            </w:r>
            <w:r>
              <w:rPr>
                <w:rFonts w:hint="eastAsia" w:ascii="Times New Roman" w:hAnsi="Times New Roman"/>
                <w:color w:val="auto"/>
                <w:sz w:val="24"/>
                <w:szCs w:val="24"/>
              </w:rPr>
              <w:t>报告</w:t>
            </w:r>
            <w:r>
              <w:rPr>
                <w:rFonts w:ascii="Times New Roman" w:hAnsi="Times New Roman"/>
                <w:color w:val="auto"/>
                <w:sz w:val="24"/>
                <w:szCs w:val="24"/>
              </w:rPr>
              <w:t>》，项目输电线路设有2个比选方案，项目线路路径比选分析详见表2-</w:t>
            </w:r>
            <w:r>
              <w:rPr>
                <w:rFonts w:hint="eastAsia" w:ascii="Times New Roman" w:hAnsi="Times New Roman"/>
                <w:color w:val="auto"/>
                <w:sz w:val="24"/>
                <w:szCs w:val="24"/>
              </w:rPr>
              <w:t>8</w:t>
            </w:r>
            <w:r>
              <w:rPr>
                <w:rFonts w:ascii="Times New Roman" w:hAnsi="Times New Roman"/>
                <w:color w:val="auto"/>
                <w:sz w:val="24"/>
                <w:szCs w:val="24"/>
              </w:rPr>
              <w:t>。</w:t>
            </w:r>
          </w:p>
          <w:p w14:paraId="5B3B4E61">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综合比较两个方案，线路均不涉及占用风景名胜、自然保护区、饮用水水源保护区，线路多位于山区，均能避让线路沿线居民点，在施工建设中避免了拆迁、补偿问题；线路沿线均有乡村道路和机耕道路，交通较为便利，材料运输、施工建设、运行检修较为方便。</w:t>
            </w:r>
          </w:p>
          <w:p w14:paraId="0D3ABC14">
            <w:pPr>
              <w:pStyle w:val="15"/>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从线路长短看，两个方案相差</w:t>
            </w:r>
            <w:r>
              <w:rPr>
                <w:rFonts w:hint="eastAsia" w:ascii="Times New Roman" w:hAnsi="Times New Roman"/>
                <w:color w:val="auto"/>
                <w:sz w:val="24"/>
                <w:szCs w:val="24"/>
              </w:rPr>
              <w:t>不</w:t>
            </w:r>
            <w:r>
              <w:rPr>
                <w:rFonts w:ascii="Times New Roman" w:hAnsi="Times New Roman"/>
                <w:color w:val="auto"/>
                <w:sz w:val="24"/>
                <w:szCs w:val="24"/>
              </w:rPr>
              <w:t>大，方案</w:t>
            </w:r>
            <w:r>
              <w:rPr>
                <w:rFonts w:hint="eastAsia" w:ascii="Times New Roman" w:hAnsi="Times New Roman"/>
                <w:color w:val="auto"/>
                <w:sz w:val="24"/>
                <w:szCs w:val="24"/>
              </w:rPr>
              <w:t>二</w:t>
            </w:r>
            <w:r>
              <w:rPr>
                <w:rFonts w:ascii="Times New Roman" w:hAnsi="Times New Roman"/>
                <w:color w:val="auto"/>
                <w:sz w:val="24"/>
                <w:szCs w:val="24"/>
              </w:rPr>
              <w:t>较长，方案</w:t>
            </w:r>
            <w:r>
              <w:rPr>
                <w:rFonts w:hint="eastAsia" w:ascii="Times New Roman" w:hAnsi="Times New Roman"/>
                <w:color w:val="auto"/>
                <w:sz w:val="24"/>
                <w:szCs w:val="24"/>
              </w:rPr>
              <w:t>一</w:t>
            </w:r>
            <w:r>
              <w:rPr>
                <w:rFonts w:ascii="Times New Roman" w:hAnsi="Times New Roman"/>
                <w:color w:val="auto"/>
                <w:sz w:val="24"/>
                <w:szCs w:val="24"/>
              </w:rPr>
              <w:t>短</w:t>
            </w:r>
            <w:r>
              <w:rPr>
                <w:rFonts w:hint="eastAsia" w:ascii="Times New Roman" w:hAnsi="Times New Roman"/>
                <w:color w:val="auto"/>
                <w:sz w:val="24"/>
                <w:szCs w:val="24"/>
              </w:rPr>
              <w:t>1.9</w:t>
            </w:r>
            <w:r>
              <w:rPr>
                <w:rFonts w:ascii="Times New Roman" w:hAnsi="Times New Roman"/>
                <w:color w:val="auto"/>
                <w:sz w:val="24"/>
                <w:szCs w:val="24"/>
              </w:rPr>
              <w:t>km。方案</w:t>
            </w:r>
            <w:r>
              <w:rPr>
                <w:rFonts w:hint="eastAsia" w:ascii="Times New Roman" w:hAnsi="Times New Roman"/>
                <w:color w:val="auto"/>
                <w:sz w:val="24"/>
                <w:szCs w:val="24"/>
              </w:rPr>
              <w:t>二</w:t>
            </w:r>
            <w:r>
              <w:rPr>
                <w:rFonts w:ascii="Times New Roman" w:hAnsi="Times New Roman"/>
                <w:color w:val="auto"/>
                <w:sz w:val="24"/>
                <w:szCs w:val="24"/>
              </w:rPr>
              <w:t>线路路径长，曲折系数高，投资大，运行维护投资较大。另外，两个方案均</w:t>
            </w:r>
            <w:r>
              <w:rPr>
                <w:rFonts w:hint="eastAsia" w:ascii="Times New Roman" w:hAnsi="Times New Roman"/>
                <w:color w:val="auto"/>
                <w:sz w:val="24"/>
                <w:szCs w:val="24"/>
              </w:rPr>
              <w:t>占用永久基本农田，</w:t>
            </w:r>
            <w:r>
              <w:rPr>
                <w:rFonts w:ascii="Times New Roman" w:hAnsi="Times New Roman"/>
                <w:color w:val="auto"/>
                <w:sz w:val="24"/>
                <w:szCs w:val="24"/>
              </w:rPr>
              <w:t>但方案</w:t>
            </w:r>
            <w:r>
              <w:rPr>
                <w:rFonts w:hint="eastAsia" w:ascii="Times New Roman" w:hAnsi="Times New Roman"/>
                <w:color w:val="auto"/>
                <w:sz w:val="24"/>
                <w:szCs w:val="24"/>
              </w:rPr>
              <w:t>二占用基本农田400m</w:t>
            </w:r>
            <w:r>
              <w:rPr>
                <w:rFonts w:hint="eastAsia" w:ascii="Times New Roman" w:hAnsi="Times New Roman"/>
                <w:color w:val="auto"/>
                <w:sz w:val="24"/>
                <w:szCs w:val="24"/>
                <w:vertAlign w:val="superscript"/>
              </w:rPr>
              <w:t>2</w:t>
            </w:r>
            <w:r>
              <w:rPr>
                <w:rFonts w:ascii="Times New Roman" w:hAnsi="Times New Roman"/>
                <w:color w:val="auto"/>
                <w:sz w:val="24"/>
                <w:szCs w:val="24"/>
              </w:rPr>
              <w:t>，</w:t>
            </w:r>
            <w:r>
              <w:rPr>
                <w:rFonts w:hint="eastAsia" w:ascii="Times New Roman" w:hAnsi="Times New Roman"/>
                <w:color w:val="auto"/>
                <w:sz w:val="24"/>
                <w:szCs w:val="24"/>
              </w:rPr>
              <w:t>比方案一多162.44m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w:t>
            </w:r>
            <w:r>
              <w:rPr>
                <w:rFonts w:ascii="Times New Roman" w:hAnsi="Times New Roman"/>
                <w:color w:val="auto"/>
                <w:sz w:val="24"/>
                <w:szCs w:val="24"/>
              </w:rPr>
              <w:t>对</w:t>
            </w:r>
            <w:r>
              <w:rPr>
                <w:rFonts w:hint="eastAsia" w:ascii="Times New Roman" w:hAnsi="Times New Roman"/>
                <w:color w:val="auto"/>
                <w:sz w:val="24"/>
                <w:szCs w:val="24"/>
              </w:rPr>
              <w:t>农业</w:t>
            </w:r>
            <w:r>
              <w:rPr>
                <w:rFonts w:ascii="Times New Roman" w:hAnsi="Times New Roman"/>
                <w:color w:val="auto"/>
                <w:sz w:val="24"/>
                <w:szCs w:val="24"/>
              </w:rPr>
              <w:t>环境影响相对较大</w:t>
            </w:r>
            <w:r>
              <w:rPr>
                <w:rFonts w:hint="eastAsia" w:ascii="Times New Roman" w:hAnsi="Times New Roman"/>
                <w:color w:val="auto"/>
                <w:sz w:val="24"/>
                <w:szCs w:val="24"/>
              </w:rPr>
              <w:t>，协调难度较大；方案二</w:t>
            </w:r>
            <w:r>
              <w:rPr>
                <w:rFonts w:hint="eastAsia" w:ascii="Times New Roman" w:hAnsi="Times New Roman"/>
                <w:color w:val="auto"/>
                <w:sz w:val="24"/>
                <w:szCs w:val="24"/>
                <w:lang w:val="en-US" w:eastAsia="zh-CN"/>
              </w:rPr>
              <w:t>距离</w:t>
            </w:r>
            <w:r>
              <w:rPr>
                <w:rFonts w:hint="eastAsia" w:ascii="Times New Roman" w:hAnsi="Times New Roman"/>
                <w:color w:val="auto"/>
                <w:sz w:val="24"/>
                <w:szCs w:val="24"/>
              </w:rPr>
              <w:t>生态保护红线</w:t>
            </w:r>
            <w:r>
              <w:rPr>
                <w:rFonts w:hint="eastAsia" w:ascii="Times New Roman" w:hAnsi="Times New Roman"/>
                <w:color w:val="auto"/>
                <w:sz w:val="24"/>
                <w:szCs w:val="24"/>
                <w:lang w:val="en-US" w:eastAsia="zh-CN"/>
              </w:rPr>
              <w:t>更近</w:t>
            </w:r>
            <w:r>
              <w:rPr>
                <w:rFonts w:hint="eastAsia" w:ascii="Times New Roman" w:hAnsi="Times New Roman"/>
                <w:color w:val="auto"/>
                <w:sz w:val="24"/>
                <w:szCs w:val="24"/>
              </w:rPr>
              <w:t>，</w:t>
            </w:r>
            <w:r>
              <w:rPr>
                <w:rFonts w:ascii="Times New Roman" w:hAnsi="Times New Roman"/>
                <w:color w:val="auto"/>
                <w:sz w:val="24"/>
                <w:szCs w:val="24"/>
              </w:rPr>
              <w:t>对区域的植被、植物及动物影响相对较大</w:t>
            </w:r>
            <w:r>
              <w:rPr>
                <w:rFonts w:hint="eastAsia" w:ascii="Times New Roman" w:hAnsi="Times New Roman"/>
                <w:color w:val="auto"/>
                <w:sz w:val="24"/>
                <w:szCs w:val="24"/>
              </w:rPr>
              <w:t>；另外，方案二涉及大气环境、噪声、电磁环境敏感目标多2处，对周围环境影响大，</w:t>
            </w:r>
            <w:r>
              <w:rPr>
                <w:rFonts w:ascii="Times New Roman" w:hAnsi="Times New Roman"/>
                <w:color w:val="auto"/>
                <w:sz w:val="24"/>
                <w:szCs w:val="24"/>
              </w:rPr>
              <w:t>因此，从环保角度考虑，推荐方案一。</w:t>
            </w:r>
          </w:p>
          <w:p w14:paraId="214E00C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综上，环评推荐方案一</w:t>
            </w:r>
            <w:r>
              <w:rPr>
                <w:rFonts w:hint="eastAsia" w:ascii="Times New Roman" w:hAnsi="Times New Roman"/>
                <w:color w:val="auto"/>
                <w:sz w:val="24"/>
                <w:szCs w:val="24"/>
              </w:rPr>
              <w:t>，与设计推荐方案一致</w:t>
            </w:r>
            <w:r>
              <w:rPr>
                <w:rFonts w:ascii="Times New Roman" w:hAnsi="Times New Roman"/>
                <w:color w:val="auto"/>
                <w:sz w:val="24"/>
                <w:szCs w:val="24"/>
              </w:rPr>
              <w:t>。</w:t>
            </w:r>
          </w:p>
          <w:p w14:paraId="48802D34">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同时，本工程线路路径选择时已充分征得了当地政府、发改、林业</w:t>
            </w:r>
            <w:r>
              <w:rPr>
                <w:rFonts w:hint="eastAsia" w:ascii="Times New Roman" w:hAnsi="Times New Roman"/>
                <w:color w:val="auto"/>
                <w:sz w:val="24"/>
              </w:rPr>
              <w:t>、自然资源局、环保</w:t>
            </w:r>
            <w:r>
              <w:rPr>
                <w:rFonts w:ascii="Times New Roman" w:hAnsi="Times New Roman"/>
                <w:color w:val="auto"/>
                <w:sz w:val="24"/>
              </w:rPr>
              <w:t>等行政部门的支持与同意。</w:t>
            </w:r>
          </w:p>
          <w:p w14:paraId="723F517F">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（2）临时工程选址合理性分析</w:t>
            </w:r>
          </w:p>
          <w:p w14:paraId="2B661A0F">
            <w:pPr>
              <w:adjustRightInd w:val="0"/>
              <w:snapToGrid w:val="0"/>
              <w:spacing w:line="440" w:lineRule="exact"/>
              <w:ind w:firstLine="480" w:firstLineChars="20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根据施工布置，项目线路布置61个塔基施工场地、牵张场4处、跨越施工场地10个及人抬道路1450m，不单独设置表土堆场。项目临时工程布置充分考虑了主体工程施工便利，同时兼顾了水土流失治理与防护，降低对环境的不利影响，项目塔基施工场地均设置在项目占地范围内，不占用自然保护区、自然公园、世界自然遗产、重要生境、饮用水水源保护区、基本农田等敏感区域，在施工过程中采取防尘措施，降低对环境的不利影响，因此，从生态环境保护的角度出发，项目临时工程占地的选址可行。</w:t>
            </w:r>
          </w:p>
          <w:p w14:paraId="78530119">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综上所述，本次线路工程在规划、设计时，对沿线的环境敏感目标进行了有效的避让，在跨越道路、输电线路、通信线路时均选择了合适的跨越高度和距离；</w:t>
            </w:r>
            <w:r>
              <w:rPr>
                <w:rFonts w:ascii="Times New Roman" w:hAnsi="Times New Roman"/>
                <w:color w:val="auto"/>
                <w:kern w:val="0"/>
                <w:sz w:val="24"/>
                <w:szCs w:val="20"/>
              </w:rPr>
              <w:t>本项目</w:t>
            </w:r>
            <w:r>
              <w:rPr>
                <w:rFonts w:ascii="Times New Roman" w:hAnsi="Times New Roman"/>
                <w:color w:val="auto"/>
                <w:sz w:val="24"/>
              </w:rPr>
              <w:t>选址选线不涉及风景名胜区、自然保护区等生态敏感区，</w:t>
            </w:r>
            <w:r>
              <w:rPr>
                <w:rFonts w:hint="eastAsia" w:ascii="Times New Roman" w:hAnsi="Times New Roman"/>
                <w:color w:val="auto"/>
                <w:sz w:val="24"/>
              </w:rPr>
              <w:t>线路路径</w:t>
            </w:r>
            <w:r>
              <w:rPr>
                <w:rFonts w:ascii="Times New Roman" w:hAnsi="Times New Roman"/>
                <w:bCs/>
                <w:color w:val="auto"/>
                <w:sz w:val="24"/>
              </w:rPr>
              <w:t>已取得</w:t>
            </w:r>
            <w:r>
              <w:rPr>
                <w:rFonts w:ascii="Times New Roman" w:hAnsi="Times New Roman"/>
                <w:color w:val="auto"/>
                <w:sz w:val="24"/>
                <w:szCs w:val="24"/>
              </w:rPr>
              <w:t>会泽县人民政府《关于</w:t>
            </w:r>
            <w:r>
              <w:rPr>
                <w:rFonts w:hint="eastAsia" w:ascii="Times New Roman" w:hAnsi="Times New Roman"/>
                <w:color w:val="auto"/>
                <w:sz w:val="24"/>
                <w:szCs w:val="24"/>
              </w:rPr>
              <w:t>云南华电道成清洁能源有限公司六合一至乐业变220kV送出线路工程</w:t>
            </w:r>
            <w:r>
              <w:rPr>
                <w:rFonts w:ascii="Times New Roman" w:hAnsi="Times New Roman"/>
                <w:color w:val="auto"/>
                <w:sz w:val="24"/>
                <w:szCs w:val="24"/>
              </w:rPr>
              <w:t>路径方案的批复》（会政复〔202</w:t>
            </w:r>
            <w:r>
              <w:rPr>
                <w:rFonts w:hint="eastAsia" w:ascii="Times New Roman" w:hAnsi="Times New Roman"/>
                <w:color w:val="auto"/>
                <w:sz w:val="24"/>
                <w:szCs w:val="24"/>
              </w:rPr>
              <w:t>6</w:t>
            </w:r>
            <w:r>
              <w:rPr>
                <w:rFonts w:ascii="Times New Roman" w:hAnsi="Times New Roman"/>
                <w:color w:val="auto"/>
                <w:sz w:val="24"/>
                <w:szCs w:val="24"/>
              </w:rPr>
              <w:t>〕</w:t>
            </w:r>
            <w:r>
              <w:rPr>
                <w:rFonts w:hint="eastAsia" w:ascii="Times New Roman" w:hAnsi="Times New Roman"/>
                <w:color w:val="auto"/>
                <w:sz w:val="24"/>
                <w:szCs w:val="24"/>
              </w:rPr>
              <w:t>172</w:t>
            </w:r>
            <w:r>
              <w:rPr>
                <w:rFonts w:ascii="Times New Roman" w:hAnsi="Times New Roman"/>
                <w:color w:val="auto"/>
                <w:sz w:val="24"/>
                <w:szCs w:val="24"/>
              </w:rPr>
              <w:t>号）</w:t>
            </w:r>
            <w:r>
              <w:rPr>
                <w:rFonts w:ascii="Times New Roman" w:hAnsi="Times New Roman"/>
                <w:color w:val="auto"/>
                <w:sz w:val="24"/>
              </w:rPr>
              <w:t>，</w:t>
            </w:r>
            <w:r>
              <w:rPr>
                <w:rFonts w:ascii="Times New Roman" w:hAnsi="Times New Roman"/>
                <w:bCs/>
                <w:color w:val="auto"/>
                <w:sz w:val="24"/>
              </w:rPr>
              <w:t>满足相关法律法规的管控要求和技术规范要求</w:t>
            </w:r>
            <w:r>
              <w:rPr>
                <w:rFonts w:ascii="Times New Roman" w:hAnsi="Times New Roman"/>
                <w:color w:val="auto"/>
                <w:sz w:val="24"/>
              </w:rPr>
              <w:t>。线路沿线有公路、乡村道路和机耕道路，交通较为便利，材料运输、施工建设、运行检修较为方便。项目的选址选线符合《输变电建设项目环境保护技术要求》（HJ1113-2020）中建设项目环境保护的选址选线的环境保护要求。严格落实本次评价提出的各项措施后，项目施工建设、运营对生态环境的影响是可接受的。本工程线路路径选择时已充分征得了当地政府、发改、林业等行政部门的支持与同意。</w:t>
            </w:r>
          </w:p>
          <w:p w14:paraId="235E1ACA">
            <w:pPr>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从环境保护角度分析，项目选址选线合理。</w:t>
            </w:r>
          </w:p>
          <w:p w14:paraId="6C3670DA">
            <w:pPr>
              <w:adjustRightInd w:val="0"/>
              <w:snapToGrid w:val="0"/>
              <w:spacing w:line="440" w:lineRule="exact"/>
              <w:ind w:firstLine="480" w:firstLineChars="200"/>
              <w:rPr>
                <w:rFonts w:ascii="Times New Roman" w:hAnsi="Times New Roman"/>
                <w:color w:val="auto"/>
                <w:sz w:val="24"/>
                <w:szCs w:val="24"/>
              </w:rPr>
            </w:pPr>
          </w:p>
          <w:p w14:paraId="7F94413E">
            <w:pPr>
              <w:adjustRightInd w:val="0"/>
              <w:snapToGrid w:val="0"/>
              <w:spacing w:line="440" w:lineRule="exact"/>
              <w:ind w:firstLine="480" w:firstLineChars="200"/>
              <w:rPr>
                <w:rFonts w:ascii="Times New Roman" w:hAnsi="Times New Roman"/>
                <w:color w:val="auto"/>
                <w:sz w:val="24"/>
                <w:szCs w:val="24"/>
              </w:rPr>
            </w:pPr>
          </w:p>
          <w:p w14:paraId="7597F702">
            <w:pPr>
              <w:adjustRightInd w:val="0"/>
              <w:snapToGrid w:val="0"/>
              <w:spacing w:line="440" w:lineRule="exact"/>
              <w:ind w:firstLine="480" w:firstLineChars="200"/>
              <w:rPr>
                <w:rFonts w:ascii="Times New Roman" w:hAnsi="Times New Roman"/>
                <w:color w:val="auto"/>
                <w:sz w:val="24"/>
                <w:szCs w:val="24"/>
              </w:rPr>
            </w:pPr>
          </w:p>
          <w:p w14:paraId="61EC01EF">
            <w:pPr>
              <w:adjustRightInd w:val="0"/>
              <w:snapToGrid w:val="0"/>
              <w:spacing w:line="440" w:lineRule="exact"/>
              <w:ind w:firstLine="480" w:firstLineChars="200"/>
              <w:rPr>
                <w:rFonts w:ascii="Times New Roman" w:hAnsi="Times New Roman"/>
                <w:color w:val="auto"/>
                <w:sz w:val="24"/>
                <w:szCs w:val="24"/>
              </w:rPr>
            </w:pPr>
          </w:p>
          <w:p w14:paraId="4D5710EB">
            <w:pPr>
              <w:adjustRightInd w:val="0"/>
              <w:snapToGrid w:val="0"/>
              <w:spacing w:line="440" w:lineRule="exact"/>
              <w:ind w:firstLine="480" w:firstLineChars="200"/>
              <w:rPr>
                <w:rFonts w:ascii="Times New Roman" w:hAnsi="Times New Roman"/>
                <w:color w:val="auto"/>
                <w:sz w:val="24"/>
                <w:szCs w:val="24"/>
              </w:rPr>
            </w:pPr>
          </w:p>
          <w:p w14:paraId="2030E050">
            <w:pPr>
              <w:adjustRightInd w:val="0"/>
              <w:snapToGrid w:val="0"/>
              <w:spacing w:line="440" w:lineRule="exact"/>
              <w:ind w:firstLine="480" w:firstLineChars="200"/>
              <w:rPr>
                <w:rFonts w:ascii="Times New Roman" w:hAnsi="Times New Roman"/>
                <w:color w:val="auto"/>
                <w:sz w:val="24"/>
                <w:szCs w:val="24"/>
              </w:rPr>
            </w:pPr>
          </w:p>
          <w:p w14:paraId="0E1A27D8">
            <w:pPr>
              <w:adjustRightInd w:val="0"/>
              <w:snapToGrid w:val="0"/>
              <w:spacing w:line="440" w:lineRule="exact"/>
              <w:ind w:firstLine="480" w:firstLineChars="200"/>
              <w:rPr>
                <w:rFonts w:ascii="Times New Roman" w:hAnsi="Times New Roman"/>
                <w:color w:val="auto"/>
                <w:sz w:val="24"/>
                <w:szCs w:val="24"/>
              </w:rPr>
            </w:pPr>
          </w:p>
        </w:tc>
      </w:tr>
    </w:tbl>
    <w:p w14:paraId="27020F39">
      <w:pPr>
        <w:pStyle w:val="3"/>
        <w:rPr>
          <w:rFonts w:ascii="Times New Roman" w:hAnsi="Times New Roman"/>
          <w:color w:val="auto"/>
        </w:rPr>
        <w:sectPr>
          <w:pgSz w:w="11907" w:h="16839"/>
          <w:pgMar w:top="1418" w:right="1531" w:bottom="1418" w:left="1531" w:header="794" w:footer="902" w:gutter="0"/>
          <w:pgBorders>
            <w:top w:val="none" w:sz="0" w:space="0"/>
            <w:left w:val="none" w:sz="0" w:space="0"/>
            <w:bottom w:val="none" w:sz="0" w:space="0"/>
            <w:right w:val="none" w:sz="0" w:space="0"/>
          </w:pgBorders>
          <w:cols w:space="425" w:num="1"/>
          <w:docGrid w:type="lines" w:linePitch="312" w:charSpace="0"/>
        </w:sectPr>
      </w:pPr>
      <w:bookmarkStart w:id="98" w:name="_Toc74062916"/>
    </w:p>
    <w:p w14:paraId="150ECD5C">
      <w:pPr>
        <w:pStyle w:val="3"/>
        <w:rPr>
          <w:rFonts w:ascii="Times New Roman" w:hAnsi="Times New Roman"/>
          <w:color w:val="auto"/>
        </w:rPr>
      </w:pPr>
      <w:r>
        <w:rPr>
          <w:rFonts w:ascii="Times New Roman" w:hAnsi="Times New Roman"/>
          <w:color w:val="auto"/>
        </w:rPr>
        <w:t>五、主要生态环境保护措施</w:t>
      </w:r>
      <w:bookmarkEnd w:id="98"/>
    </w:p>
    <w:tbl>
      <w:tblPr>
        <w:tblStyle w:val="2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8808"/>
      </w:tblGrid>
      <w:tr w14:paraId="4E6B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shd w:val="clear" w:color="auto" w:fill="auto"/>
            <w:vAlign w:val="center"/>
          </w:tcPr>
          <w:p w14:paraId="73E8F91E">
            <w:pPr>
              <w:spacing w:line="360" w:lineRule="auto"/>
              <w:jc w:val="center"/>
              <w:rPr>
                <w:rFonts w:ascii="Times New Roman" w:hAnsi="Times New Roman"/>
                <w:b/>
                <w:color w:val="auto"/>
                <w:sz w:val="24"/>
                <w:szCs w:val="24"/>
              </w:rPr>
            </w:pPr>
          </w:p>
          <w:p w14:paraId="4BA9E4AA">
            <w:pPr>
              <w:spacing w:line="360" w:lineRule="auto"/>
              <w:jc w:val="center"/>
              <w:rPr>
                <w:rFonts w:ascii="Times New Roman" w:hAnsi="Times New Roman"/>
                <w:b/>
                <w:color w:val="auto"/>
                <w:sz w:val="24"/>
                <w:szCs w:val="24"/>
              </w:rPr>
            </w:pPr>
          </w:p>
          <w:p w14:paraId="4FB635D5">
            <w:pPr>
              <w:spacing w:line="360" w:lineRule="auto"/>
              <w:jc w:val="center"/>
              <w:rPr>
                <w:rFonts w:ascii="Times New Roman" w:hAnsi="Times New Roman"/>
                <w:b/>
                <w:color w:val="auto"/>
                <w:sz w:val="24"/>
                <w:szCs w:val="24"/>
              </w:rPr>
            </w:pPr>
          </w:p>
          <w:p w14:paraId="1C3C11AF">
            <w:pPr>
              <w:spacing w:line="360" w:lineRule="auto"/>
              <w:jc w:val="center"/>
              <w:rPr>
                <w:rFonts w:ascii="Times New Roman" w:hAnsi="Times New Roman"/>
                <w:b/>
                <w:color w:val="auto"/>
                <w:sz w:val="24"/>
                <w:szCs w:val="24"/>
              </w:rPr>
            </w:pPr>
          </w:p>
          <w:p w14:paraId="477F303B">
            <w:pPr>
              <w:spacing w:line="360" w:lineRule="auto"/>
              <w:jc w:val="center"/>
              <w:rPr>
                <w:rFonts w:ascii="Times New Roman" w:hAnsi="Times New Roman"/>
                <w:b/>
                <w:color w:val="auto"/>
                <w:sz w:val="24"/>
                <w:szCs w:val="24"/>
              </w:rPr>
            </w:pPr>
          </w:p>
          <w:p w14:paraId="756A101C">
            <w:pPr>
              <w:spacing w:line="360" w:lineRule="auto"/>
              <w:jc w:val="center"/>
              <w:rPr>
                <w:rFonts w:ascii="Times New Roman" w:hAnsi="Times New Roman"/>
                <w:b/>
                <w:color w:val="auto"/>
                <w:sz w:val="24"/>
                <w:szCs w:val="24"/>
              </w:rPr>
            </w:pPr>
          </w:p>
          <w:p w14:paraId="00F909B9">
            <w:pPr>
              <w:spacing w:line="360" w:lineRule="auto"/>
              <w:jc w:val="center"/>
              <w:rPr>
                <w:rFonts w:ascii="Times New Roman" w:hAnsi="Times New Roman"/>
                <w:b/>
                <w:color w:val="auto"/>
                <w:sz w:val="24"/>
                <w:szCs w:val="24"/>
              </w:rPr>
            </w:pPr>
          </w:p>
          <w:p w14:paraId="6CF6A1F2">
            <w:pPr>
              <w:spacing w:line="360" w:lineRule="auto"/>
              <w:jc w:val="center"/>
              <w:rPr>
                <w:rFonts w:ascii="Times New Roman" w:hAnsi="Times New Roman"/>
                <w:b/>
                <w:color w:val="auto"/>
                <w:sz w:val="24"/>
                <w:szCs w:val="24"/>
              </w:rPr>
            </w:pPr>
          </w:p>
          <w:p w14:paraId="4CAFB368">
            <w:pPr>
              <w:spacing w:line="360" w:lineRule="auto"/>
              <w:jc w:val="center"/>
              <w:rPr>
                <w:rFonts w:ascii="Times New Roman" w:hAnsi="Times New Roman"/>
                <w:b/>
                <w:color w:val="auto"/>
                <w:sz w:val="24"/>
                <w:szCs w:val="24"/>
              </w:rPr>
            </w:pPr>
            <w:r>
              <w:rPr>
                <w:rFonts w:ascii="Times New Roman" w:hAnsi="Times New Roman"/>
                <w:b/>
                <w:color w:val="auto"/>
                <w:sz w:val="24"/>
                <w:szCs w:val="24"/>
              </w:rPr>
              <w:t>施工期生态环境保护措施</w:t>
            </w:r>
          </w:p>
          <w:p w14:paraId="0B8270C8">
            <w:pPr>
              <w:spacing w:line="360" w:lineRule="auto"/>
              <w:jc w:val="center"/>
              <w:rPr>
                <w:rFonts w:ascii="Times New Roman" w:hAnsi="Times New Roman"/>
                <w:b/>
                <w:color w:val="auto"/>
                <w:sz w:val="24"/>
                <w:szCs w:val="24"/>
              </w:rPr>
            </w:pPr>
          </w:p>
          <w:p w14:paraId="262D4D86">
            <w:pPr>
              <w:spacing w:line="360" w:lineRule="auto"/>
              <w:jc w:val="center"/>
              <w:rPr>
                <w:rFonts w:ascii="Times New Roman" w:hAnsi="Times New Roman"/>
                <w:b/>
                <w:color w:val="auto"/>
                <w:sz w:val="24"/>
                <w:szCs w:val="24"/>
              </w:rPr>
            </w:pPr>
          </w:p>
          <w:p w14:paraId="3303CF3E">
            <w:pPr>
              <w:spacing w:line="360" w:lineRule="auto"/>
              <w:jc w:val="center"/>
              <w:rPr>
                <w:rFonts w:ascii="Times New Roman" w:hAnsi="Times New Roman"/>
                <w:b/>
                <w:color w:val="auto"/>
                <w:sz w:val="24"/>
                <w:szCs w:val="24"/>
              </w:rPr>
            </w:pPr>
          </w:p>
          <w:p w14:paraId="343254E4">
            <w:pPr>
              <w:spacing w:line="360" w:lineRule="auto"/>
              <w:jc w:val="center"/>
              <w:rPr>
                <w:rFonts w:ascii="Times New Roman" w:hAnsi="Times New Roman"/>
                <w:b/>
                <w:color w:val="auto"/>
                <w:sz w:val="24"/>
                <w:szCs w:val="24"/>
              </w:rPr>
            </w:pPr>
          </w:p>
          <w:p w14:paraId="09EF80BA">
            <w:pPr>
              <w:spacing w:line="360" w:lineRule="auto"/>
              <w:jc w:val="center"/>
              <w:rPr>
                <w:rFonts w:ascii="Times New Roman" w:hAnsi="Times New Roman"/>
                <w:b/>
                <w:color w:val="auto"/>
                <w:sz w:val="24"/>
                <w:szCs w:val="24"/>
              </w:rPr>
            </w:pPr>
          </w:p>
          <w:p w14:paraId="442A2780">
            <w:pPr>
              <w:spacing w:line="360" w:lineRule="auto"/>
              <w:jc w:val="center"/>
              <w:rPr>
                <w:rFonts w:ascii="Times New Roman" w:hAnsi="Times New Roman"/>
                <w:b/>
                <w:color w:val="auto"/>
                <w:sz w:val="24"/>
                <w:szCs w:val="24"/>
              </w:rPr>
            </w:pPr>
          </w:p>
          <w:p w14:paraId="203A41BA">
            <w:pPr>
              <w:spacing w:line="360" w:lineRule="auto"/>
              <w:jc w:val="center"/>
              <w:rPr>
                <w:rFonts w:ascii="Times New Roman" w:hAnsi="Times New Roman"/>
                <w:b/>
                <w:color w:val="auto"/>
                <w:sz w:val="24"/>
                <w:szCs w:val="24"/>
              </w:rPr>
            </w:pPr>
          </w:p>
          <w:p w14:paraId="75F84972">
            <w:pPr>
              <w:spacing w:line="360" w:lineRule="auto"/>
              <w:jc w:val="center"/>
              <w:rPr>
                <w:rFonts w:ascii="Times New Roman" w:hAnsi="Times New Roman"/>
                <w:b/>
                <w:color w:val="auto"/>
                <w:sz w:val="24"/>
                <w:szCs w:val="24"/>
              </w:rPr>
            </w:pPr>
          </w:p>
          <w:p w14:paraId="51268230">
            <w:pPr>
              <w:spacing w:line="360" w:lineRule="auto"/>
              <w:jc w:val="center"/>
              <w:rPr>
                <w:rFonts w:ascii="Times New Roman" w:hAnsi="Times New Roman"/>
                <w:b/>
                <w:color w:val="auto"/>
                <w:sz w:val="24"/>
                <w:szCs w:val="24"/>
              </w:rPr>
            </w:pPr>
          </w:p>
          <w:p w14:paraId="4D5D5B4E">
            <w:pPr>
              <w:spacing w:line="360" w:lineRule="auto"/>
              <w:jc w:val="center"/>
              <w:rPr>
                <w:rFonts w:ascii="Times New Roman" w:hAnsi="Times New Roman"/>
                <w:b/>
                <w:color w:val="auto"/>
                <w:sz w:val="24"/>
                <w:szCs w:val="24"/>
              </w:rPr>
            </w:pPr>
          </w:p>
          <w:p w14:paraId="1184A072">
            <w:pPr>
              <w:spacing w:line="360" w:lineRule="auto"/>
              <w:jc w:val="center"/>
              <w:rPr>
                <w:rFonts w:ascii="Times New Roman" w:hAnsi="Times New Roman"/>
                <w:b/>
                <w:color w:val="auto"/>
                <w:sz w:val="24"/>
                <w:szCs w:val="24"/>
              </w:rPr>
            </w:pPr>
          </w:p>
          <w:p w14:paraId="280BF87A">
            <w:pPr>
              <w:spacing w:line="360" w:lineRule="auto"/>
              <w:jc w:val="center"/>
              <w:rPr>
                <w:rFonts w:ascii="Times New Roman" w:hAnsi="Times New Roman"/>
                <w:b/>
                <w:color w:val="auto"/>
                <w:sz w:val="24"/>
                <w:szCs w:val="24"/>
              </w:rPr>
            </w:pPr>
          </w:p>
          <w:p w14:paraId="6E482999">
            <w:pPr>
              <w:spacing w:line="360" w:lineRule="auto"/>
              <w:jc w:val="center"/>
              <w:rPr>
                <w:rFonts w:ascii="Times New Roman" w:hAnsi="Times New Roman"/>
                <w:b/>
                <w:color w:val="auto"/>
                <w:sz w:val="24"/>
                <w:szCs w:val="24"/>
              </w:rPr>
            </w:pPr>
          </w:p>
          <w:p w14:paraId="6170C525">
            <w:pPr>
              <w:spacing w:line="360" w:lineRule="auto"/>
              <w:jc w:val="center"/>
              <w:rPr>
                <w:rFonts w:ascii="Times New Roman" w:hAnsi="Times New Roman"/>
                <w:b/>
                <w:color w:val="auto"/>
                <w:sz w:val="24"/>
                <w:szCs w:val="24"/>
              </w:rPr>
            </w:pPr>
          </w:p>
          <w:p w14:paraId="3E48124E">
            <w:pPr>
              <w:spacing w:line="360" w:lineRule="auto"/>
              <w:jc w:val="center"/>
              <w:rPr>
                <w:rFonts w:ascii="Times New Roman" w:hAnsi="Times New Roman"/>
                <w:b/>
                <w:color w:val="auto"/>
                <w:sz w:val="24"/>
                <w:szCs w:val="24"/>
              </w:rPr>
            </w:pPr>
          </w:p>
          <w:p w14:paraId="6DF30975">
            <w:pPr>
              <w:spacing w:line="360" w:lineRule="auto"/>
              <w:jc w:val="center"/>
              <w:rPr>
                <w:rFonts w:ascii="Times New Roman" w:hAnsi="Times New Roman"/>
                <w:b/>
                <w:color w:val="auto"/>
                <w:sz w:val="24"/>
                <w:szCs w:val="24"/>
              </w:rPr>
            </w:pPr>
          </w:p>
          <w:p w14:paraId="1FBEC684">
            <w:pPr>
              <w:spacing w:line="360" w:lineRule="auto"/>
              <w:jc w:val="center"/>
              <w:rPr>
                <w:rFonts w:ascii="Times New Roman" w:hAnsi="Times New Roman"/>
                <w:b/>
                <w:color w:val="auto"/>
                <w:sz w:val="24"/>
                <w:szCs w:val="24"/>
              </w:rPr>
            </w:pPr>
          </w:p>
          <w:p w14:paraId="74D276EA">
            <w:pPr>
              <w:spacing w:line="360" w:lineRule="auto"/>
              <w:jc w:val="center"/>
              <w:rPr>
                <w:rFonts w:ascii="Times New Roman" w:hAnsi="Times New Roman"/>
                <w:b/>
                <w:color w:val="auto"/>
                <w:sz w:val="24"/>
                <w:szCs w:val="24"/>
              </w:rPr>
            </w:pPr>
          </w:p>
          <w:p w14:paraId="4928DB5B">
            <w:pPr>
              <w:spacing w:line="360" w:lineRule="auto"/>
              <w:jc w:val="center"/>
              <w:rPr>
                <w:rFonts w:ascii="Times New Roman" w:hAnsi="Times New Roman"/>
                <w:b/>
                <w:color w:val="auto"/>
                <w:sz w:val="24"/>
                <w:szCs w:val="24"/>
              </w:rPr>
            </w:pPr>
          </w:p>
          <w:p w14:paraId="3F73FEB6">
            <w:pPr>
              <w:spacing w:line="360" w:lineRule="auto"/>
              <w:jc w:val="center"/>
              <w:rPr>
                <w:rFonts w:ascii="Times New Roman" w:hAnsi="Times New Roman"/>
                <w:b/>
                <w:color w:val="auto"/>
                <w:sz w:val="24"/>
                <w:szCs w:val="24"/>
              </w:rPr>
            </w:pPr>
          </w:p>
          <w:p w14:paraId="5FFF5EFC">
            <w:pPr>
              <w:spacing w:line="360" w:lineRule="auto"/>
              <w:jc w:val="center"/>
              <w:rPr>
                <w:rFonts w:ascii="Times New Roman" w:hAnsi="Times New Roman"/>
                <w:b/>
                <w:color w:val="auto"/>
                <w:sz w:val="24"/>
                <w:szCs w:val="24"/>
              </w:rPr>
            </w:pPr>
            <w:r>
              <w:rPr>
                <w:rFonts w:ascii="Times New Roman" w:hAnsi="Times New Roman"/>
                <w:b/>
                <w:color w:val="auto"/>
                <w:sz w:val="24"/>
                <w:szCs w:val="24"/>
              </w:rPr>
              <w:t>施</w:t>
            </w:r>
          </w:p>
          <w:p w14:paraId="62EBE5B4">
            <w:pPr>
              <w:spacing w:line="360" w:lineRule="auto"/>
              <w:jc w:val="center"/>
              <w:rPr>
                <w:rFonts w:ascii="Times New Roman" w:hAnsi="Times New Roman"/>
                <w:b/>
                <w:color w:val="auto"/>
                <w:sz w:val="24"/>
                <w:szCs w:val="24"/>
              </w:rPr>
            </w:pPr>
            <w:r>
              <w:rPr>
                <w:rFonts w:ascii="Times New Roman" w:hAnsi="Times New Roman"/>
                <w:b/>
                <w:color w:val="auto"/>
                <w:sz w:val="24"/>
                <w:szCs w:val="24"/>
              </w:rPr>
              <w:t>工期生态环境保护措施</w:t>
            </w:r>
          </w:p>
        </w:tc>
        <w:tc>
          <w:tcPr>
            <w:tcW w:w="8808" w:type="dxa"/>
            <w:shd w:val="clear" w:color="auto" w:fill="auto"/>
          </w:tcPr>
          <w:p w14:paraId="0ED80369">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5.1施工期生态环境保护措施</w:t>
            </w:r>
          </w:p>
          <w:p w14:paraId="10077E88">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5.1.1生态环境保护措施</w:t>
            </w:r>
          </w:p>
          <w:p w14:paraId="0A8DE168">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（1）土地占用保护措施</w:t>
            </w:r>
          </w:p>
          <w:p w14:paraId="000CF68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1）建议建设单位以合同形式要求施工单位在施工过程中必须按照设计要求，严格控制开挖范围及开挖量，输电线路施工限制在事先划定的施工区内。</w:t>
            </w:r>
          </w:p>
          <w:p w14:paraId="0C5A3ECF">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2）对开挖后的裸露开挖面用苫布覆盖，避免降雨时水流直接冲刷；施工时开挖的土石方不允许就地倾倒，应采取回填等方式妥善处置，临时堆土应采取围护拦挡措施，并在土体表面覆上苫布防止雨水冲刷造成水土流失。</w:t>
            </w:r>
          </w:p>
          <w:p w14:paraId="7D2853A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3）优化塔基布置，避开旱地和林地，确实无法避让的，应尽量布置在边角处，减少对农业耕作的影响。优化铁塔设计，减少永久占地和对林木的砍伐量。</w:t>
            </w:r>
          </w:p>
          <w:p w14:paraId="0F1E2DF8">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4）塔基已避让生态保护红线，施工占用旱地、林地时，施工前应进行表土剥离，将表土单独堆存并做好覆盖、拦挡等防护措施，施工结束后用于项目区植被恢复或耕作区域表层覆土。</w:t>
            </w:r>
          </w:p>
          <w:p w14:paraId="13D62D95">
            <w:pPr>
              <w:pStyle w:val="51"/>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ascii="Times New Roman" w:hAnsi="Times New Roman" w:cs="Times New Roman"/>
                <w:color w:val="auto"/>
                <w:sz w:val="24"/>
                <w:szCs w:val="24"/>
              </w:rPr>
            </w:pPr>
            <w:r>
              <w:rPr>
                <w:rFonts w:hint="eastAsia" w:ascii="Times New Roman" w:hAnsi="Times New Roman" w:cs="Times New Roman"/>
                <w:color w:val="auto"/>
                <w:sz w:val="24"/>
                <w:szCs w:val="24"/>
              </w:rPr>
              <w:t>5）合理规划施工临时道路、牵张场等临时场地，合理划定施工范围和人员、车辆的行走路线，避免对施工范围之外区域的动植物造成碾压和破坏。</w:t>
            </w:r>
          </w:p>
          <w:p w14:paraId="1A9F603C">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6）种植植物应选择本地物种，避免引入外来物种，造林严格按造林施工作业设计，以达到尽快覆盖的目的。</w:t>
            </w:r>
          </w:p>
          <w:p w14:paraId="6F3B8CA0">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（2）植被及植物保护措施</w:t>
            </w:r>
          </w:p>
          <w:p w14:paraId="5A8EC41E">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1）施工应在红线区范围内进行，文明施工，集中堆放材料，严禁踩踏施工区域外地表植被。</w:t>
            </w:r>
          </w:p>
          <w:p w14:paraId="3206A59D">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2）输电线路塔基施工时，建设单位应划定施工活动范围，避免对周边区域植被造成破坏。</w:t>
            </w:r>
            <w:r>
              <w:rPr>
                <w:rFonts w:ascii="Times New Roman" w:hAnsi="Times New Roman" w:cs="Times New Roman"/>
                <w:color w:val="auto"/>
                <w:sz w:val="24"/>
                <w:szCs w:val="24"/>
              </w:rPr>
              <w:t>线路根据地形条件采用全方位高低腿铁塔，基础开挖时选用掏挖基础影响较小开挖方式，少占土地，减少土石方开挖量及水土流失，保护生态环境；基础开挖临时堆土应采用临时拦挡措施，用苫布覆盖，回填多余土石方选择合适地点堆放，并采取措施进行防护，塔基周围其他区域采取铺垫措施减少扰动破坏。</w:t>
            </w:r>
          </w:p>
          <w:p w14:paraId="440C5565">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3）塔基施工开挖时应分层开挖，分层堆放，注意表土保护，施工结束后按原土层顺序分层回填，以利于后期植被恢复。</w:t>
            </w:r>
          </w:p>
          <w:p w14:paraId="2834E9F8">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4）对线路沿线经过的林地，采取高跨方式通过，严禁砍伐通道；输电线路采用先进的架线工艺，如无人机等展放线，减少对线路走廊下方植被的破坏。</w:t>
            </w:r>
          </w:p>
          <w:p w14:paraId="1100A69D">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5）建设单位应根据林业用地的管理规定，对于永久占地造成的植被破坏，应严格按照有关规定向政府和主管部门办理征占用林地审核审批手续，缴纳相关青苗补偿费、林木赔偿费，并由相关部门统一安排。严禁超计划占用林地，严禁随意扩大占地范围。</w:t>
            </w:r>
          </w:p>
          <w:p w14:paraId="61048E81">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6）施工结束后，尽快清理施工场地，及时清理残留在原场地的混凝土、土石方，并对施工扰动区域进行植被恢复。施工结束后，选择区域本土物种对施工占地进行绿化恢复，尽可能减少项目建设对植被的影响；输电线路施工期，牵张场尽量选择地势平缓、植被稀疏的场地，主动避让植被覆盖度高、林木茂盛的区域。</w:t>
            </w:r>
          </w:p>
          <w:p w14:paraId="06DBD0EB">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7）工程施工过程中强化管理，提高管理者的消防意识，注意管理巡查，避免森林火灾的发生。对施工人员进行环保教育及有关法律法规的宣传教育，让施工人员知道生物多样性受国家法律保护，破坏生物多样性是要承担相应的法律责任。</w:t>
            </w:r>
          </w:p>
          <w:p w14:paraId="39EA89FC">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8）完善林地手续，严格按照签订的补偿协议缴纳补偿费用。对工程临时占地及时进行植被恢复，选择当地的常见生态林种，如云南松等进行植被恢复。对塔基占地沿线坡度较缓的地带实施补种栽培，促进植被恢复。对较陡的边坡可考虑采用围栏及其他工程措施进行特殊管护以促进其尽快恢复。</w:t>
            </w:r>
          </w:p>
          <w:p w14:paraId="75BC4E61">
            <w:pPr>
              <w:pStyle w:val="5"/>
              <w:numPr>
                <w:ilvl w:val="2"/>
                <w:numId w:val="0"/>
              </w:numPr>
              <w:adjustRightInd w:val="0"/>
              <w:snapToGrid w:val="0"/>
              <w:spacing w:line="440" w:lineRule="exact"/>
              <w:ind w:firstLine="482" w:firstLineChars="200"/>
              <w:rPr>
                <w:rFonts w:ascii="Times New Roman" w:hAnsi="Times New Roman"/>
                <w:color w:val="auto"/>
                <w:szCs w:val="24"/>
              </w:rPr>
            </w:pPr>
            <w:r>
              <w:rPr>
                <w:rFonts w:hint="eastAsia" w:ascii="Times New Roman" w:hAnsi="Times New Roman"/>
                <w:color w:val="auto"/>
                <w:szCs w:val="24"/>
              </w:rPr>
              <w:t>（3）陆生野生脊椎动物保护措施</w:t>
            </w:r>
          </w:p>
          <w:p w14:paraId="5417C42A">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1）加强施工人员的环境保护教育，提高施工人员和相关管理人员的环保意识，严禁捕杀野生动物的行为。</w:t>
            </w:r>
          </w:p>
          <w:p w14:paraId="2ECD72E0">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2）采用低噪声的机械等施工设备，减少施工活动噪声对野生动物的驱赶效应。</w:t>
            </w:r>
          </w:p>
          <w:p w14:paraId="1ABCB945">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3）尽量利用原有田间道路、机耕路等现有道路作为施工道路，减小施工道路开辟对野生动物生活环境的破坏范围和强度。尽可能利用已建硬化道路、机耕路、林区小路等现有道路和人抬马驮相结合的方式进行材料运输。施工中控制声源，选取低噪声设备，并合理安排强噪声施工行为的时间，减少施工噪声对野生动物的干扰，合理制定施工计划，避免在夜间以及鸟类繁殖季节进行施工。</w:t>
            </w:r>
          </w:p>
          <w:p w14:paraId="551C40E4">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4）施工结束后，对施工扰动区域及临时占地区域进行原生态恢复，恢复野生动物生境。科学规划、精心组织、强化教育、缩短工期，减少工程施工期对鸟类栖息地的扰动和破坏，降低施工噪声对鸟类的惊扰和驱赶，避免捕鸟、掏蛋等对鸟类直接伤害的行为。</w:t>
            </w:r>
          </w:p>
          <w:p w14:paraId="37F246D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5）经过植被较好的区域时应采用高塔架设和无人机放线等施工架线工艺；穿越天然植被（云南松林）基塔施工减少开挖，使用无人机布线。施工现场使用带油料的机械器具，应铺设彩条布防止油料跑、冒、滴、漏，防止对土壤和水体造成污染。除施工必要的砍伐外，禁止乱砍滥伐，禁止砍伐非施工用地范围内的植物。</w:t>
            </w:r>
          </w:p>
          <w:p w14:paraId="6494820A">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6）对保护物种的影响减缓措施：禁止超范围占地，要有效地限制施工活动范围，减少人为活动对动物的影响；禁止施工人员猎捕野生动物，禁止乱砍滥伐，破坏野生动物生境；选用低噪声机械设备进行施工，控制施工噪声、施工扬尘、固体废弃物等，减少施工人员、设备与污染对周边野生动物的干扰；另外，施工噪声较大的环节建议避让评价区内保护动物的繁殖季节（3-4月），施工结束后，应立即对临时用地进行植被恢复，恢复动物的栖息环境。</w:t>
            </w:r>
          </w:p>
          <w:p w14:paraId="304DB4F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7）建设单位应成立监督管理机构，制定相应的管理、奖惩制度，配备专职人员对工程施工的全过程进行监督管理。杜绝乱砍滥伐、捕猎行为的发生；加强林业管理，严禁捕猎鸟类、兽类、砍伐非施工区域的植物，违者应依法处理。</w:t>
            </w:r>
          </w:p>
          <w:p w14:paraId="302440D2">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（4）基本农田保护措施</w:t>
            </w:r>
          </w:p>
          <w:p w14:paraId="79D79100">
            <w:pPr>
              <w:adjustRightInd w:val="0"/>
              <w:snapToGrid w:val="0"/>
              <w:spacing w:line="440" w:lineRule="exact"/>
              <w:ind w:firstLine="480"/>
              <w:rPr>
                <w:rFonts w:ascii="Times New Roman" w:hAnsi="Times New Roman"/>
                <w:color w:val="auto"/>
                <w:sz w:val="24"/>
                <w:szCs w:val="32"/>
                <w:lang w:val="zh-CN"/>
              </w:rPr>
            </w:pPr>
            <w:r>
              <w:rPr>
                <w:rFonts w:ascii="Times New Roman" w:hAnsi="Times New Roman"/>
                <w:color w:val="auto"/>
                <w:sz w:val="24"/>
                <w:szCs w:val="32"/>
                <w:lang w:val="zh-CN"/>
              </w:rPr>
              <w:t>①施工人员应从永久基本农田区域外绕行至塔基位置实施掏挖基坑和组立铁塔。</w:t>
            </w:r>
          </w:p>
          <w:p w14:paraId="5DE2AF99">
            <w:pPr>
              <w:adjustRightInd w:val="0"/>
              <w:snapToGrid w:val="0"/>
              <w:spacing w:line="440" w:lineRule="exact"/>
              <w:ind w:firstLine="480"/>
              <w:rPr>
                <w:rFonts w:ascii="Times New Roman" w:hAnsi="Times New Roman"/>
                <w:color w:val="auto"/>
                <w:sz w:val="24"/>
                <w:szCs w:val="32"/>
                <w:lang w:val="zh-CN"/>
              </w:rPr>
            </w:pPr>
            <w:r>
              <w:rPr>
                <w:rFonts w:ascii="Times New Roman" w:hAnsi="Times New Roman"/>
                <w:color w:val="auto"/>
                <w:sz w:val="24"/>
                <w:szCs w:val="32"/>
                <w:lang w:val="zh-CN"/>
              </w:rPr>
              <w:t>②使用无人机架设牵引绳牵引导线、牵张工艺拉紧导线的施工工艺，不在永久基本农田范围内设置“三场”以及牵张场、施工营地、施工道路等施工场地。</w:t>
            </w:r>
          </w:p>
          <w:p w14:paraId="5C77717F">
            <w:pPr>
              <w:adjustRightInd w:val="0"/>
              <w:snapToGrid w:val="0"/>
              <w:spacing w:line="440" w:lineRule="exact"/>
              <w:ind w:firstLine="480"/>
              <w:rPr>
                <w:rFonts w:ascii="Times New Roman" w:hAnsi="Times New Roman"/>
                <w:color w:val="auto"/>
                <w:sz w:val="24"/>
                <w:szCs w:val="32"/>
                <w:lang w:val="zh-CN"/>
              </w:rPr>
            </w:pPr>
            <w:r>
              <w:rPr>
                <w:rFonts w:ascii="Times New Roman" w:hAnsi="Times New Roman"/>
                <w:color w:val="auto"/>
                <w:sz w:val="24"/>
                <w:szCs w:val="32"/>
                <w:lang w:val="zh-CN"/>
              </w:rPr>
              <w:t>③施工期，在施工区周边设置生态保护警示牌，在基本农田边界设置警戒线，减少施工人员进入基本农田范围内活动，严禁随意破坏植被、植物。</w:t>
            </w:r>
          </w:p>
          <w:p w14:paraId="6D4A0B12">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（5）公益林保护措施</w:t>
            </w:r>
          </w:p>
          <w:p w14:paraId="4C97ADFF">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①按照《云南省公益林管理办法》和《建设项目使用林地审核审批管理规范》的相关要求，办理林业手续，落实公益林补偿和保护工作。</w:t>
            </w:r>
          </w:p>
          <w:p w14:paraId="71FADE3C">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②线路采取高塔跨越架设，仅对超高树枝进行修剪，临时用地避开林木密集区域，尽量选择林间斑块无树木、稀树荒草地处，减少对公益林的影响。</w:t>
            </w:r>
          </w:p>
          <w:p w14:paraId="402C9264">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③项目对公益林的影响主要集中在施工期，为此，根据占用的公益林区域的地形地貌及扰动情况，对临时占用的公益林区域内采取植物恢复措施；对于植物物种的选取，应以乡土树种为主，并且注意乔灌草的合理搭配；植被恢复主要从生态修复的角度出发，着重考虑植被的水土保持、涵养水源和保护生态环境的作用。</w:t>
            </w:r>
          </w:p>
          <w:p w14:paraId="08F8E411">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④运行后要跟踪监测，加强对临时占用公益林区域内的植被（包括自然植被和人工植被）的管理与养护。</w:t>
            </w:r>
          </w:p>
          <w:p w14:paraId="4F521C91">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⑤根据林业用地的管理规定，缴纳森林资源补偿费，并对临时占用的部分进行施工后的恢复，避免超计划占用林地，严禁随意扩大占地范围。</w:t>
            </w:r>
          </w:p>
          <w:p w14:paraId="1C1ECFF4">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⑥涉及占用公益林地，严格控制施工范围，施工过程中除占地范围内必须除去的树木外，不破坏塔基占地周围的树木，严禁乱砍滥伐。塔基基础弃渣全部回填，施工中未随意开辟施工便道。</w:t>
            </w:r>
          </w:p>
          <w:p w14:paraId="651C7EFB">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（6）</w:t>
            </w:r>
            <w:r>
              <w:rPr>
                <w:rFonts w:ascii="Times New Roman" w:hAnsi="Times New Roman"/>
                <w:b/>
                <w:color w:val="auto"/>
                <w:sz w:val="24"/>
                <w:szCs w:val="24"/>
              </w:rPr>
              <w:t>管理措施</w:t>
            </w:r>
          </w:p>
          <w:p w14:paraId="11405DFF">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①在施工过程中，如发现受保护的野生动植物，要及时报告当地林业部门。</w:t>
            </w:r>
          </w:p>
          <w:p w14:paraId="6D62A7F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②施工前，施工单位应做好施工</w:t>
            </w:r>
            <w:r>
              <w:rPr>
                <w:rFonts w:hint="eastAsia" w:ascii="Times New Roman" w:hAnsi="Times New Roman"/>
                <w:color w:val="auto"/>
                <w:sz w:val="24"/>
                <w:szCs w:val="24"/>
              </w:rPr>
              <w:t>期间</w:t>
            </w:r>
            <w:r>
              <w:rPr>
                <w:rFonts w:ascii="Times New Roman" w:hAnsi="Times New Roman"/>
                <w:color w:val="auto"/>
                <w:sz w:val="24"/>
                <w:szCs w:val="24"/>
              </w:rPr>
              <w:t>环境管理与教育培训、印发环境保护手册，组织专业人员对施工人员进行环保宣传教育</w:t>
            </w:r>
            <w:r>
              <w:rPr>
                <w:rFonts w:hint="eastAsia" w:ascii="Times New Roman" w:hAnsi="Times New Roman"/>
                <w:color w:val="auto"/>
                <w:sz w:val="24"/>
                <w:szCs w:val="24"/>
              </w:rPr>
              <w:t>，在</w:t>
            </w:r>
            <w:r>
              <w:rPr>
                <w:rFonts w:ascii="Times New Roman" w:hAnsi="Times New Roman"/>
                <w:color w:val="auto"/>
                <w:sz w:val="24"/>
                <w:szCs w:val="24"/>
              </w:rPr>
              <w:t>施工</w:t>
            </w:r>
            <w:r>
              <w:rPr>
                <w:rFonts w:hint="eastAsia" w:ascii="Times New Roman" w:hAnsi="Times New Roman"/>
                <w:color w:val="auto"/>
                <w:sz w:val="24"/>
                <w:szCs w:val="24"/>
              </w:rPr>
              <w:t>期间</w:t>
            </w:r>
            <w:r>
              <w:rPr>
                <w:rFonts w:ascii="Times New Roman" w:hAnsi="Times New Roman"/>
                <w:color w:val="auto"/>
                <w:sz w:val="24"/>
                <w:szCs w:val="24"/>
              </w:rPr>
              <w:t>严格</w:t>
            </w:r>
            <w:r>
              <w:rPr>
                <w:rFonts w:hint="eastAsia" w:ascii="Times New Roman" w:hAnsi="Times New Roman"/>
                <w:color w:val="auto"/>
                <w:sz w:val="24"/>
                <w:szCs w:val="24"/>
              </w:rPr>
              <w:t>控制</w:t>
            </w:r>
            <w:r>
              <w:rPr>
                <w:rFonts w:ascii="Times New Roman" w:hAnsi="Times New Roman"/>
                <w:color w:val="auto"/>
                <w:sz w:val="24"/>
                <w:szCs w:val="24"/>
              </w:rPr>
              <w:t>施工红线，严格行为规范，进行必要的管理监督。</w:t>
            </w:r>
          </w:p>
          <w:p w14:paraId="7CD1E47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③在施工设计文件中应说明施工期需注意的环保问题，如对沿线树木砍伐，野生动植物保护、植被恢复等情况均应按设计文件执行；严格要求施工单位按环保设计要求施工。</w:t>
            </w:r>
          </w:p>
          <w:p w14:paraId="1B36F60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④在人员活动较多和较集中的区域，如生产区域、项目部附近，粘贴和设置环境保护方面的警示牌，提醒人们依法保护自然环境。</w:t>
            </w:r>
          </w:p>
          <w:p w14:paraId="268894E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⑤加强生态入侵风险管理，加强项目区危险性林业有害生物的预防和控制，强化森林资源及其附近森林资源的保护，确保区域生态安全。</w:t>
            </w:r>
          </w:p>
          <w:p w14:paraId="60C52427">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通过采取以上生态保护措施，可最大限度</w:t>
            </w:r>
            <w:r>
              <w:rPr>
                <w:rFonts w:hint="eastAsia" w:ascii="Times New Roman" w:hAnsi="Times New Roman"/>
                <w:color w:val="auto"/>
                <w:sz w:val="24"/>
                <w:szCs w:val="24"/>
              </w:rPr>
              <w:t>地</w:t>
            </w:r>
            <w:r>
              <w:rPr>
                <w:rFonts w:ascii="Times New Roman" w:hAnsi="Times New Roman"/>
                <w:color w:val="auto"/>
                <w:sz w:val="24"/>
                <w:szCs w:val="24"/>
              </w:rPr>
              <w:t>保护好项目区域的生态环境。</w:t>
            </w:r>
          </w:p>
          <w:p w14:paraId="0608DBE4">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5.1.2声环境防治措施</w:t>
            </w:r>
          </w:p>
          <w:p w14:paraId="1CE866A3">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（1）要求施工单位文明施工，加强施工</w:t>
            </w:r>
            <w:r>
              <w:rPr>
                <w:rFonts w:hint="eastAsia" w:ascii="Times New Roman" w:hAnsi="Times New Roman"/>
                <w:color w:val="auto"/>
                <w:sz w:val="24"/>
                <w:szCs w:val="24"/>
              </w:rPr>
              <w:t>期间</w:t>
            </w:r>
            <w:r>
              <w:rPr>
                <w:rFonts w:ascii="Times New Roman" w:hAnsi="Times New Roman"/>
                <w:color w:val="auto"/>
                <w:sz w:val="24"/>
                <w:szCs w:val="24"/>
              </w:rPr>
              <w:t>的环境管理和环境监控工作，并接受环境保护部门的监督管理。</w:t>
            </w:r>
          </w:p>
          <w:p w14:paraId="1AB6468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（2）施工单位应采用噪声水平满足国家相应标准的施工机械设备，并在施工场地周围设置围栏以减小施工噪声影响。</w:t>
            </w:r>
          </w:p>
          <w:p w14:paraId="5DBC24D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（3）施工车辆经过居民区时减缓行驶速度，减少鸣笛。</w:t>
            </w:r>
          </w:p>
          <w:p w14:paraId="15DE6C1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（4）限制夜间高噪声施工。施工单位应尽量减少产生高噪声污染的施工内容，尽量避免使用高噪声设备。</w:t>
            </w:r>
          </w:p>
          <w:p w14:paraId="10E50D8A">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（5）加强设备的运行管理，使其保持良好的运行状态，从</w:t>
            </w:r>
            <w:r>
              <w:rPr>
                <w:rFonts w:hint="eastAsia" w:ascii="Times New Roman" w:hAnsi="Times New Roman"/>
                <w:color w:val="auto"/>
                <w:sz w:val="24"/>
                <w:szCs w:val="24"/>
              </w:rPr>
              <w:t>源头</w:t>
            </w:r>
            <w:r>
              <w:rPr>
                <w:rFonts w:ascii="Times New Roman" w:hAnsi="Times New Roman"/>
                <w:color w:val="auto"/>
                <w:sz w:val="24"/>
                <w:szCs w:val="24"/>
              </w:rPr>
              <w:t>上控制施工噪声对周边环境的影响。</w:t>
            </w:r>
          </w:p>
          <w:p w14:paraId="3E452B8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在采取依法限制产生噪声的夜间作业等噪声污染控制措施后，本项目在施工期的噪声对周边环境保护目标声环境的影响能满足法规和标准的要求，并且施工结束后施工噪声影响即可消失。</w:t>
            </w:r>
          </w:p>
          <w:p w14:paraId="7EA4471D">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5.1.3地表水环境保护措施</w:t>
            </w:r>
          </w:p>
          <w:p w14:paraId="7F4918A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（1）施工场地料场四周应修建截水排水沟，并在出口设置沉砂池和拦砂网，将含泥沙的雨水、泥浆经沉砂池沉淀后回用于施工路段路面洒水、施工环节。</w:t>
            </w:r>
          </w:p>
          <w:p w14:paraId="32436E8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（2）输电线路施工人员租住周边民房，施工人员生活污水依托租用民房已建设施收集处理，施工过程中产生的少量洗手废水经收集沉淀后回用于施工环节，不外排。</w:t>
            </w:r>
          </w:p>
          <w:p w14:paraId="5FF4CD6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（3）严格按设计要求，采取一档跨越河流，不在河流水域内和河道中立塔，不对跨越河流构成影响。</w:t>
            </w:r>
          </w:p>
          <w:p w14:paraId="4D78820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（4）施工期间禁止向水体排放、倾倒垃圾、弃土、弃渣。应加强对含油设施（包括车辆和线路施工设备）的管理，严禁在水体及其附近冲洗含油器械及车辆，避免油类物质进入水体。</w:t>
            </w:r>
          </w:p>
          <w:p w14:paraId="2321BE7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（5）施工现场如使用带油料的机械器具，应采取措施防止油料跑、冒、滴、漏，防止对土壤和水体造成污染。</w:t>
            </w:r>
          </w:p>
          <w:p w14:paraId="60955065">
            <w:pPr>
              <w:adjustRightInd w:val="0"/>
              <w:snapToGrid w:val="0"/>
              <w:spacing w:line="440" w:lineRule="exact"/>
              <w:ind w:firstLine="470" w:firstLineChars="200"/>
              <w:rPr>
                <w:rFonts w:ascii="Times New Roman" w:hAnsi="Times New Roman"/>
                <w:b/>
                <w:bCs/>
                <w:color w:val="auto"/>
                <w:spacing w:val="-3"/>
                <w:sz w:val="24"/>
                <w:szCs w:val="24"/>
              </w:rPr>
            </w:pPr>
            <w:r>
              <w:rPr>
                <w:rFonts w:ascii="Times New Roman" w:hAnsi="Times New Roman"/>
                <w:b/>
                <w:bCs/>
                <w:color w:val="auto"/>
                <w:spacing w:val="-3"/>
                <w:sz w:val="24"/>
                <w:szCs w:val="24"/>
              </w:rPr>
              <w:t>对跨越水体还需采取如下水环境保护措施：</w:t>
            </w:r>
          </w:p>
          <w:p w14:paraId="5B3A191E">
            <w:pPr>
              <w:adjustRightInd w:val="0"/>
              <w:snapToGrid w:val="0"/>
              <w:spacing w:line="440" w:lineRule="exact"/>
              <w:ind w:firstLine="468" w:firstLineChars="200"/>
              <w:rPr>
                <w:rFonts w:ascii="Times New Roman" w:hAnsi="Times New Roman"/>
                <w:color w:val="auto"/>
                <w:spacing w:val="-3"/>
                <w:sz w:val="24"/>
                <w:szCs w:val="24"/>
              </w:rPr>
            </w:pPr>
            <w:r>
              <w:rPr>
                <w:rFonts w:ascii="Times New Roman" w:hAnsi="Times New Roman"/>
                <w:color w:val="auto"/>
                <w:spacing w:val="-3"/>
                <w:sz w:val="24"/>
                <w:szCs w:val="24"/>
              </w:rPr>
              <w:t>（1）合理选择架线位置，采取一档跨越，不在水中立塔，塔基位置应尽可能远离河岸，减少塔基对河流的影响。</w:t>
            </w:r>
          </w:p>
          <w:p w14:paraId="5EE2795A">
            <w:pPr>
              <w:adjustRightInd w:val="0"/>
              <w:snapToGrid w:val="0"/>
              <w:spacing w:line="440" w:lineRule="exact"/>
              <w:ind w:firstLine="468" w:firstLineChars="200"/>
              <w:rPr>
                <w:rFonts w:ascii="Times New Roman" w:hAnsi="Times New Roman"/>
                <w:color w:val="auto"/>
                <w:spacing w:val="-3"/>
                <w:sz w:val="24"/>
                <w:szCs w:val="24"/>
              </w:rPr>
            </w:pPr>
            <w:r>
              <w:rPr>
                <w:rFonts w:ascii="Times New Roman" w:hAnsi="Times New Roman"/>
                <w:color w:val="auto"/>
                <w:spacing w:val="-3"/>
                <w:sz w:val="24"/>
                <w:szCs w:val="24"/>
              </w:rPr>
              <w:t>（2）禁止向水体排放油类，禁止在水体冲洗贮油类车辆，禁止向水体排放、倾倒废水、垃圾等。</w:t>
            </w:r>
          </w:p>
          <w:p w14:paraId="3156494A">
            <w:pPr>
              <w:adjustRightInd w:val="0"/>
              <w:snapToGrid w:val="0"/>
              <w:spacing w:line="440" w:lineRule="exact"/>
              <w:ind w:firstLine="468" w:firstLineChars="200"/>
              <w:rPr>
                <w:rFonts w:ascii="Times New Roman" w:hAnsi="Times New Roman"/>
                <w:color w:val="auto"/>
                <w:spacing w:val="-3"/>
                <w:sz w:val="24"/>
                <w:szCs w:val="24"/>
              </w:rPr>
            </w:pPr>
            <w:r>
              <w:rPr>
                <w:rFonts w:ascii="Times New Roman" w:hAnsi="Times New Roman"/>
                <w:color w:val="auto"/>
                <w:spacing w:val="-3"/>
                <w:sz w:val="24"/>
                <w:szCs w:val="24"/>
              </w:rPr>
              <w:t>（3）邻近河流的塔基施工时，施工人员不得在靠近水域附近搭建临时施工生活设施，严禁施工废水、生活污水、生活垃圾等排入水体，影响水体水质，施工场地尽可能远离河流。</w:t>
            </w:r>
          </w:p>
          <w:p w14:paraId="56465C52">
            <w:pPr>
              <w:adjustRightInd w:val="0"/>
              <w:snapToGrid w:val="0"/>
              <w:spacing w:line="440" w:lineRule="exact"/>
              <w:ind w:firstLine="468" w:firstLineChars="200"/>
              <w:rPr>
                <w:rFonts w:ascii="Times New Roman" w:hAnsi="Times New Roman"/>
                <w:color w:val="auto"/>
                <w:spacing w:val="-3"/>
                <w:sz w:val="24"/>
                <w:szCs w:val="24"/>
              </w:rPr>
            </w:pPr>
            <w:r>
              <w:rPr>
                <w:rFonts w:ascii="Times New Roman" w:hAnsi="Times New Roman"/>
                <w:color w:val="auto"/>
                <w:spacing w:val="-3"/>
                <w:sz w:val="24"/>
                <w:szCs w:val="24"/>
              </w:rPr>
              <w:t>采取上述措施后，可以有效地防治施工期生产废水、生活污水对地表水的污染，加之施工活动周期较短，因此不会导致施工场地周围水环境的污染。</w:t>
            </w:r>
          </w:p>
          <w:p w14:paraId="645097B8">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5.1.4环境空气环境保护措施</w:t>
            </w:r>
          </w:p>
          <w:p w14:paraId="02D95732">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（1）施工过程中，应当加强对施工现场和物料运输的管理，在施工工地设置硬质围挡，保持道路清洁，管控料堆和渣土堆放，防治扬尘污染。</w:t>
            </w:r>
          </w:p>
          <w:p w14:paraId="66F2DB79">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（2）施工过程中，对易起尘的临时堆土等应采用密闭式防尘布（网）进行苫盖，施工面集中且有条件的地方宜采取洒水降尘等有效措施，减少易造成大气污染的施工作业。</w:t>
            </w:r>
          </w:p>
          <w:p w14:paraId="0DDAA7A6">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（3）施工过程中，建设单位应当对裸露地面进行覆盖；暂时不能开工的建设用地超过三个月的，应当进行绿化、铺装或者遮盖。</w:t>
            </w:r>
          </w:p>
          <w:p w14:paraId="185E4AFF">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（4）进出场地的车辆限制车速，场内道路、堆场及车辆进出时洒水，保持湿润，减少或避免产生扬尘。</w:t>
            </w:r>
          </w:p>
          <w:p w14:paraId="746FDB3F">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（5）施工现场禁止将包装物、可燃垃圾等固体废弃物就地焚烧。</w:t>
            </w:r>
          </w:p>
          <w:p w14:paraId="023AEC16">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经采取以上措施后，项目施工期对大气环境的影响较小。</w:t>
            </w:r>
          </w:p>
          <w:p w14:paraId="297FC68F">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5.1.5固体废物防治措施</w:t>
            </w:r>
          </w:p>
          <w:p w14:paraId="25F12921">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cs="Times New Roman"/>
                <w:color w:val="auto"/>
                <w:sz w:val="24"/>
              </w:rPr>
              <w:t>施工人员食宿依托租用民房，施工现场产生的生活垃圾集中收集后清运至附近集镇垃圾收集点由当地环卫部门处置。</w:t>
            </w:r>
          </w:p>
          <w:p w14:paraId="2FC3A4EA">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（2）施工过程中产生</w:t>
            </w:r>
            <w:r>
              <w:rPr>
                <w:rFonts w:hint="eastAsia" w:ascii="Times New Roman" w:hAnsi="Times New Roman" w:cs="Times New Roman"/>
                <w:color w:val="auto"/>
                <w:sz w:val="24"/>
                <w:szCs w:val="24"/>
              </w:rPr>
              <w:t>的</w:t>
            </w:r>
            <w:r>
              <w:rPr>
                <w:rFonts w:ascii="Times New Roman" w:hAnsi="Times New Roman" w:cs="Times New Roman"/>
                <w:color w:val="auto"/>
                <w:sz w:val="24"/>
                <w:szCs w:val="24"/>
              </w:rPr>
              <w:t>废混凝土、</w:t>
            </w:r>
            <w:r>
              <w:rPr>
                <w:rFonts w:hint="eastAsia" w:ascii="Times New Roman" w:hAnsi="Times New Roman" w:cs="Times New Roman"/>
                <w:color w:val="auto"/>
                <w:sz w:val="24"/>
                <w:szCs w:val="24"/>
              </w:rPr>
              <w:t>砂</w:t>
            </w:r>
            <w:r>
              <w:rPr>
                <w:rFonts w:ascii="Times New Roman" w:hAnsi="Times New Roman" w:cs="Times New Roman"/>
                <w:color w:val="auto"/>
                <w:sz w:val="24"/>
                <w:szCs w:val="24"/>
              </w:rPr>
              <w:t>浆、废钢材配件、废包装等建筑垃圾，经集中收集、充分回收利用后清运至相关部门指定场所规范处置。</w:t>
            </w:r>
          </w:p>
          <w:p w14:paraId="7F9A7B3F">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（3）架空线路基础开挖产生的余土分别在各塔基占地范围内就地回填压实、综合利用；塔基施工剥离表土按规范要求集中堆放，施工完毕后用于复垦或植被恢复。</w:t>
            </w:r>
          </w:p>
          <w:p w14:paraId="647722B6">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（4）在林地、草地和农田施工时，施工临时占地宜采取隔离保护措施，施工结束后应将混凝土余料和残渣及时清除。</w:t>
            </w:r>
          </w:p>
          <w:p w14:paraId="497B7FA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（5）</w:t>
            </w:r>
            <w:r>
              <w:rPr>
                <w:rFonts w:ascii="Times New Roman" w:hAnsi="Times New Roman" w:cs="Times New Roman"/>
                <w:color w:val="auto"/>
                <w:sz w:val="24"/>
              </w:rPr>
              <w:t>严禁随意倾倒，建筑垃圾在装运过程中应避免混合，运输过程中应采取必要的防扬散、防遗撒、防渗漏、防</w:t>
            </w:r>
            <w:r>
              <w:rPr>
                <w:rFonts w:hint="eastAsia" w:ascii="Times New Roman" w:hAnsi="Times New Roman" w:cs="Times New Roman"/>
                <w:color w:val="auto"/>
                <w:sz w:val="24"/>
              </w:rPr>
              <w:t>噪声</w:t>
            </w:r>
            <w:r>
              <w:rPr>
                <w:rFonts w:ascii="Times New Roman" w:hAnsi="Times New Roman" w:cs="Times New Roman"/>
                <w:color w:val="auto"/>
                <w:sz w:val="24"/>
              </w:rPr>
              <w:t>措施，运输过程中宜使用新能源车和机械</w:t>
            </w:r>
            <w:r>
              <w:rPr>
                <w:rFonts w:ascii="Times New Roman" w:hAnsi="Times New Roman" w:cs="Times New Roman"/>
                <w:color w:val="auto"/>
                <w:sz w:val="24"/>
                <w:szCs w:val="24"/>
              </w:rPr>
              <w:t>。</w:t>
            </w:r>
          </w:p>
          <w:p w14:paraId="21DCF3D9">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在采取以上环保措施后，施工期产生的固体废弃物对周边环境的影响较小。</w:t>
            </w:r>
          </w:p>
          <w:p w14:paraId="34839EEE">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5.1.6电磁环境保护措施</w:t>
            </w:r>
          </w:p>
          <w:p w14:paraId="3874D4CC">
            <w:pPr>
              <w:pStyle w:val="51"/>
              <w:adjustRightInd w:val="0"/>
              <w:snapToGrid w:val="0"/>
              <w:spacing w:line="440" w:lineRule="exact"/>
              <w:ind w:firstLine="480" w:firstLineChars="200"/>
              <w:jc w:val="both"/>
              <w:rPr>
                <w:rFonts w:ascii="Times New Roman" w:hAnsi="Times New Roman" w:cs="Times New Roman"/>
                <w:color w:val="auto"/>
                <w:sz w:val="24"/>
                <w:szCs w:val="24"/>
                <w:highlight w:val="yellow"/>
              </w:rPr>
            </w:pPr>
            <w:r>
              <w:rPr>
                <w:rFonts w:hint="eastAsia" w:ascii="Times New Roman" w:hAnsi="Times New Roman" w:cs="Times New Roman"/>
                <w:color w:val="auto"/>
                <w:sz w:val="24"/>
                <w:szCs w:val="24"/>
              </w:rPr>
              <w:t>输电线路在交叉跨越时对地距离，在严格按照《110kV～750kV架空输电线路设计规范》（GB50545-2010）进行设计的基础上，根据预测分析得到：</w:t>
            </w:r>
          </w:p>
          <w:p w14:paraId="751462C2">
            <w:pPr>
              <w:widowControl/>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根据预测计算结果，</w:t>
            </w:r>
            <w:r>
              <w:rPr>
                <w:rFonts w:hint="eastAsia" w:ascii="Times New Roman" w:hAnsi="Times New Roman"/>
                <w:color w:val="auto"/>
                <w:sz w:val="24"/>
                <w:szCs w:val="24"/>
              </w:rPr>
              <w:t>本项目架空线路采用</w:t>
            </w:r>
            <w:r>
              <w:rPr>
                <w:rFonts w:ascii="Times New Roman" w:hAnsi="Times New Roman"/>
                <w:color w:val="auto"/>
                <w:sz w:val="24"/>
                <w:szCs w:val="24"/>
              </w:rPr>
              <w:t>22</w:t>
            </w:r>
            <w:r>
              <w:rPr>
                <w:rFonts w:hint="eastAsia" w:ascii="Times New Roman" w:hAnsi="Times New Roman"/>
                <w:color w:val="auto"/>
                <w:sz w:val="24"/>
                <w:szCs w:val="24"/>
              </w:rPr>
              <w:t>0kV单回架设</w:t>
            </w:r>
            <w:r>
              <w:rPr>
                <w:rFonts w:hint="eastAsia" w:ascii="Times New Roman" w:hAnsi="Times New Roman"/>
                <w:color w:val="auto"/>
                <w:sz w:val="24"/>
                <w:szCs w:val="24"/>
                <w:lang w:val="en-US" w:eastAsia="zh-CN"/>
              </w:rPr>
              <w:t>时</w:t>
            </w:r>
            <w:r>
              <w:rPr>
                <w:rFonts w:hint="eastAsia" w:ascii="Times New Roman" w:hAnsi="Times New Roman"/>
                <w:color w:val="auto"/>
                <w:sz w:val="24"/>
                <w:szCs w:val="24"/>
              </w:rPr>
              <w:t>对地高度不低于13.</w:t>
            </w:r>
            <w:r>
              <w:rPr>
                <w:rFonts w:hint="eastAsia" w:ascii="Times New Roman" w:hAnsi="Times New Roman"/>
                <w:color w:val="auto"/>
                <w:sz w:val="24"/>
                <w:szCs w:val="24"/>
                <w:lang w:val="en-US" w:eastAsia="zh-CN"/>
              </w:rPr>
              <w:t>8</w:t>
            </w:r>
            <w:r>
              <w:rPr>
                <w:rFonts w:hint="eastAsia" w:ascii="Times New Roman" w:hAnsi="Times New Roman"/>
                <w:color w:val="auto"/>
                <w:sz w:val="24"/>
                <w:szCs w:val="24"/>
              </w:rPr>
              <w:t>m和</w:t>
            </w:r>
            <w:r>
              <w:rPr>
                <w:rFonts w:ascii="Times New Roman" w:hAnsi="Times New Roman"/>
                <w:color w:val="auto"/>
                <w:sz w:val="24"/>
                <w:szCs w:val="24"/>
              </w:rPr>
              <w:t>22</w:t>
            </w:r>
            <w:r>
              <w:rPr>
                <w:rFonts w:hint="eastAsia" w:ascii="Times New Roman" w:hAnsi="Times New Roman"/>
                <w:color w:val="auto"/>
                <w:sz w:val="24"/>
                <w:szCs w:val="24"/>
              </w:rPr>
              <w:t>0kV双设单挂架设时对地高度不低于</w:t>
            </w:r>
            <w:r>
              <w:rPr>
                <w:rFonts w:hint="eastAsia" w:ascii="Times New Roman" w:hAnsi="Times New Roman"/>
                <w:color w:val="auto"/>
                <w:sz w:val="24"/>
                <w:szCs w:val="24"/>
                <w:lang w:val="en-US" w:eastAsia="zh-CN"/>
              </w:rPr>
              <w:t>14.5</w:t>
            </w:r>
            <w:r>
              <w:rPr>
                <w:rFonts w:hint="eastAsia" w:ascii="Times New Roman" w:hAnsi="Times New Roman"/>
                <w:color w:val="auto"/>
                <w:sz w:val="24"/>
                <w:szCs w:val="24"/>
              </w:rPr>
              <w:t>m，线路下方距地面1.5m处的工频电场、工频磁场能同时满足《电磁环境控制限值》（</w:t>
            </w:r>
            <w:r>
              <w:rPr>
                <w:rFonts w:ascii="Times New Roman" w:hAnsi="Times New Roman"/>
                <w:color w:val="auto"/>
                <w:sz w:val="24"/>
                <w:szCs w:val="24"/>
              </w:rPr>
              <w:t>GB8702-2014</w:t>
            </w:r>
            <w:r>
              <w:rPr>
                <w:rFonts w:hint="eastAsia" w:ascii="Times New Roman" w:hAnsi="Times New Roman"/>
                <w:color w:val="auto"/>
                <w:sz w:val="24"/>
                <w:szCs w:val="24"/>
              </w:rPr>
              <w:t>）表</w:t>
            </w:r>
            <w:r>
              <w:rPr>
                <w:rFonts w:ascii="Times New Roman" w:hAnsi="Times New Roman"/>
                <w:color w:val="auto"/>
                <w:sz w:val="24"/>
                <w:szCs w:val="24"/>
              </w:rPr>
              <w:t>1</w:t>
            </w:r>
            <w:r>
              <w:rPr>
                <w:rFonts w:hint="eastAsia" w:ascii="Times New Roman" w:hAnsi="Times New Roman"/>
                <w:color w:val="auto"/>
                <w:sz w:val="24"/>
                <w:szCs w:val="24"/>
              </w:rPr>
              <w:t>中工频电场</w:t>
            </w:r>
            <w:r>
              <w:rPr>
                <w:rFonts w:ascii="Times New Roman" w:hAnsi="Times New Roman"/>
                <w:color w:val="auto"/>
                <w:sz w:val="24"/>
                <w:szCs w:val="24"/>
              </w:rPr>
              <w:t>4000V/m</w:t>
            </w:r>
            <w:r>
              <w:rPr>
                <w:rFonts w:hint="eastAsia" w:ascii="Times New Roman" w:hAnsi="Times New Roman"/>
                <w:color w:val="auto"/>
                <w:sz w:val="24"/>
                <w:szCs w:val="24"/>
              </w:rPr>
              <w:t>、工频磁场</w:t>
            </w:r>
            <w:r>
              <w:rPr>
                <w:rFonts w:ascii="Times New Roman" w:hAnsi="Times New Roman"/>
                <w:color w:val="auto"/>
                <w:sz w:val="24"/>
                <w:szCs w:val="24"/>
              </w:rPr>
              <w:t>100μT</w:t>
            </w:r>
            <w:r>
              <w:rPr>
                <w:rFonts w:hint="eastAsia" w:ascii="Times New Roman" w:hAnsi="Times New Roman"/>
                <w:color w:val="auto"/>
                <w:sz w:val="24"/>
                <w:szCs w:val="24"/>
              </w:rPr>
              <w:t>公众曝露限值要求。</w:t>
            </w:r>
          </w:p>
          <w:p w14:paraId="2A1DA5B6">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采取上述措施后，可以有效地减小电磁环境的影响。</w:t>
            </w:r>
          </w:p>
        </w:tc>
      </w:tr>
      <w:tr w14:paraId="6F3D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shd w:val="clear" w:color="auto" w:fill="auto"/>
            <w:vAlign w:val="center"/>
          </w:tcPr>
          <w:p w14:paraId="7BE0DF66">
            <w:pPr>
              <w:spacing w:line="360" w:lineRule="auto"/>
              <w:jc w:val="center"/>
              <w:rPr>
                <w:rFonts w:ascii="Times New Roman" w:hAnsi="Times New Roman"/>
                <w:b/>
                <w:color w:val="auto"/>
                <w:sz w:val="24"/>
                <w:szCs w:val="24"/>
              </w:rPr>
            </w:pPr>
            <w:r>
              <w:rPr>
                <w:rFonts w:ascii="Times New Roman" w:hAnsi="Times New Roman"/>
                <w:b/>
                <w:color w:val="auto"/>
                <w:sz w:val="24"/>
                <w:szCs w:val="24"/>
              </w:rPr>
              <w:t>运营期生态环境保护措施</w:t>
            </w:r>
          </w:p>
        </w:tc>
        <w:tc>
          <w:tcPr>
            <w:tcW w:w="8808" w:type="dxa"/>
            <w:shd w:val="clear" w:color="auto" w:fill="auto"/>
          </w:tcPr>
          <w:p w14:paraId="7CE73BEB">
            <w:pPr>
              <w:adjustRightInd w:val="0"/>
              <w:snapToGrid w:val="0"/>
              <w:spacing w:line="440" w:lineRule="exact"/>
              <w:jc w:val="left"/>
              <w:rPr>
                <w:rFonts w:ascii="Times New Roman" w:hAnsi="Times New Roman"/>
                <w:b/>
                <w:bCs/>
                <w:color w:val="auto"/>
                <w:sz w:val="24"/>
                <w:szCs w:val="24"/>
              </w:rPr>
            </w:pPr>
            <w:r>
              <w:rPr>
                <w:rFonts w:ascii="Times New Roman" w:hAnsi="Times New Roman"/>
                <w:b/>
                <w:bCs/>
                <w:color w:val="auto"/>
                <w:sz w:val="24"/>
                <w:szCs w:val="24"/>
              </w:rPr>
              <w:t>5.2运营期生态环境保护措施</w:t>
            </w:r>
          </w:p>
          <w:p w14:paraId="4DF2ADEA">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5.2.1生态环境影响减缓措施</w:t>
            </w:r>
          </w:p>
          <w:p w14:paraId="7206DA79">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（1）在项目运行</w:t>
            </w:r>
            <w:r>
              <w:rPr>
                <w:rFonts w:hint="eastAsia" w:ascii="Times New Roman" w:hAnsi="Times New Roman"/>
                <w:color w:val="auto"/>
                <w:sz w:val="24"/>
                <w:szCs w:val="24"/>
                <w:lang w:eastAsia="zh-CN"/>
              </w:rPr>
              <w:t>期间</w:t>
            </w:r>
            <w:r>
              <w:rPr>
                <w:rFonts w:hint="eastAsia" w:ascii="Times New Roman" w:hAnsi="Times New Roman"/>
                <w:color w:val="auto"/>
                <w:sz w:val="24"/>
                <w:szCs w:val="24"/>
              </w:rPr>
              <w:t>需对线路沿线及塔基进行定期巡查及检修，应对线路运行维护人员进行生态环境保护，尤其是野生动植物保护相关知识的培训，提高他们的环境保护意识，不对工程周边区域的动植物及生态环境造成破坏。</w:t>
            </w:r>
          </w:p>
          <w:p w14:paraId="0BF84673">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（2）强化对设备检修维护人员的生态保护意识教育，加强管理，禁止滥采滥伐和捕猎野生动物，避免因此导致沿线自然植被破坏和野生动物的影响；</w:t>
            </w:r>
          </w:p>
          <w:p w14:paraId="4EB3723C">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3）定期对线路沿线生态保护和防护措施及设施进行检查，跟踪生态保护与恢复效果，以便及时采取后续措施。输电线路使用警示色。根据鸟类的视觉特征，将高压输电线路导线设置成对鸟类具有警示作用的颜色，提醒鸟类对障碍物的识别，减少碰撞几率。</w:t>
            </w:r>
          </w:p>
          <w:p w14:paraId="55323413">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（4）对于永久占地造成的植被破坏，建设单位应严格按照有关规定向政府和主管部门缴纳相关青苗补偿费、林木赔偿费等，并由相关部门统一安排植被恢复。</w:t>
            </w:r>
          </w:p>
          <w:p w14:paraId="0204934C">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（5）严格遵循《110kV～750kV架空输电线路施工及验收规范》（GB50233-2014），为保护评价区内天然植被，禁止砍伐通道，仅对运营后期生长到21m以上的林冠进行修剪。</w:t>
            </w:r>
          </w:p>
          <w:p w14:paraId="04938EA6">
            <w:pPr>
              <w:adjustRightInd w:val="0"/>
              <w:snapToGrid w:val="0"/>
              <w:spacing w:line="440" w:lineRule="exact"/>
              <w:ind w:firstLine="480" w:firstLineChars="200"/>
              <w:rPr>
                <w:rFonts w:ascii="Times New Roman" w:hAnsi="Times New Roman"/>
                <w:color w:val="auto"/>
                <w:sz w:val="24"/>
                <w:szCs w:val="24"/>
              </w:rPr>
            </w:pPr>
            <w:r>
              <w:rPr>
                <w:rFonts w:hint="eastAsia" w:ascii="Times New Roman" w:hAnsi="Times New Roman"/>
                <w:color w:val="auto"/>
                <w:sz w:val="24"/>
                <w:szCs w:val="24"/>
              </w:rPr>
              <w:t>（6）线路运行后，进行维护或巡视时不得新开道路。设置告示牌和警示牌。运行后制定相关的工作规则，避免维护人员伤害野生动物。</w:t>
            </w:r>
          </w:p>
          <w:p w14:paraId="2BD42716">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5.2.2声环境防治措施</w:t>
            </w:r>
          </w:p>
          <w:p w14:paraId="04EC4AFB">
            <w:pPr>
              <w:adjustRightInd w:val="0"/>
              <w:snapToGrid w:val="0"/>
              <w:spacing w:line="440" w:lineRule="exact"/>
              <w:ind w:firstLine="468" w:firstLineChars="200"/>
              <w:rPr>
                <w:rFonts w:ascii="Times New Roman" w:hAnsi="Times New Roman"/>
                <w:color w:val="auto"/>
                <w:sz w:val="24"/>
                <w:szCs w:val="24"/>
              </w:rPr>
            </w:pPr>
            <w:r>
              <w:rPr>
                <w:rFonts w:hint="eastAsia" w:ascii="Times New Roman" w:hAnsi="Times New Roman"/>
                <w:color w:val="auto"/>
                <w:spacing w:val="-3"/>
                <w:sz w:val="24"/>
                <w:szCs w:val="24"/>
              </w:rPr>
              <w:t>220kV六合一升压站和500kV乐业变电站</w:t>
            </w:r>
            <w:r>
              <w:rPr>
                <w:rFonts w:hint="eastAsia" w:ascii="Times New Roman" w:hAnsi="Times New Roman"/>
                <w:color w:val="auto"/>
                <w:sz w:val="24"/>
                <w:szCs w:val="24"/>
              </w:rPr>
              <w:t>内前期已设置围墙，采用低噪声设备。本次</w:t>
            </w:r>
            <w:r>
              <w:rPr>
                <w:rFonts w:ascii="Times New Roman" w:hAnsi="Times New Roman"/>
                <w:color w:val="auto"/>
                <w:sz w:val="24"/>
                <w:szCs w:val="24"/>
              </w:rPr>
              <w:t>架空</w:t>
            </w:r>
            <w:r>
              <w:rPr>
                <w:rFonts w:hint="eastAsia" w:ascii="Times New Roman" w:hAnsi="Times New Roman"/>
                <w:color w:val="auto"/>
                <w:sz w:val="24"/>
                <w:szCs w:val="24"/>
              </w:rPr>
              <w:t>线路</w:t>
            </w:r>
            <w:r>
              <w:rPr>
                <w:rFonts w:ascii="Times New Roman" w:hAnsi="Times New Roman"/>
                <w:color w:val="auto"/>
                <w:sz w:val="24"/>
                <w:szCs w:val="24"/>
              </w:rPr>
              <w:t>，通过采取选用低噪设备</w:t>
            </w:r>
            <w:r>
              <w:rPr>
                <w:rFonts w:hint="eastAsia" w:ascii="Times New Roman" w:hAnsi="Times New Roman"/>
                <w:color w:val="auto"/>
                <w:sz w:val="24"/>
                <w:szCs w:val="24"/>
              </w:rPr>
              <w:t>等</w:t>
            </w:r>
            <w:r>
              <w:rPr>
                <w:rFonts w:ascii="Times New Roman" w:hAnsi="Times New Roman"/>
                <w:color w:val="auto"/>
                <w:sz w:val="24"/>
                <w:szCs w:val="24"/>
              </w:rPr>
              <w:t>，项目输电线路在运营后无明显噪声产生，输电线路合理选择送电导线结构，确保导线对地高度，降低送电线路的可听噪声水平。线路运营后无明显噪声产生，不会对沿线环境产生影响。定期巡检设线路各类接口，确保接触良好，减少火花及电晕放电产生的噪声。</w:t>
            </w:r>
          </w:p>
          <w:p w14:paraId="78053B29">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采取上述措施后，运营期</w:t>
            </w:r>
            <w:r>
              <w:rPr>
                <w:rFonts w:hint="eastAsia" w:ascii="Times New Roman" w:hAnsi="Times New Roman"/>
                <w:color w:val="auto"/>
                <w:sz w:val="24"/>
                <w:szCs w:val="24"/>
              </w:rPr>
              <w:t>项目区</w:t>
            </w:r>
            <w:r>
              <w:rPr>
                <w:rFonts w:ascii="Times New Roman" w:hAnsi="Times New Roman"/>
                <w:color w:val="auto"/>
                <w:sz w:val="24"/>
                <w:szCs w:val="24"/>
              </w:rPr>
              <w:t>声环境质量满足相应标准要求。</w:t>
            </w:r>
          </w:p>
          <w:p w14:paraId="7BBB9062">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5.2.3地表水环境保护措施</w:t>
            </w:r>
          </w:p>
          <w:p w14:paraId="659F0B31">
            <w:pPr>
              <w:adjustRightInd w:val="0"/>
              <w:snapToGrid w:val="0"/>
              <w:spacing w:line="440" w:lineRule="exact"/>
              <w:ind w:firstLine="468" w:firstLineChars="200"/>
              <w:rPr>
                <w:rFonts w:ascii="Times New Roman" w:hAnsi="Times New Roman"/>
                <w:color w:val="auto"/>
                <w:sz w:val="24"/>
                <w:szCs w:val="24"/>
              </w:rPr>
            </w:pPr>
            <w:r>
              <w:rPr>
                <w:rFonts w:hint="eastAsia" w:ascii="Times New Roman" w:hAnsi="Times New Roman"/>
                <w:color w:val="auto"/>
                <w:spacing w:val="-3"/>
                <w:sz w:val="24"/>
                <w:szCs w:val="24"/>
              </w:rPr>
              <w:t>220kV六合一升压站和500kV乐业变电站</w:t>
            </w:r>
            <w:r>
              <w:rPr>
                <w:rFonts w:ascii="Times New Roman" w:hAnsi="Times New Roman"/>
                <w:color w:val="auto"/>
                <w:sz w:val="24"/>
                <w:szCs w:val="24"/>
              </w:rPr>
              <w:t>内现有设置雨污分流排水系统，按照要求设置地埋式污水处理装置处理废水后用于站内绿化，不外排。</w:t>
            </w:r>
          </w:p>
          <w:p w14:paraId="217D3FE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项目输电线路运行期不产生废水。线路运维人员定期巡线过程中，应避免在河流附近甚至向水域随意丢弃废弃物，防止对水质产生影响。</w:t>
            </w:r>
          </w:p>
          <w:p w14:paraId="5D0A3AD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采取上述措施后，项目运营期对周边地表水环境不会产生影响。</w:t>
            </w:r>
          </w:p>
          <w:p w14:paraId="6C813355">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5.2.4固体废物防治措施</w:t>
            </w:r>
          </w:p>
          <w:p w14:paraId="339B382B">
            <w:pPr>
              <w:pStyle w:val="51"/>
              <w:adjustRightInd w:val="0"/>
              <w:snapToGrid w:val="0"/>
              <w:spacing w:line="440" w:lineRule="exact"/>
              <w:ind w:firstLine="468" w:firstLineChars="200"/>
              <w:jc w:val="both"/>
              <w:rPr>
                <w:rFonts w:ascii="Times New Roman" w:hAnsi="Times New Roman" w:cs="Times New Roman"/>
                <w:color w:val="auto"/>
                <w:spacing w:val="-3"/>
                <w:sz w:val="24"/>
                <w:szCs w:val="24"/>
              </w:rPr>
            </w:pPr>
            <w:r>
              <w:rPr>
                <w:rFonts w:hint="eastAsia" w:ascii="Times New Roman" w:hAnsi="Times New Roman" w:cs="Times New Roman"/>
                <w:color w:val="auto"/>
                <w:spacing w:val="-3"/>
                <w:sz w:val="24"/>
                <w:szCs w:val="24"/>
              </w:rPr>
              <w:t>220kV六合一升压站和500kV乐业变电站</w:t>
            </w:r>
            <w:r>
              <w:rPr>
                <w:rFonts w:ascii="Times New Roman" w:hAnsi="Times New Roman" w:cs="Times New Roman"/>
                <w:color w:val="auto"/>
                <w:spacing w:val="-3"/>
                <w:sz w:val="24"/>
                <w:szCs w:val="24"/>
              </w:rPr>
              <w:t>内已设有垃圾桶等生活垃圾收集设施，生活垃圾定点收集，定期由环卫部门进行清运</w:t>
            </w:r>
            <w:r>
              <w:rPr>
                <w:rFonts w:hint="eastAsia" w:ascii="Times New Roman" w:hAnsi="Times New Roman" w:cs="Times New Roman"/>
                <w:color w:val="auto"/>
                <w:spacing w:val="-3"/>
                <w:sz w:val="24"/>
                <w:szCs w:val="24"/>
              </w:rPr>
              <w:t>；本次</w:t>
            </w:r>
            <w:r>
              <w:rPr>
                <w:rFonts w:ascii="Times New Roman" w:hAnsi="Times New Roman" w:cs="Times New Roman"/>
                <w:color w:val="auto"/>
                <w:spacing w:val="-3"/>
                <w:sz w:val="24"/>
                <w:szCs w:val="24"/>
              </w:rPr>
              <w:t>不新增生活垃圾及蓄电池总量，依托已建设施能满足处置要求</w:t>
            </w:r>
            <w:r>
              <w:rPr>
                <w:rFonts w:hint="eastAsia" w:ascii="Times New Roman" w:hAnsi="Times New Roman" w:cs="Times New Roman"/>
                <w:color w:val="auto"/>
                <w:spacing w:val="-3"/>
                <w:sz w:val="24"/>
                <w:szCs w:val="24"/>
              </w:rPr>
              <w:t>。</w:t>
            </w:r>
          </w:p>
          <w:p w14:paraId="64C69FDD">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架空线路运营期间产生的固体废物主要为运行</w:t>
            </w:r>
            <w:r>
              <w:rPr>
                <w:rFonts w:hint="eastAsia" w:ascii="Times New Roman" w:hAnsi="Times New Roman" w:cs="Times New Roman"/>
                <w:color w:val="auto"/>
                <w:sz w:val="24"/>
                <w:szCs w:val="24"/>
              </w:rPr>
              <w:t>检修</w:t>
            </w:r>
            <w:r>
              <w:rPr>
                <w:rFonts w:ascii="Times New Roman" w:hAnsi="Times New Roman" w:cs="Times New Roman"/>
                <w:color w:val="auto"/>
                <w:sz w:val="24"/>
                <w:szCs w:val="24"/>
              </w:rPr>
              <w:t>维护更换下来的绝缘子等金具，</w:t>
            </w:r>
            <w:r>
              <w:rPr>
                <w:rFonts w:hint="eastAsia" w:ascii="Times New Roman" w:hAnsi="Times New Roman" w:cs="Times New Roman"/>
                <w:color w:val="auto"/>
                <w:sz w:val="24"/>
                <w:szCs w:val="24"/>
              </w:rPr>
              <w:t>由供电局</w:t>
            </w:r>
            <w:r>
              <w:rPr>
                <w:rFonts w:ascii="Times New Roman" w:hAnsi="Times New Roman" w:cs="Times New Roman"/>
                <w:color w:val="auto"/>
                <w:sz w:val="24"/>
                <w:szCs w:val="24"/>
              </w:rPr>
              <w:t>统一回收处理。</w:t>
            </w:r>
          </w:p>
          <w:p w14:paraId="32EFBDBF">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采取上述措施后，本项目运营期固体废物对外环境无影响。</w:t>
            </w:r>
          </w:p>
          <w:p w14:paraId="324F27C6">
            <w:pPr>
              <w:adjustRightInd w:val="0"/>
              <w:snapToGrid w:val="0"/>
              <w:spacing w:line="440" w:lineRule="exact"/>
              <w:ind w:firstLine="482" w:firstLineChars="200"/>
              <w:rPr>
                <w:rFonts w:ascii="Times New Roman" w:hAnsi="Times New Roman"/>
                <w:b/>
                <w:bCs/>
                <w:color w:val="auto"/>
                <w:sz w:val="24"/>
                <w:szCs w:val="24"/>
              </w:rPr>
            </w:pPr>
            <w:r>
              <w:rPr>
                <w:rFonts w:ascii="Times New Roman" w:hAnsi="Times New Roman"/>
                <w:b/>
                <w:bCs/>
                <w:color w:val="auto"/>
                <w:sz w:val="24"/>
                <w:szCs w:val="24"/>
              </w:rPr>
              <w:t>5.2.5电磁环境防治措施</w:t>
            </w:r>
          </w:p>
          <w:p w14:paraId="21B5932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（1）运维人员对线路定期巡查及维护，确保线路的正常运行。</w:t>
            </w:r>
          </w:p>
          <w:p w14:paraId="4DDBDA52">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（2）输电线路</w:t>
            </w:r>
            <w:r>
              <w:rPr>
                <w:rFonts w:hint="eastAsia" w:ascii="Times New Roman" w:hAnsi="Times New Roman"/>
                <w:color w:val="auto"/>
                <w:sz w:val="24"/>
                <w:szCs w:val="24"/>
              </w:rPr>
              <w:t>跨越</w:t>
            </w:r>
            <w:r>
              <w:rPr>
                <w:rFonts w:ascii="Times New Roman" w:hAnsi="Times New Roman"/>
                <w:color w:val="auto"/>
                <w:sz w:val="24"/>
                <w:szCs w:val="24"/>
              </w:rPr>
              <w:t>非居民区时，在工频电场强度大于4000V/m且小于10</w:t>
            </w:r>
            <w:r>
              <w:rPr>
                <w:rFonts w:hint="eastAsia" w:ascii="Times New Roman" w:hAnsi="Times New Roman"/>
                <w:color w:val="auto"/>
                <w:sz w:val="24"/>
                <w:szCs w:val="24"/>
              </w:rPr>
              <w:t>kV</w:t>
            </w:r>
            <w:r>
              <w:rPr>
                <w:rFonts w:ascii="Times New Roman" w:hAnsi="Times New Roman"/>
                <w:color w:val="auto"/>
                <w:sz w:val="24"/>
                <w:szCs w:val="24"/>
              </w:rPr>
              <w:t>/m的耕地、园地等公众容易到达的场所区域内设置警示和防护指示标志。</w:t>
            </w:r>
          </w:p>
          <w:p w14:paraId="065365B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（3）架空线路对地、交叉跨越距离满足电力设计规程要求；</w:t>
            </w:r>
          </w:p>
          <w:p w14:paraId="4872D75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（4）线路交叉跨越公路或其他输电线路时，分别按有关设计规程、规定的要求，在交叉跨越段留有充裕的净高，使线路运行时对交叉跨越的对象无影响；</w:t>
            </w:r>
          </w:p>
          <w:p w14:paraId="78BC93C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（5）根据《电力设施保护条例》，在架空电力线路导线跨越重要公路和航道的区段，应设立标志，并标明导线距</w:t>
            </w:r>
            <w:r>
              <w:rPr>
                <w:rFonts w:hint="eastAsia" w:ascii="Times New Roman" w:hAnsi="Times New Roman"/>
                <w:color w:val="auto"/>
                <w:sz w:val="24"/>
                <w:szCs w:val="24"/>
              </w:rPr>
              <w:t>跨越</w:t>
            </w:r>
            <w:r>
              <w:rPr>
                <w:rFonts w:ascii="Times New Roman" w:hAnsi="Times New Roman"/>
                <w:color w:val="auto"/>
                <w:sz w:val="24"/>
                <w:szCs w:val="24"/>
              </w:rPr>
              <w:t>物体之间的安全距离。</w:t>
            </w:r>
          </w:p>
          <w:p w14:paraId="757E0B56">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（6）输电线路铁塔座架上应于醒目位置设置安全警示标志，标明严禁攀登，以防居民尤其是儿童发生意外。同时加强对线路走廊附近居民有关高压输电线路和环保知识的宣传、解释工作。</w:t>
            </w:r>
          </w:p>
          <w:p w14:paraId="7F85DE8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（7）开展运营期电磁环境监测和管理工作，切实减少对周围环境的电磁影响</w:t>
            </w:r>
            <w:r>
              <w:rPr>
                <w:rFonts w:hint="eastAsia" w:ascii="Times New Roman" w:hAnsi="Times New Roman"/>
                <w:color w:val="auto"/>
                <w:sz w:val="24"/>
                <w:szCs w:val="24"/>
              </w:rPr>
              <w:t>，建设单位应在站址周围及线路塔基处粘贴、悬挂各种警告、防护标识，避免意外事故。对当地群众进行有关高压输电线路和设备方面的环境宣传工作，帮助群众建立环境保护意识和自我防护意识，减少在高压走廊内的停留时间。</w:t>
            </w:r>
          </w:p>
          <w:p w14:paraId="4DB787E3">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hint="eastAsia" w:ascii="Times New Roman" w:hAnsi="Times New Roman" w:cs="Times New Roman"/>
                <w:b/>
                <w:bCs/>
                <w:color w:val="auto"/>
                <w:sz w:val="24"/>
                <w:szCs w:val="24"/>
              </w:rPr>
              <w:t>5.2.6</w:t>
            </w:r>
            <w:r>
              <w:rPr>
                <w:rFonts w:ascii="Times New Roman" w:hAnsi="Times New Roman" w:cs="Times New Roman"/>
                <w:b/>
                <w:bCs/>
                <w:color w:val="auto"/>
                <w:sz w:val="24"/>
                <w:szCs w:val="24"/>
              </w:rPr>
              <w:t>大气环境保护措施</w:t>
            </w:r>
          </w:p>
          <w:p w14:paraId="14E4E004">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项目输电线路运行，不产生</w:t>
            </w:r>
            <w:r>
              <w:rPr>
                <w:rFonts w:hint="eastAsia" w:ascii="Times New Roman" w:hAnsi="Times New Roman" w:cs="Times New Roman"/>
                <w:color w:val="auto"/>
                <w:sz w:val="24"/>
                <w:szCs w:val="24"/>
              </w:rPr>
              <w:t>废气</w:t>
            </w:r>
            <w:r>
              <w:rPr>
                <w:rFonts w:ascii="Times New Roman" w:hAnsi="Times New Roman" w:cs="Times New Roman"/>
                <w:color w:val="auto"/>
                <w:sz w:val="24"/>
                <w:szCs w:val="24"/>
              </w:rPr>
              <w:t>污染物，不会对大气环境产生影响。</w:t>
            </w:r>
          </w:p>
          <w:p w14:paraId="2B72B70C">
            <w:pPr>
              <w:pStyle w:val="51"/>
              <w:adjustRightInd w:val="0"/>
              <w:snapToGrid w:val="0"/>
              <w:spacing w:line="440" w:lineRule="exact"/>
              <w:ind w:firstLine="482" w:firstLineChars="200"/>
              <w:jc w:val="both"/>
              <w:rPr>
                <w:rFonts w:ascii="Times New Roman" w:hAnsi="Times New Roman" w:cs="Times New Roman"/>
                <w:b/>
                <w:color w:val="auto"/>
                <w:sz w:val="24"/>
                <w:szCs w:val="24"/>
              </w:rPr>
            </w:pPr>
            <w:r>
              <w:rPr>
                <w:rFonts w:hint="eastAsia" w:ascii="Times New Roman" w:hAnsi="Times New Roman" w:cs="Times New Roman"/>
                <w:b/>
                <w:color w:val="auto"/>
                <w:sz w:val="24"/>
                <w:szCs w:val="24"/>
              </w:rPr>
              <w:t>5.2.7措施的责任主体及实施效果</w:t>
            </w:r>
          </w:p>
          <w:p w14:paraId="6AE506AC">
            <w:pPr>
              <w:pStyle w:val="51"/>
              <w:adjustRightInd w:val="0"/>
              <w:snapToGrid w:val="0"/>
              <w:spacing w:line="440" w:lineRule="exact"/>
              <w:ind w:firstLine="464" w:firstLineChars="200"/>
              <w:jc w:val="both"/>
              <w:rPr>
                <w:rFonts w:ascii="Times New Roman" w:hAnsi="Times New Roman" w:cs="Times New Roman"/>
                <w:color w:val="auto"/>
                <w:sz w:val="24"/>
                <w:szCs w:val="24"/>
              </w:rPr>
            </w:pPr>
            <w:r>
              <w:rPr>
                <w:rFonts w:hint="eastAsia" w:ascii="Times New Roman" w:hAnsi="Times New Roman" w:cs="Times New Roman"/>
                <w:color w:val="auto"/>
                <w:spacing w:val="-4"/>
                <w:sz w:val="24"/>
                <w:szCs w:val="24"/>
              </w:rPr>
              <w:t>本项目运营期采取的生态环境保护措施和噪声、地表水、固废污染防治措施的责任主体为建设单位，建设单位应严格依照相关要求确保措施有效落实；经分析，以上措施具有技术可行性、经济合理性、运行稳定性、生态保护的可达性，在认真落实各项污染防治措施后，本项目运营期对生态、地表水环境影响较小，电磁及声环境影响能满足标准要求，固体废弃物能妥善处理。</w:t>
            </w:r>
          </w:p>
        </w:tc>
      </w:tr>
      <w:tr w14:paraId="16EC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shd w:val="clear" w:color="auto" w:fill="auto"/>
            <w:vAlign w:val="center"/>
          </w:tcPr>
          <w:p w14:paraId="33ECD7A0">
            <w:pPr>
              <w:jc w:val="center"/>
              <w:rPr>
                <w:rFonts w:ascii="Times New Roman" w:hAnsi="Times New Roman"/>
                <w:b/>
                <w:color w:val="auto"/>
                <w:sz w:val="24"/>
                <w:szCs w:val="24"/>
              </w:rPr>
            </w:pPr>
          </w:p>
          <w:p w14:paraId="2018D1E5">
            <w:pPr>
              <w:jc w:val="center"/>
              <w:rPr>
                <w:rFonts w:ascii="Times New Roman" w:hAnsi="Times New Roman"/>
                <w:b/>
                <w:color w:val="auto"/>
                <w:sz w:val="24"/>
                <w:szCs w:val="24"/>
              </w:rPr>
            </w:pPr>
          </w:p>
          <w:p w14:paraId="7338FD94">
            <w:pPr>
              <w:jc w:val="center"/>
              <w:rPr>
                <w:rFonts w:ascii="Times New Roman" w:hAnsi="Times New Roman"/>
                <w:b/>
                <w:color w:val="auto"/>
                <w:sz w:val="24"/>
                <w:szCs w:val="24"/>
              </w:rPr>
            </w:pPr>
          </w:p>
          <w:p w14:paraId="6C650A3A">
            <w:pPr>
              <w:jc w:val="center"/>
              <w:rPr>
                <w:rFonts w:ascii="Times New Roman" w:hAnsi="Times New Roman"/>
                <w:b/>
                <w:color w:val="auto"/>
                <w:sz w:val="24"/>
                <w:szCs w:val="24"/>
              </w:rPr>
            </w:pPr>
          </w:p>
          <w:p w14:paraId="7B464FD3">
            <w:pPr>
              <w:jc w:val="center"/>
              <w:rPr>
                <w:rFonts w:ascii="Times New Roman" w:hAnsi="Times New Roman"/>
                <w:b/>
                <w:color w:val="auto"/>
                <w:sz w:val="24"/>
                <w:szCs w:val="24"/>
              </w:rPr>
            </w:pPr>
          </w:p>
          <w:p w14:paraId="53713C20">
            <w:pPr>
              <w:jc w:val="center"/>
              <w:rPr>
                <w:rFonts w:ascii="Times New Roman" w:hAnsi="Times New Roman"/>
                <w:b/>
                <w:color w:val="auto"/>
                <w:sz w:val="24"/>
                <w:szCs w:val="24"/>
              </w:rPr>
            </w:pPr>
          </w:p>
          <w:p w14:paraId="3A1C75D0">
            <w:pPr>
              <w:jc w:val="center"/>
              <w:rPr>
                <w:rFonts w:ascii="Times New Roman" w:hAnsi="Times New Roman"/>
                <w:b/>
                <w:color w:val="auto"/>
                <w:sz w:val="24"/>
                <w:szCs w:val="24"/>
              </w:rPr>
            </w:pPr>
          </w:p>
          <w:p w14:paraId="70E06C66">
            <w:pPr>
              <w:jc w:val="center"/>
              <w:rPr>
                <w:rFonts w:ascii="Times New Roman" w:hAnsi="Times New Roman"/>
                <w:b/>
                <w:color w:val="auto"/>
                <w:sz w:val="24"/>
                <w:szCs w:val="24"/>
              </w:rPr>
            </w:pPr>
            <w:r>
              <w:rPr>
                <w:rFonts w:ascii="Times New Roman" w:hAnsi="Times New Roman"/>
                <w:b/>
                <w:color w:val="auto"/>
                <w:sz w:val="24"/>
                <w:szCs w:val="24"/>
              </w:rPr>
              <w:t>其他</w:t>
            </w:r>
          </w:p>
          <w:p w14:paraId="6CAB7BF7">
            <w:pPr>
              <w:jc w:val="center"/>
              <w:rPr>
                <w:rFonts w:ascii="Times New Roman" w:hAnsi="Times New Roman"/>
                <w:b/>
                <w:color w:val="auto"/>
                <w:sz w:val="24"/>
                <w:szCs w:val="24"/>
              </w:rPr>
            </w:pPr>
          </w:p>
          <w:p w14:paraId="09BF96C3">
            <w:pPr>
              <w:jc w:val="center"/>
              <w:rPr>
                <w:rFonts w:ascii="Times New Roman" w:hAnsi="Times New Roman"/>
                <w:b/>
                <w:color w:val="auto"/>
                <w:sz w:val="24"/>
                <w:szCs w:val="24"/>
              </w:rPr>
            </w:pPr>
          </w:p>
          <w:p w14:paraId="16077D33">
            <w:pPr>
              <w:jc w:val="center"/>
              <w:rPr>
                <w:rFonts w:ascii="Times New Roman" w:hAnsi="Times New Roman"/>
                <w:b/>
                <w:color w:val="auto"/>
                <w:sz w:val="24"/>
                <w:szCs w:val="24"/>
              </w:rPr>
            </w:pPr>
          </w:p>
          <w:p w14:paraId="385AD682">
            <w:pPr>
              <w:jc w:val="center"/>
              <w:rPr>
                <w:rFonts w:ascii="Times New Roman" w:hAnsi="Times New Roman"/>
                <w:b/>
                <w:color w:val="auto"/>
                <w:sz w:val="24"/>
                <w:szCs w:val="24"/>
              </w:rPr>
            </w:pPr>
          </w:p>
          <w:p w14:paraId="0FE40FEC">
            <w:pPr>
              <w:jc w:val="center"/>
              <w:rPr>
                <w:rFonts w:ascii="Times New Roman" w:hAnsi="Times New Roman"/>
                <w:b/>
                <w:color w:val="auto"/>
                <w:sz w:val="24"/>
                <w:szCs w:val="24"/>
              </w:rPr>
            </w:pPr>
          </w:p>
          <w:p w14:paraId="3B438A48">
            <w:pPr>
              <w:jc w:val="center"/>
              <w:rPr>
                <w:rFonts w:ascii="Times New Roman" w:hAnsi="Times New Roman"/>
                <w:b/>
                <w:color w:val="auto"/>
                <w:sz w:val="24"/>
                <w:szCs w:val="24"/>
              </w:rPr>
            </w:pPr>
          </w:p>
          <w:p w14:paraId="291CB2D1">
            <w:pPr>
              <w:jc w:val="center"/>
              <w:rPr>
                <w:rFonts w:ascii="Times New Roman" w:hAnsi="Times New Roman"/>
                <w:b/>
                <w:color w:val="auto"/>
                <w:sz w:val="24"/>
                <w:szCs w:val="24"/>
              </w:rPr>
            </w:pPr>
          </w:p>
          <w:p w14:paraId="4D04BA6A">
            <w:pPr>
              <w:jc w:val="center"/>
              <w:rPr>
                <w:rFonts w:ascii="Times New Roman" w:hAnsi="Times New Roman"/>
                <w:b/>
                <w:color w:val="auto"/>
                <w:sz w:val="24"/>
                <w:szCs w:val="24"/>
              </w:rPr>
            </w:pPr>
          </w:p>
          <w:p w14:paraId="49706114">
            <w:pPr>
              <w:jc w:val="center"/>
              <w:rPr>
                <w:rFonts w:ascii="Times New Roman" w:hAnsi="Times New Roman"/>
                <w:b/>
                <w:color w:val="auto"/>
                <w:sz w:val="24"/>
                <w:szCs w:val="24"/>
              </w:rPr>
            </w:pPr>
          </w:p>
          <w:p w14:paraId="77491DAB">
            <w:pPr>
              <w:jc w:val="center"/>
              <w:rPr>
                <w:rFonts w:ascii="Times New Roman" w:hAnsi="Times New Roman"/>
                <w:b/>
                <w:color w:val="auto"/>
                <w:sz w:val="24"/>
                <w:szCs w:val="24"/>
              </w:rPr>
            </w:pPr>
          </w:p>
          <w:p w14:paraId="4B042E6B">
            <w:pPr>
              <w:jc w:val="center"/>
              <w:rPr>
                <w:rFonts w:ascii="Times New Roman" w:hAnsi="Times New Roman"/>
                <w:b/>
                <w:color w:val="auto"/>
                <w:sz w:val="24"/>
                <w:szCs w:val="24"/>
              </w:rPr>
            </w:pPr>
          </w:p>
          <w:p w14:paraId="7A759E1A">
            <w:pPr>
              <w:jc w:val="center"/>
              <w:rPr>
                <w:rFonts w:ascii="Times New Roman" w:hAnsi="Times New Roman"/>
                <w:b/>
                <w:color w:val="auto"/>
                <w:sz w:val="24"/>
                <w:szCs w:val="24"/>
              </w:rPr>
            </w:pPr>
          </w:p>
          <w:p w14:paraId="0D3F467B">
            <w:pPr>
              <w:jc w:val="center"/>
              <w:rPr>
                <w:rFonts w:ascii="Times New Roman" w:hAnsi="Times New Roman"/>
                <w:b/>
                <w:color w:val="auto"/>
                <w:sz w:val="24"/>
                <w:szCs w:val="24"/>
              </w:rPr>
            </w:pPr>
          </w:p>
          <w:p w14:paraId="4F7F9A0D">
            <w:pPr>
              <w:jc w:val="center"/>
              <w:rPr>
                <w:rFonts w:ascii="Times New Roman" w:hAnsi="Times New Roman"/>
                <w:b/>
                <w:color w:val="auto"/>
                <w:sz w:val="24"/>
                <w:szCs w:val="24"/>
              </w:rPr>
            </w:pPr>
          </w:p>
          <w:p w14:paraId="6D45B57E">
            <w:pPr>
              <w:jc w:val="center"/>
              <w:rPr>
                <w:rFonts w:ascii="Times New Roman" w:hAnsi="Times New Roman"/>
                <w:b/>
                <w:color w:val="auto"/>
                <w:sz w:val="24"/>
                <w:szCs w:val="24"/>
              </w:rPr>
            </w:pPr>
          </w:p>
          <w:p w14:paraId="26509BA2">
            <w:pPr>
              <w:jc w:val="center"/>
              <w:rPr>
                <w:rFonts w:ascii="Times New Roman" w:hAnsi="Times New Roman"/>
                <w:b/>
                <w:color w:val="auto"/>
                <w:sz w:val="24"/>
                <w:szCs w:val="24"/>
              </w:rPr>
            </w:pPr>
          </w:p>
          <w:p w14:paraId="7D6F6F3D">
            <w:pPr>
              <w:jc w:val="center"/>
              <w:rPr>
                <w:rFonts w:ascii="Times New Roman" w:hAnsi="Times New Roman"/>
                <w:b/>
                <w:color w:val="auto"/>
                <w:sz w:val="24"/>
                <w:szCs w:val="24"/>
              </w:rPr>
            </w:pPr>
          </w:p>
          <w:p w14:paraId="370B6BC0">
            <w:pPr>
              <w:jc w:val="center"/>
              <w:rPr>
                <w:rFonts w:ascii="Times New Roman" w:hAnsi="Times New Roman"/>
                <w:b/>
                <w:color w:val="auto"/>
                <w:sz w:val="24"/>
                <w:szCs w:val="24"/>
              </w:rPr>
            </w:pPr>
          </w:p>
          <w:p w14:paraId="4C317081">
            <w:pPr>
              <w:jc w:val="center"/>
              <w:rPr>
                <w:rFonts w:ascii="Times New Roman" w:hAnsi="Times New Roman"/>
                <w:b/>
                <w:color w:val="auto"/>
                <w:sz w:val="24"/>
                <w:szCs w:val="24"/>
              </w:rPr>
            </w:pPr>
          </w:p>
        </w:tc>
        <w:tc>
          <w:tcPr>
            <w:tcW w:w="8808" w:type="dxa"/>
            <w:shd w:val="clear" w:color="auto" w:fill="auto"/>
            <w:vAlign w:val="center"/>
          </w:tcPr>
          <w:p w14:paraId="1FB5D0D8">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5.3 环境管理</w:t>
            </w:r>
            <w:r>
              <w:rPr>
                <w:rFonts w:hint="eastAsia" w:ascii="Times New Roman" w:hAnsi="Times New Roman"/>
                <w:b/>
                <w:color w:val="auto"/>
                <w:sz w:val="24"/>
                <w:szCs w:val="24"/>
              </w:rPr>
              <w:t>监测计划</w:t>
            </w:r>
            <w:r>
              <w:rPr>
                <w:rFonts w:ascii="Times New Roman" w:hAnsi="Times New Roman"/>
                <w:b/>
                <w:color w:val="auto"/>
                <w:sz w:val="24"/>
                <w:szCs w:val="24"/>
              </w:rPr>
              <w:t>及环境保护</w:t>
            </w:r>
            <w:r>
              <w:rPr>
                <w:rFonts w:hint="eastAsia" w:ascii="Times New Roman" w:hAnsi="Times New Roman"/>
                <w:b/>
                <w:color w:val="auto"/>
                <w:sz w:val="24"/>
                <w:szCs w:val="24"/>
              </w:rPr>
              <w:t>投资</w:t>
            </w:r>
          </w:p>
          <w:p w14:paraId="1D19A8FD">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5.3.1 环境管理部门职责</w:t>
            </w:r>
          </w:p>
          <w:p w14:paraId="7C74C66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根据项目所在区域的环境特点，在运行主管单位宜设环境管理部门，配备相应专业的管理人员。环保管理机构及其人员分工应按照前文风险分析的内容成立，环保管理人员应在各自的岗位责任中明确所负的环保责任，并加强日常环保管理。环境管理的职能为：</w:t>
            </w:r>
          </w:p>
          <w:p w14:paraId="26ED3F9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（1）制定和实施各项环境管理计划。</w:t>
            </w:r>
          </w:p>
          <w:p w14:paraId="76ADE875">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（2）建立工频电场、工频磁场、噪声环境监测、生态环境现状数据档案，并定期向当地环境保护行政主管部门申报。</w:t>
            </w:r>
          </w:p>
          <w:p w14:paraId="08BBD7D4">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（3）掌握项目所在地周围的环境特征和重点环境保护目标情况。建立环境管理和环境监测技术文件，包括：污染源的监测记</w:t>
            </w:r>
            <w:r>
              <w:rPr>
                <w:rFonts w:hint="eastAsia" w:ascii="Times New Roman" w:hAnsi="Times New Roman"/>
                <w:color w:val="auto"/>
                <w:sz w:val="24"/>
                <w:szCs w:val="24"/>
              </w:rPr>
              <w:t>录和</w:t>
            </w:r>
            <w:r>
              <w:rPr>
                <w:rFonts w:ascii="Times New Roman" w:hAnsi="Times New Roman"/>
                <w:color w:val="auto"/>
                <w:sz w:val="24"/>
                <w:szCs w:val="24"/>
              </w:rPr>
              <w:t>技术文件；污染控制、环境保护设施的设计和运行管理文件；导致严重环境影响事件的分析报告和监测数据资料等，并定期向当地环保主管部门申报。</w:t>
            </w:r>
          </w:p>
          <w:p w14:paraId="2953954B">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（4）检查治理设施运行情况，及时处理出现的问题，保证治理设施正常运行。</w:t>
            </w:r>
          </w:p>
          <w:p w14:paraId="06931758">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（5）不定期地巡查线路各段，特别是各环境保护对象，保护生态环境不被破坏，保证保护生态与工程运行相协调。</w:t>
            </w:r>
          </w:p>
          <w:p w14:paraId="53F34E2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（6）协调配合上级环保主管部门所进行的环境调查、生态调查等活动。</w:t>
            </w:r>
          </w:p>
          <w:p w14:paraId="380B11EE">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5.3.2 环境监测方案</w:t>
            </w:r>
          </w:p>
          <w:p w14:paraId="1BBB9B6C">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开展运行期工频电磁场环境监测工作，对与本项目有关的主要人员，包括施工单位以及工程影响区域的居民，进行环境保护技术、政策方面的培训、电磁辐射知识的宣传，从而进一步提高人们的环保意识，增强环保管理的能力，尤其要使公众提高对环境污染的自我保护意识，并能更好地参与和监督项目的环保管理，减少项目施工和运行产生的环境影响。各输变电建设项目建成后应按照国家环境保护</w:t>
            </w:r>
            <w:r>
              <w:rPr>
                <w:rFonts w:hint="eastAsia" w:ascii="Times New Roman" w:hAnsi="Times New Roman"/>
                <w:color w:val="auto"/>
                <w:sz w:val="24"/>
                <w:szCs w:val="24"/>
              </w:rPr>
              <w:t>法律法规</w:t>
            </w:r>
            <w:r>
              <w:rPr>
                <w:rFonts w:ascii="Times New Roman" w:hAnsi="Times New Roman"/>
                <w:color w:val="auto"/>
                <w:sz w:val="24"/>
                <w:szCs w:val="24"/>
              </w:rPr>
              <w:t>，进行项目竣工环保验收，对工频电场、磁场、噪声等项目进行定期监测。本次项目施工期和运行期环境监测计划见表5-1。</w:t>
            </w:r>
          </w:p>
          <w:p w14:paraId="07464E69">
            <w:pPr>
              <w:jc w:val="center"/>
              <w:rPr>
                <w:rFonts w:ascii="Times New Roman" w:hAnsi="Times New Roman"/>
                <w:b/>
                <w:color w:val="auto"/>
                <w:sz w:val="24"/>
                <w:szCs w:val="24"/>
              </w:rPr>
            </w:pPr>
            <w:r>
              <w:rPr>
                <w:rFonts w:ascii="Times New Roman" w:hAnsi="Times New Roman"/>
                <w:b/>
                <w:color w:val="auto"/>
                <w:sz w:val="24"/>
                <w:szCs w:val="24"/>
              </w:rPr>
              <w:t>表5-1  环境监测计划</w:t>
            </w:r>
          </w:p>
          <w:tbl>
            <w:tblPr>
              <w:tblStyle w:val="27"/>
              <w:tblW w:w="859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0"/>
              <w:gridCol w:w="792"/>
              <w:gridCol w:w="2383"/>
              <w:gridCol w:w="61"/>
              <w:gridCol w:w="2135"/>
              <w:gridCol w:w="2571"/>
            </w:tblGrid>
            <w:tr w14:paraId="57F1A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vAlign w:val="center"/>
                </w:tcPr>
                <w:p w14:paraId="2F3AD342">
                  <w:pPr>
                    <w:adjustRightInd w:val="0"/>
                    <w:snapToGrid w:val="0"/>
                    <w:jc w:val="center"/>
                    <w:rPr>
                      <w:rFonts w:ascii="Times New Roman" w:hAnsi="Times New Roman"/>
                      <w:b/>
                      <w:color w:val="auto"/>
                      <w:szCs w:val="21"/>
                    </w:rPr>
                  </w:pPr>
                  <w:r>
                    <w:rPr>
                      <w:rFonts w:ascii="Times New Roman" w:hAnsi="Times New Roman"/>
                      <w:b/>
                      <w:color w:val="auto"/>
                      <w:szCs w:val="21"/>
                    </w:rPr>
                    <w:t>时段</w:t>
                  </w:r>
                </w:p>
              </w:tc>
              <w:tc>
                <w:tcPr>
                  <w:tcW w:w="792" w:type="dxa"/>
                  <w:vAlign w:val="center"/>
                </w:tcPr>
                <w:p w14:paraId="7EC75EE5">
                  <w:pPr>
                    <w:adjustRightInd w:val="0"/>
                    <w:snapToGrid w:val="0"/>
                    <w:jc w:val="center"/>
                    <w:rPr>
                      <w:rFonts w:ascii="Times New Roman" w:hAnsi="Times New Roman"/>
                      <w:b/>
                      <w:color w:val="auto"/>
                      <w:szCs w:val="21"/>
                    </w:rPr>
                  </w:pPr>
                  <w:r>
                    <w:rPr>
                      <w:rFonts w:ascii="Times New Roman" w:hAnsi="Times New Roman"/>
                      <w:b/>
                      <w:color w:val="auto"/>
                      <w:szCs w:val="21"/>
                    </w:rPr>
                    <w:t>项目</w:t>
                  </w:r>
                </w:p>
              </w:tc>
              <w:tc>
                <w:tcPr>
                  <w:tcW w:w="2444" w:type="dxa"/>
                  <w:gridSpan w:val="2"/>
                  <w:vAlign w:val="center"/>
                </w:tcPr>
                <w:p w14:paraId="419061D1">
                  <w:pPr>
                    <w:adjustRightInd w:val="0"/>
                    <w:snapToGrid w:val="0"/>
                    <w:jc w:val="center"/>
                    <w:rPr>
                      <w:rFonts w:ascii="Times New Roman" w:hAnsi="Times New Roman"/>
                      <w:b/>
                      <w:color w:val="auto"/>
                      <w:szCs w:val="21"/>
                    </w:rPr>
                  </w:pPr>
                  <w:r>
                    <w:rPr>
                      <w:rFonts w:ascii="Times New Roman" w:hAnsi="Times New Roman"/>
                      <w:b/>
                      <w:color w:val="auto"/>
                      <w:szCs w:val="21"/>
                    </w:rPr>
                    <w:t>工程减缓措施</w:t>
                  </w:r>
                </w:p>
              </w:tc>
              <w:tc>
                <w:tcPr>
                  <w:tcW w:w="2135" w:type="dxa"/>
                  <w:vAlign w:val="center"/>
                </w:tcPr>
                <w:p w14:paraId="5B0554AF">
                  <w:pPr>
                    <w:adjustRightInd w:val="0"/>
                    <w:snapToGrid w:val="0"/>
                    <w:jc w:val="center"/>
                    <w:rPr>
                      <w:rFonts w:ascii="Times New Roman" w:hAnsi="Times New Roman"/>
                      <w:b/>
                      <w:color w:val="auto"/>
                      <w:szCs w:val="21"/>
                    </w:rPr>
                  </w:pPr>
                  <w:r>
                    <w:rPr>
                      <w:rFonts w:ascii="Times New Roman" w:hAnsi="Times New Roman"/>
                      <w:b/>
                      <w:color w:val="auto"/>
                      <w:szCs w:val="21"/>
                    </w:rPr>
                    <w:t>监测项目</w:t>
                  </w:r>
                </w:p>
              </w:tc>
              <w:tc>
                <w:tcPr>
                  <w:tcW w:w="2571" w:type="dxa"/>
                  <w:vAlign w:val="center"/>
                </w:tcPr>
                <w:p w14:paraId="768E9B88">
                  <w:pPr>
                    <w:adjustRightInd w:val="0"/>
                    <w:snapToGrid w:val="0"/>
                    <w:jc w:val="center"/>
                    <w:rPr>
                      <w:rFonts w:ascii="Times New Roman" w:hAnsi="Times New Roman"/>
                      <w:b/>
                      <w:color w:val="auto"/>
                      <w:szCs w:val="21"/>
                    </w:rPr>
                  </w:pPr>
                  <w:r>
                    <w:rPr>
                      <w:rFonts w:ascii="Times New Roman" w:hAnsi="Times New Roman"/>
                      <w:b/>
                      <w:color w:val="auto"/>
                      <w:szCs w:val="21"/>
                    </w:rPr>
                    <w:t>监测时间</w:t>
                  </w:r>
                </w:p>
              </w:tc>
            </w:tr>
            <w:tr w14:paraId="2C20B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vMerge w:val="restart"/>
                  <w:vAlign w:val="center"/>
                </w:tcPr>
                <w:p w14:paraId="6CC97129">
                  <w:pPr>
                    <w:adjustRightInd w:val="0"/>
                    <w:snapToGrid w:val="0"/>
                    <w:jc w:val="center"/>
                    <w:rPr>
                      <w:rFonts w:ascii="Times New Roman" w:hAnsi="Times New Roman"/>
                      <w:color w:val="auto"/>
                      <w:szCs w:val="21"/>
                    </w:rPr>
                  </w:pPr>
                  <w:r>
                    <w:rPr>
                      <w:rFonts w:ascii="Times New Roman" w:hAnsi="Times New Roman"/>
                      <w:color w:val="auto"/>
                      <w:szCs w:val="21"/>
                    </w:rPr>
                    <w:t>运行期</w:t>
                  </w:r>
                </w:p>
              </w:tc>
              <w:tc>
                <w:tcPr>
                  <w:tcW w:w="792" w:type="dxa"/>
                  <w:vAlign w:val="center"/>
                </w:tcPr>
                <w:p w14:paraId="07071BB2">
                  <w:pPr>
                    <w:adjustRightInd w:val="0"/>
                    <w:snapToGrid w:val="0"/>
                    <w:jc w:val="center"/>
                    <w:rPr>
                      <w:rFonts w:ascii="Times New Roman" w:hAnsi="Times New Roman"/>
                      <w:color w:val="auto"/>
                      <w:szCs w:val="21"/>
                    </w:rPr>
                  </w:pPr>
                  <w:r>
                    <w:rPr>
                      <w:rFonts w:ascii="Times New Roman" w:hAnsi="Times New Roman"/>
                      <w:color w:val="auto"/>
                      <w:szCs w:val="21"/>
                    </w:rPr>
                    <w:t>工频电、磁场</w:t>
                  </w:r>
                </w:p>
              </w:tc>
              <w:tc>
                <w:tcPr>
                  <w:tcW w:w="2444" w:type="dxa"/>
                  <w:gridSpan w:val="2"/>
                  <w:vAlign w:val="center"/>
                </w:tcPr>
                <w:p w14:paraId="36BE416C">
                  <w:pPr>
                    <w:adjustRightInd w:val="0"/>
                    <w:snapToGrid w:val="0"/>
                    <w:jc w:val="center"/>
                    <w:rPr>
                      <w:rFonts w:ascii="Times New Roman" w:hAnsi="Times New Roman"/>
                      <w:color w:val="auto"/>
                      <w:szCs w:val="21"/>
                    </w:rPr>
                  </w:pPr>
                  <w:r>
                    <w:rPr>
                      <w:rFonts w:ascii="Times New Roman" w:hAnsi="Times New Roman"/>
                      <w:color w:val="auto"/>
                      <w:szCs w:val="21"/>
                    </w:rPr>
                    <w:t>采用良好的屏蔽防护，牢固各接头。控制架线高度。</w:t>
                  </w:r>
                </w:p>
              </w:tc>
              <w:tc>
                <w:tcPr>
                  <w:tcW w:w="2135" w:type="dxa"/>
                  <w:vAlign w:val="center"/>
                </w:tcPr>
                <w:p w14:paraId="3BE0AA32">
                  <w:pPr>
                    <w:adjustRightInd w:val="0"/>
                    <w:snapToGrid w:val="0"/>
                    <w:jc w:val="center"/>
                    <w:rPr>
                      <w:rFonts w:ascii="Times New Roman" w:hAnsi="Times New Roman"/>
                      <w:color w:val="auto"/>
                      <w:szCs w:val="21"/>
                    </w:rPr>
                  </w:pPr>
                  <w:r>
                    <w:rPr>
                      <w:rFonts w:ascii="Times New Roman" w:hAnsi="Times New Roman"/>
                      <w:color w:val="auto"/>
                      <w:szCs w:val="21"/>
                    </w:rPr>
                    <w:t>工频电场、磁感应强度</w:t>
                  </w:r>
                </w:p>
              </w:tc>
              <w:tc>
                <w:tcPr>
                  <w:tcW w:w="2571" w:type="dxa"/>
                  <w:vMerge w:val="restart"/>
                  <w:vAlign w:val="center"/>
                </w:tcPr>
                <w:p w14:paraId="34EE1176">
                  <w:pPr>
                    <w:adjustRightInd w:val="0"/>
                    <w:snapToGrid w:val="0"/>
                    <w:jc w:val="center"/>
                    <w:rPr>
                      <w:rFonts w:ascii="Times New Roman" w:hAnsi="Times New Roman"/>
                      <w:color w:val="auto"/>
                      <w:szCs w:val="21"/>
                    </w:rPr>
                  </w:pPr>
                  <w:r>
                    <w:rPr>
                      <w:rFonts w:ascii="Times New Roman" w:hAnsi="Times New Roman"/>
                      <w:color w:val="auto"/>
                      <w:szCs w:val="21"/>
                    </w:rPr>
                    <w:t>本工程建成试运行投产后，结合竣工环境保护验收监测一次。正常运行后主要针对环保投诉情况和工程运行工况的变化进行监测。</w:t>
                  </w:r>
                </w:p>
              </w:tc>
            </w:tr>
            <w:tr w14:paraId="6E9C3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vMerge w:val="continue"/>
                  <w:vAlign w:val="center"/>
                </w:tcPr>
                <w:p w14:paraId="7E5D8D1F">
                  <w:pPr>
                    <w:adjustRightInd w:val="0"/>
                    <w:snapToGrid w:val="0"/>
                    <w:jc w:val="center"/>
                    <w:rPr>
                      <w:rFonts w:ascii="Times New Roman" w:hAnsi="Times New Roman"/>
                      <w:color w:val="auto"/>
                      <w:szCs w:val="21"/>
                    </w:rPr>
                  </w:pPr>
                </w:p>
              </w:tc>
              <w:tc>
                <w:tcPr>
                  <w:tcW w:w="792" w:type="dxa"/>
                  <w:vAlign w:val="center"/>
                </w:tcPr>
                <w:p w14:paraId="65FBCE81">
                  <w:pPr>
                    <w:adjustRightInd w:val="0"/>
                    <w:snapToGrid w:val="0"/>
                    <w:jc w:val="center"/>
                    <w:rPr>
                      <w:rFonts w:ascii="Times New Roman" w:hAnsi="Times New Roman"/>
                      <w:color w:val="auto"/>
                      <w:szCs w:val="21"/>
                    </w:rPr>
                  </w:pPr>
                  <w:r>
                    <w:rPr>
                      <w:rFonts w:ascii="Times New Roman" w:hAnsi="Times New Roman"/>
                      <w:color w:val="auto"/>
                      <w:szCs w:val="21"/>
                    </w:rPr>
                    <w:t>噪声</w:t>
                  </w:r>
                </w:p>
              </w:tc>
              <w:tc>
                <w:tcPr>
                  <w:tcW w:w="2444" w:type="dxa"/>
                  <w:gridSpan w:val="2"/>
                  <w:vAlign w:val="center"/>
                </w:tcPr>
                <w:p w14:paraId="082E089A">
                  <w:pPr>
                    <w:adjustRightInd w:val="0"/>
                    <w:snapToGrid w:val="0"/>
                    <w:jc w:val="center"/>
                    <w:rPr>
                      <w:rFonts w:ascii="Times New Roman" w:hAnsi="Times New Roman"/>
                      <w:color w:val="auto"/>
                      <w:szCs w:val="21"/>
                    </w:rPr>
                  </w:pPr>
                  <w:r>
                    <w:rPr>
                      <w:rFonts w:ascii="Times New Roman" w:hAnsi="Times New Roman"/>
                      <w:color w:val="auto"/>
                      <w:szCs w:val="21"/>
                    </w:rPr>
                    <w:t>采用低噪声设备等</w:t>
                  </w:r>
                </w:p>
              </w:tc>
              <w:tc>
                <w:tcPr>
                  <w:tcW w:w="2135" w:type="dxa"/>
                  <w:vAlign w:val="center"/>
                </w:tcPr>
                <w:p w14:paraId="690CB856">
                  <w:pPr>
                    <w:adjustRightInd w:val="0"/>
                    <w:snapToGrid w:val="0"/>
                    <w:jc w:val="center"/>
                    <w:rPr>
                      <w:rFonts w:ascii="Times New Roman" w:hAnsi="Times New Roman"/>
                      <w:color w:val="auto"/>
                      <w:szCs w:val="21"/>
                    </w:rPr>
                  </w:pPr>
                  <w:r>
                    <w:rPr>
                      <w:rFonts w:ascii="Times New Roman" w:hAnsi="Times New Roman"/>
                      <w:color w:val="auto"/>
                      <w:szCs w:val="21"/>
                    </w:rPr>
                    <w:t>线路沿线环境敏感点噪声</w:t>
                  </w:r>
                </w:p>
              </w:tc>
              <w:tc>
                <w:tcPr>
                  <w:tcW w:w="2571" w:type="dxa"/>
                  <w:vMerge w:val="continue"/>
                  <w:vAlign w:val="center"/>
                </w:tcPr>
                <w:p w14:paraId="2808A485">
                  <w:pPr>
                    <w:adjustRightInd w:val="0"/>
                    <w:snapToGrid w:val="0"/>
                    <w:jc w:val="center"/>
                    <w:rPr>
                      <w:rFonts w:ascii="Times New Roman" w:hAnsi="Times New Roman"/>
                      <w:color w:val="auto"/>
                      <w:szCs w:val="21"/>
                    </w:rPr>
                  </w:pPr>
                </w:p>
              </w:tc>
            </w:tr>
            <w:tr w14:paraId="20B03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2" w:type="dxa"/>
                  <w:gridSpan w:val="2"/>
                  <w:vAlign w:val="center"/>
                </w:tcPr>
                <w:p w14:paraId="7AF650D6">
                  <w:pPr>
                    <w:adjustRightInd w:val="0"/>
                    <w:snapToGrid w:val="0"/>
                    <w:jc w:val="center"/>
                    <w:rPr>
                      <w:rFonts w:ascii="Times New Roman" w:hAnsi="Times New Roman"/>
                      <w:color w:val="auto"/>
                      <w:szCs w:val="21"/>
                    </w:rPr>
                  </w:pPr>
                  <w:r>
                    <w:rPr>
                      <w:rFonts w:ascii="Times New Roman" w:hAnsi="Times New Roman"/>
                      <w:color w:val="auto"/>
                      <w:szCs w:val="21"/>
                    </w:rPr>
                    <w:t>监测布点位置及频次</w:t>
                  </w:r>
                </w:p>
              </w:tc>
              <w:tc>
                <w:tcPr>
                  <w:tcW w:w="7150" w:type="dxa"/>
                  <w:gridSpan w:val="4"/>
                  <w:vAlign w:val="center"/>
                </w:tcPr>
                <w:p w14:paraId="568816DB">
                  <w:pPr>
                    <w:adjustRightInd w:val="0"/>
                    <w:snapToGrid w:val="0"/>
                    <w:jc w:val="left"/>
                    <w:rPr>
                      <w:rFonts w:ascii="Times New Roman" w:hAnsi="Times New Roman"/>
                      <w:color w:val="auto"/>
                    </w:rPr>
                  </w:pPr>
                  <w:r>
                    <w:rPr>
                      <w:rFonts w:hint="eastAsia" w:ascii="Times New Roman" w:hAnsi="Times New Roman"/>
                      <w:color w:val="auto"/>
                    </w:rPr>
                    <w:t>监测点位：架空线路起点、线路终点处，各监测高度在1.5m，测量工频电场及磁场；同步测量噪声</w:t>
                  </w:r>
                  <w:r>
                    <w:rPr>
                      <w:rFonts w:ascii="Times New Roman" w:hAnsi="Times New Roman"/>
                      <w:color w:val="auto"/>
                    </w:rPr>
                    <w:t>。</w:t>
                  </w:r>
                </w:p>
                <w:p w14:paraId="3DE1A5CD">
                  <w:pPr>
                    <w:adjustRightInd w:val="0"/>
                    <w:snapToGrid w:val="0"/>
                    <w:jc w:val="left"/>
                    <w:rPr>
                      <w:rFonts w:ascii="Times New Roman" w:hAnsi="Times New Roman"/>
                      <w:color w:val="auto"/>
                    </w:rPr>
                  </w:pPr>
                  <w:r>
                    <w:rPr>
                      <w:rFonts w:hint="eastAsia" w:ascii="Times New Roman" w:hAnsi="Times New Roman"/>
                      <w:color w:val="auto"/>
                    </w:rPr>
                    <w:t>架空线路边导线垂线下布置监测点位，监测点距离为5m，顺序测至距离边导线对地投影外50m为止，各测点监测高度在1.5m，测量工频电场及磁场。</w:t>
                  </w:r>
                </w:p>
                <w:p w14:paraId="14A285F0">
                  <w:pPr>
                    <w:adjustRightInd w:val="0"/>
                    <w:snapToGrid w:val="0"/>
                    <w:jc w:val="left"/>
                    <w:rPr>
                      <w:rFonts w:ascii="Times New Roman" w:hAnsi="Times New Roman"/>
                      <w:color w:val="auto"/>
                    </w:rPr>
                  </w:pPr>
                  <w:r>
                    <w:rPr>
                      <w:rFonts w:hint="eastAsia" w:ascii="Times New Roman" w:hAnsi="Times New Roman"/>
                      <w:color w:val="auto"/>
                    </w:rPr>
                    <w:t>输电线路运行期，评价范围内敏感点六合村、石灰窑、隧道工棚、叶家冲村、中梁子村、国道停车区用房、山背后村等布置7个点，各测点的监测高度1.5m，测量工频电场及磁场；</w:t>
                  </w:r>
                  <w:r>
                    <w:rPr>
                      <w:rFonts w:ascii="Times New Roman" w:hAnsi="Times New Roman"/>
                      <w:color w:val="auto"/>
                    </w:rPr>
                    <w:t>各测点监测高度为1.2m以上，测量噪声。</w:t>
                  </w:r>
                </w:p>
                <w:p w14:paraId="39F90135">
                  <w:pPr>
                    <w:adjustRightInd w:val="0"/>
                    <w:snapToGrid w:val="0"/>
                    <w:jc w:val="left"/>
                    <w:rPr>
                      <w:rFonts w:ascii="Times New Roman" w:hAnsi="Times New Roman"/>
                      <w:color w:val="auto"/>
                    </w:rPr>
                  </w:pPr>
                  <w:r>
                    <w:rPr>
                      <w:rFonts w:hint="eastAsia" w:ascii="Times New Roman" w:hAnsi="Times New Roman"/>
                      <w:color w:val="auto"/>
                    </w:rPr>
                    <w:t>监测频率：工频电场及磁场监测1次；</w:t>
                  </w:r>
                  <w:r>
                    <w:rPr>
                      <w:rFonts w:ascii="Times New Roman" w:hAnsi="Times New Roman"/>
                      <w:color w:val="auto"/>
                    </w:rPr>
                    <w:t>噪声</w:t>
                  </w:r>
                  <w:r>
                    <w:rPr>
                      <w:rFonts w:hint="eastAsia" w:ascii="Times New Roman" w:hAnsi="Times New Roman"/>
                      <w:color w:val="auto"/>
                    </w:rPr>
                    <w:t>各监测点</w:t>
                  </w:r>
                  <w:r>
                    <w:rPr>
                      <w:rFonts w:ascii="Times New Roman" w:hAnsi="Times New Roman"/>
                      <w:color w:val="auto"/>
                    </w:rPr>
                    <w:t>监测2天，昼、夜各1次。</w:t>
                  </w:r>
                </w:p>
              </w:tc>
            </w:tr>
            <w:tr w14:paraId="6CEF4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2" w:type="dxa"/>
                  <w:gridSpan w:val="2"/>
                  <w:vAlign w:val="center"/>
                </w:tcPr>
                <w:p w14:paraId="224F4343">
                  <w:pPr>
                    <w:adjustRightInd w:val="0"/>
                    <w:snapToGrid w:val="0"/>
                    <w:jc w:val="center"/>
                    <w:rPr>
                      <w:rFonts w:ascii="Times New Roman" w:hAnsi="Times New Roman"/>
                      <w:color w:val="auto"/>
                      <w:szCs w:val="21"/>
                    </w:rPr>
                  </w:pPr>
                  <w:r>
                    <w:rPr>
                      <w:rFonts w:hint="eastAsia" w:ascii="Times New Roman" w:hAnsi="Times New Roman"/>
                      <w:color w:val="auto"/>
                      <w:szCs w:val="21"/>
                    </w:rPr>
                    <w:t>生态保护红线</w:t>
                  </w:r>
                </w:p>
              </w:tc>
              <w:tc>
                <w:tcPr>
                  <w:tcW w:w="2383" w:type="dxa"/>
                  <w:vAlign w:val="center"/>
                </w:tcPr>
                <w:p w14:paraId="55D424ED">
                  <w:pPr>
                    <w:adjustRightInd w:val="0"/>
                    <w:snapToGrid w:val="0"/>
                    <w:jc w:val="center"/>
                    <w:rPr>
                      <w:rFonts w:ascii="Times New Roman" w:hAnsi="Times New Roman"/>
                      <w:color w:val="auto"/>
                      <w:szCs w:val="21"/>
                    </w:rPr>
                  </w:pPr>
                  <w:r>
                    <w:rPr>
                      <w:rFonts w:hint="eastAsia" w:ascii="Times New Roman" w:hAnsi="Times New Roman"/>
                      <w:color w:val="auto"/>
                      <w:szCs w:val="21"/>
                    </w:rPr>
                    <w:t>加强管理严格控制施工范围，减少生态保护红线内人员活动</w:t>
                  </w:r>
                </w:p>
              </w:tc>
              <w:tc>
                <w:tcPr>
                  <w:tcW w:w="2196" w:type="dxa"/>
                  <w:gridSpan w:val="2"/>
                  <w:vAlign w:val="center"/>
                </w:tcPr>
                <w:p w14:paraId="46996BCB">
                  <w:pPr>
                    <w:adjustRightInd w:val="0"/>
                    <w:snapToGrid w:val="0"/>
                    <w:jc w:val="center"/>
                    <w:rPr>
                      <w:rFonts w:ascii="Times New Roman" w:hAnsi="Times New Roman"/>
                      <w:color w:val="auto"/>
                      <w:szCs w:val="21"/>
                    </w:rPr>
                  </w:pPr>
                  <w:r>
                    <w:rPr>
                      <w:rFonts w:ascii="Times New Roman" w:hAnsi="Times New Roman"/>
                      <w:color w:val="auto"/>
                      <w:szCs w:val="21"/>
                    </w:rPr>
                    <w:t>监测生态系统的整体性和稳定性、植物和植被类型、重点保护动物的数量、出现频率等</w:t>
                  </w:r>
                  <w:r>
                    <w:rPr>
                      <w:rFonts w:hint="eastAsia" w:ascii="Times New Roman" w:hAnsi="Times New Roman"/>
                      <w:color w:val="auto"/>
                      <w:szCs w:val="21"/>
                    </w:rPr>
                    <w:t>；建成后的植被恢复及演替状况</w:t>
                  </w:r>
                </w:p>
              </w:tc>
              <w:tc>
                <w:tcPr>
                  <w:tcW w:w="2571" w:type="dxa"/>
                  <w:vAlign w:val="center"/>
                </w:tcPr>
                <w:p w14:paraId="06C92078">
                  <w:pPr>
                    <w:adjustRightInd w:val="0"/>
                    <w:snapToGrid w:val="0"/>
                    <w:jc w:val="center"/>
                    <w:rPr>
                      <w:rFonts w:ascii="Times New Roman" w:hAnsi="Times New Roman"/>
                      <w:color w:val="auto"/>
                      <w:szCs w:val="21"/>
                    </w:rPr>
                  </w:pPr>
                  <w:r>
                    <w:rPr>
                      <w:rFonts w:hint="eastAsia" w:ascii="Times New Roman" w:hAnsi="Times New Roman"/>
                      <w:color w:val="auto"/>
                      <w:szCs w:val="21"/>
                    </w:rPr>
                    <w:t>施工期、建设完成运行后的第1年，共2期，针对跨越区域进行生态跟踪监测</w:t>
                  </w:r>
                </w:p>
              </w:tc>
            </w:tr>
          </w:tbl>
          <w:p w14:paraId="328E44A9">
            <w:pPr>
              <w:spacing w:line="360" w:lineRule="auto"/>
              <w:jc w:val="center"/>
              <w:rPr>
                <w:rFonts w:ascii="Times New Roman" w:hAnsi="Times New Roman"/>
                <w:color w:val="auto"/>
                <w:sz w:val="24"/>
                <w:szCs w:val="24"/>
              </w:rPr>
            </w:pPr>
          </w:p>
        </w:tc>
      </w:tr>
      <w:tr w14:paraId="7B2E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shd w:val="clear" w:color="auto" w:fill="auto"/>
          </w:tcPr>
          <w:p w14:paraId="197B019C">
            <w:pPr>
              <w:spacing w:line="360" w:lineRule="auto"/>
              <w:jc w:val="center"/>
              <w:rPr>
                <w:rFonts w:ascii="Times New Roman" w:hAnsi="Times New Roman"/>
                <w:b/>
                <w:color w:val="auto"/>
                <w:sz w:val="24"/>
                <w:szCs w:val="24"/>
              </w:rPr>
            </w:pPr>
          </w:p>
          <w:p w14:paraId="1EF96FCD">
            <w:pPr>
              <w:spacing w:line="360" w:lineRule="auto"/>
              <w:jc w:val="center"/>
              <w:rPr>
                <w:rFonts w:ascii="Times New Roman" w:hAnsi="Times New Roman"/>
                <w:b/>
                <w:color w:val="auto"/>
                <w:sz w:val="24"/>
                <w:szCs w:val="24"/>
              </w:rPr>
            </w:pPr>
          </w:p>
          <w:p w14:paraId="6242D2CD">
            <w:pPr>
              <w:spacing w:line="360" w:lineRule="auto"/>
              <w:jc w:val="center"/>
              <w:rPr>
                <w:rFonts w:ascii="Times New Roman" w:hAnsi="Times New Roman"/>
                <w:b/>
                <w:color w:val="auto"/>
                <w:sz w:val="24"/>
                <w:szCs w:val="24"/>
              </w:rPr>
            </w:pPr>
          </w:p>
          <w:p w14:paraId="389DFFAE">
            <w:pPr>
              <w:spacing w:line="360" w:lineRule="auto"/>
              <w:jc w:val="center"/>
              <w:rPr>
                <w:rFonts w:ascii="Times New Roman" w:hAnsi="Times New Roman"/>
                <w:b/>
                <w:color w:val="auto"/>
                <w:sz w:val="24"/>
                <w:szCs w:val="24"/>
              </w:rPr>
            </w:pPr>
          </w:p>
          <w:p w14:paraId="20667DB2">
            <w:pPr>
              <w:spacing w:line="360" w:lineRule="auto"/>
              <w:jc w:val="center"/>
              <w:rPr>
                <w:rFonts w:ascii="Times New Roman" w:hAnsi="Times New Roman"/>
                <w:b/>
                <w:color w:val="auto"/>
                <w:sz w:val="24"/>
                <w:szCs w:val="24"/>
              </w:rPr>
            </w:pPr>
          </w:p>
          <w:p w14:paraId="16F0D415">
            <w:pPr>
              <w:spacing w:line="360" w:lineRule="auto"/>
              <w:jc w:val="center"/>
              <w:rPr>
                <w:rFonts w:ascii="Times New Roman" w:hAnsi="Times New Roman"/>
                <w:b/>
                <w:color w:val="auto"/>
                <w:sz w:val="24"/>
                <w:szCs w:val="24"/>
              </w:rPr>
            </w:pPr>
          </w:p>
          <w:p w14:paraId="3004E8DF">
            <w:pPr>
              <w:spacing w:line="360" w:lineRule="auto"/>
              <w:jc w:val="center"/>
              <w:rPr>
                <w:rFonts w:ascii="Times New Roman" w:hAnsi="Times New Roman"/>
                <w:b/>
                <w:color w:val="auto"/>
                <w:sz w:val="24"/>
                <w:szCs w:val="24"/>
              </w:rPr>
            </w:pPr>
            <w:r>
              <w:rPr>
                <w:rFonts w:ascii="Times New Roman" w:hAnsi="Times New Roman"/>
                <w:b/>
                <w:color w:val="auto"/>
                <w:sz w:val="24"/>
                <w:szCs w:val="24"/>
              </w:rPr>
              <w:t>环保投资</w:t>
            </w:r>
          </w:p>
        </w:tc>
        <w:tc>
          <w:tcPr>
            <w:tcW w:w="8808" w:type="dxa"/>
            <w:shd w:val="clear" w:color="auto" w:fill="auto"/>
          </w:tcPr>
          <w:p w14:paraId="4766722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本工程总投资</w:t>
            </w:r>
            <w:r>
              <w:rPr>
                <w:rFonts w:hint="eastAsia" w:ascii="Times New Roman" w:hAnsi="Times New Roman"/>
                <w:color w:val="auto"/>
                <w:sz w:val="24"/>
                <w:szCs w:val="24"/>
              </w:rPr>
              <w:t>3291.09</w:t>
            </w:r>
            <w:r>
              <w:rPr>
                <w:rFonts w:ascii="Times New Roman" w:hAnsi="Times New Roman"/>
                <w:color w:val="auto"/>
                <w:sz w:val="24"/>
                <w:szCs w:val="24"/>
              </w:rPr>
              <w:t>万元，其中环保投资</w:t>
            </w:r>
            <w:r>
              <w:rPr>
                <w:rFonts w:hint="eastAsia" w:ascii="Times New Roman" w:hAnsi="Times New Roman"/>
                <w:color w:val="auto"/>
                <w:sz w:val="24"/>
                <w:szCs w:val="24"/>
              </w:rPr>
              <w:t>53万元</w:t>
            </w:r>
            <w:r>
              <w:rPr>
                <w:rFonts w:ascii="Times New Roman" w:hAnsi="Times New Roman"/>
                <w:color w:val="auto"/>
                <w:sz w:val="24"/>
                <w:szCs w:val="24"/>
              </w:rPr>
              <w:t>，占工程总投资的</w:t>
            </w:r>
            <w:r>
              <w:rPr>
                <w:rFonts w:hint="eastAsia" w:ascii="Times New Roman" w:hAnsi="Times New Roman"/>
                <w:color w:val="auto"/>
                <w:sz w:val="24"/>
                <w:szCs w:val="24"/>
              </w:rPr>
              <w:t>1.61</w:t>
            </w:r>
            <w:r>
              <w:rPr>
                <w:rFonts w:ascii="Times New Roman" w:hAnsi="Times New Roman"/>
                <w:color w:val="auto"/>
                <w:sz w:val="24"/>
                <w:szCs w:val="24"/>
              </w:rPr>
              <w:t>%。具体环保投资清单见表5-2。</w:t>
            </w:r>
          </w:p>
          <w:p w14:paraId="403706E8">
            <w:pPr>
              <w:jc w:val="center"/>
              <w:rPr>
                <w:rFonts w:ascii="Times New Roman" w:hAnsi="Times New Roman"/>
                <w:b/>
                <w:color w:val="auto"/>
                <w:sz w:val="24"/>
                <w:szCs w:val="24"/>
              </w:rPr>
            </w:pPr>
            <w:r>
              <w:rPr>
                <w:rFonts w:ascii="Times New Roman" w:hAnsi="Times New Roman"/>
                <w:b/>
                <w:color w:val="auto"/>
                <w:sz w:val="24"/>
                <w:szCs w:val="24"/>
              </w:rPr>
              <w:t xml:space="preserve">表5-2 </w:t>
            </w:r>
            <w:r>
              <w:rPr>
                <w:rFonts w:hint="eastAsia" w:ascii="Times New Roman" w:hAnsi="Times New Roman"/>
                <w:b/>
                <w:color w:val="auto"/>
                <w:sz w:val="24"/>
                <w:szCs w:val="24"/>
              </w:rPr>
              <w:t xml:space="preserve"> </w:t>
            </w:r>
            <w:r>
              <w:rPr>
                <w:rFonts w:ascii="Times New Roman" w:hAnsi="Times New Roman"/>
                <w:b/>
                <w:color w:val="auto"/>
                <w:sz w:val="24"/>
                <w:szCs w:val="24"/>
              </w:rPr>
              <w:t>项目环保投资一览表</w:t>
            </w:r>
          </w:p>
          <w:tbl>
            <w:tblPr>
              <w:tblStyle w:val="27"/>
              <w:tblW w:w="8582"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582"/>
              <w:gridCol w:w="3230"/>
              <w:gridCol w:w="1910"/>
              <w:gridCol w:w="1129"/>
            </w:tblGrid>
            <w:tr w14:paraId="500A48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1A10D4F7">
                  <w:pPr>
                    <w:pStyle w:val="20"/>
                    <w:adjustRightInd w:val="0"/>
                    <w:snapToGrid w:val="0"/>
                    <w:spacing w:line="240" w:lineRule="auto"/>
                    <w:ind w:left="0"/>
                    <w:jc w:val="center"/>
                    <w:rPr>
                      <w:rFonts w:ascii="Times New Roman" w:hAnsi="Times New Roman"/>
                      <w:color w:val="auto"/>
                      <w:sz w:val="21"/>
                      <w:szCs w:val="21"/>
                    </w:rPr>
                  </w:pPr>
                  <w:r>
                    <w:rPr>
                      <w:rFonts w:ascii="Times New Roman" w:hAnsi="Times New Roman"/>
                      <w:color w:val="auto"/>
                      <w:sz w:val="21"/>
                      <w:szCs w:val="21"/>
                    </w:rPr>
                    <w:t>编号</w:t>
                  </w:r>
                </w:p>
              </w:tc>
              <w:tc>
                <w:tcPr>
                  <w:tcW w:w="1582" w:type="dxa"/>
                  <w:tcBorders>
                    <w:tl2br w:val="nil"/>
                    <w:tr2bl w:val="nil"/>
                  </w:tcBorders>
                  <w:shd w:val="clear" w:color="auto" w:fill="auto"/>
                  <w:vAlign w:val="center"/>
                </w:tcPr>
                <w:p w14:paraId="12C6C3AD">
                  <w:pPr>
                    <w:pStyle w:val="20"/>
                    <w:adjustRightInd w:val="0"/>
                    <w:snapToGrid w:val="0"/>
                    <w:spacing w:line="240" w:lineRule="auto"/>
                    <w:ind w:left="0"/>
                    <w:jc w:val="center"/>
                    <w:rPr>
                      <w:rFonts w:ascii="Times New Roman" w:hAnsi="Times New Roman"/>
                      <w:color w:val="auto"/>
                      <w:sz w:val="21"/>
                      <w:szCs w:val="21"/>
                    </w:rPr>
                  </w:pPr>
                  <w:r>
                    <w:rPr>
                      <w:rFonts w:ascii="Times New Roman" w:hAnsi="Times New Roman"/>
                      <w:color w:val="auto"/>
                      <w:sz w:val="21"/>
                      <w:szCs w:val="21"/>
                    </w:rPr>
                    <w:t>项目名称</w:t>
                  </w:r>
                </w:p>
              </w:tc>
              <w:tc>
                <w:tcPr>
                  <w:tcW w:w="3230" w:type="dxa"/>
                  <w:tcBorders>
                    <w:tl2br w:val="nil"/>
                    <w:tr2bl w:val="nil"/>
                  </w:tcBorders>
                  <w:shd w:val="clear" w:color="auto" w:fill="auto"/>
                  <w:vAlign w:val="center"/>
                </w:tcPr>
                <w:p w14:paraId="6E4D834F">
                  <w:pPr>
                    <w:pStyle w:val="20"/>
                    <w:adjustRightInd w:val="0"/>
                    <w:snapToGrid w:val="0"/>
                    <w:spacing w:line="240" w:lineRule="auto"/>
                    <w:ind w:left="0"/>
                    <w:jc w:val="center"/>
                    <w:rPr>
                      <w:rFonts w:ascii="Times New Roman" w:hAnsi="Times New Roman"/>
                      <w:color w:val="auto"/>
                      <w:sz w:val="21"/>
                      <w:szCs w:val="21"/>
                    </w:rPr>
                  </w:pPr>
                  <w:r>
                    <w:rPr>
                      <w:rFonts w:ascii="Times New Roman" w:hAnsi="Times New Roman"/>
                      <w:color w:val="auto"/>
                      <w:sz w:val="21"/>
                      <w:szCs w:val="21"/>
                    </w:rPr>
                    <w:t>具体内容</w:t>
                  </w:r>
                </w:p>
              </w:tc>
              <w:tc>
                <w:tcPr>
                  <w:tcW w:w="1910" w:type="dxa"/>
                  <w:tcBorders>
                    <w:tl2br w:val="nil"/>
                    <w:tr2bl w:val="nil"/>
                  </w:tcBorders>
                  <w:shd w:val="clear" w:color="auto" w:fill="auto"/>
                  <w:vAlign w:val="center"/>
                </w:tcPr>
                <w:p w14:paraId="2EB36822">
                  <w:pPr>
                    <w:pStyle w:val="20"/>
                    <w:adjustRightInd w:val="0"/>
                    <w:snapToGrid w:val="0"/>
                    <w:spacing w:line="240" w:lineRule="auto"/>
                    <w:ind w:left="0"/>
                    <w:jc w:val="center"/>
                    <w:rPr>
                      <w:rFonts w:ascii="Times New Roman" w:hAnsi="Times New Roman"/>
                      <w:color w:val="auto"/>
                      <w:sz w:val="21"/>
                      <w:szCs w:val="21"/>
                    </w:rPr>
                  </w:pPr>
                  <w:r>
                    <w:rPr>
                      <w:rFonts w:ascii="Times New Roman" w:hAnsi="Times New Roman"/>
                      <w:color w:val="auto"/>
                      <w:sz w:val="21"/>
                      <w:szCs w:val="21"/>
                    </w:rPr>
                    <w:t>投资（万元）</w:t>
                  </w:r>
                </w:p>
              </w:tc>
              <w:tc>
                <w:tcPr>
                  <w:tcW w:w="1129" w:type="dxa"/>
                  <w:tcBorders>
                    <w:tl2br w:val="nil"/>
                    <w:tr2bl w:val="nil"/>
                  </w:tcBorders>
                  <w:shd w:val="clear" w:color="auto" w:fill="auto"/>
                  <w:vAlign w:val="center"/>
                </w:tcPr>
                <w:p w14:paraId="33AEB2B3">
                  <w:pPr>
                    <w:pStyle w:val="20"/>
                    <w:adjustRightInd w:val="0"/>
                    <w:snapToGrid w:val="0"/>
                    <w:spacing w:line="240" w:lineRule="auto"/>
                    <w:ind w:left="0"/>
                    <w:jc w:val="center"/>
                    <w:rPr>
                      <w:rFonts w:ascii="Times New Roman" w:hAnsi="Times New Roman"/>
                      <w:color w:val="auto"/>
                      <w:sz w:val="21"/>
                      <w:szCs w:val="21"/>
                    </w:rPr>
                  </w:pPr>
                  <w:r>
                    <w:rPr>
                      <w:rFonts w:ascii="Times New Roman" w:hAnsi="Times New Roman"/>
                      <w:color w:val="auto"/>
                      <w:sz w:val="21"/>
                      <w:szCs w:val="21"/>
                    </w:rPr>
                    <w:t>责任主体</w:t>
                  </w:r>
                </w:p>
              </w:tc>
            </w:tr>
            <w:tr w14:paraId="2220C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35888D48">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1</w:t>
                  </w:r>
                </w:p>
              </w:tc>
              <w:tc>
                <w:tcPr>
                  <w:tcW w:w="1582" w:type="dxa"/>
                  <w:tcBorders>
                    <w:tl2br w:val="nil"/>
                    <w:tr2bl w:val="nil"/>
                  </w:tcBorders>
                  <w:shd w:val="clear" w:color="auto" w:fill="auto"/>
                  <w:vAlign w:val="center"/>
                </w:tcPr>
                <w:p w14:paraId="52A0D248">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大气污染措施</w:t>
                  </w:r>
                </w:p>
              </w:tc>
              <w:tc>
                <w:tcPr>
                  <w:tcW w:w="3230" w:type="dxa"/>
                  <w:tcBorders>
                    <w:tl2br w:val="nil"/>
                    <w:tr2bl w:val="nil"/>
                  </w:tcBorders>
                  <w:shd w:val="clear" w:color="auto" w:fill="auto"/>
                  <w:vAlign w:val="center"/>
                </w:tcPr>
                <w:p w14:paraId="7EAFE6CC">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施工</w:t>
                  </w:r>
                  <w:r>
                    <w:rPr>
                      <w:rFonts w:hint="eastAsia" w:ascii="Times New Roman" w:hAnsi="Times New Roman"/>
                      <w:b w:val="0"/>
                      <w:bCs/>
                      <w:color w:val="auto"/>
                      <w:sz w:val="21"/>
                      <w:szCs w:val="21"/>
                    </w:rPr>
                    <w:t>期间</w:t>
                  </w:r>
                  <w:r>
                    <w:rPr>
                      <w:rFonts w:ascii="Times New Roman" w:hAnsi="Times New Roman"/>
                      <w:b w:val="0"/>
                      <w:bCs/>
                      <w:color w:val="auto"/>
                      <w:sz w:val="21"/>
                      <w:szCs w:val="21"/>
                    </w:rPr>
                    <w:t>场地洒水以及防尘布等</w:t>
                  </w:r>
                </w:p>
              </w:tc>
              <w:tc>
                <w:tcPr>
                  <w:tcW w:w="1910" w:type="dxa"/>
                  <w:tcBorders>
                    <w:tl2br w:val="nil"/>
                    <w:tr2bl w:val="nil"/>
                  </w:tcBorders>
                  <w:shd w:val="clear" w:color="auto" w:fill="auto"/>
                  <w:vAlign w:val="center"/>
                </w:tcPr>
                <w:p w14:paraId="3D362DB9">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2</w:t>
                  </w:r>
                </w:p>
              </w:tc>
              <w:tc>
                <w:tcPr>
                  <w:tcW w:w="1129" w:type="dxa"/>
                  <w:vMerge w:val="restart"/>
                  <w:tcBorders>
                    <w:tl2br w:val="nil"/>
                    <w:tr2bl w:val="nil"/>
                  </w:tcBorders>
                  <w:shd w:val="clear" w:color="auto" w:fill="auto"/>
                  <w:vAlign w:val="center"/>
                </w:tcPr>
                <w:p w14:paraId="6284F7BC">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建设单位、设计单位、施工单位、监理单位</w:t>
                  </w:r>
                </w:p>
              </w:tc>
            </w:tr>
            <w:tr w14:paraId="233C9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5E53453D">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2</w:t>
                  </w:r>
                </w:p>
              </w:tc>
              <w:tc>
                <w:tcPr>
                  <w:tcW w:w="1582" w:type="dxa"/>
                  <w:tcBorders>
                    <w:tl2br w:val="nil"/>
                    <w:tr2bl w:val="nil"/>
                  </w:tcBorders>
                  <w:shd w:val="clear" w:color="auto" w:fill="auto"/>
                  <w:vAlign w:val="center"/>
                </w:tcPr>
                <w:p w14:paraId="3B941777">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水环境措施</w:t>
                  </w:r>
                </w:p>
              </w:tc>
              <w:tc>
                <w:tcPr>
                  <w:tcW w:w="3230" w:type="dxa"/>
                  <w:tcBorders>
                    <w:tl2br w:val="nil"/>
                    <w:tr2bl w:val="nil"/>
                  </w:tcBorders>
                  <w:shd w:val="clear" w:color="auto" w:fill="auto"/>
                  <w:vAlign w:val="center"/>
                </w:tcPr>
                <w:p w14:paraId="3B55160F">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主要包括施工期临时截排沟、临时沉淀池等</w:t>
                  </w:r>
                </w:p>
              </w:tc>
              <w:tc>
                <w:tcPr>
                  <w:tcW w:w="1910" w:type="dxa"/>
                  <w:tcBorders>
                    <w:tl2br w:val="nil"/>
                    <w:tr2bl w:val="nil"/>
                  </w:tcBorders>
                  <w:shd w:val="clear" w:color="auto" w:fill="auto"/>
                  <w:vAlign w:val="center"/>
                </w:tcPr>
                <w:p w14:paraId="4A3C1185">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3</w:t>
                  </w:r>
                </w:p>
              </w:tc>
              <w:tc>
                <w:tcPr>
                  <w:tcW w:w="1129" w:type="dxa"/>
                  <w:vMerge w:val="continue"/>
                  <w:tcBorders>
                    <w:tl2br w:val="nil"/>
                    <w:tr2bl w:val="nil"/>
                  </w:tcBorders>
                  <w:shd w:val="clear" w:color="auto" w:fill="auto"/>
                  <w:vAlign w:val="center"/>
                </w:tcPr>
                <w:p w14:paraId="7D78ED82">
                  <w:pPr>
                    <w:pStyle w:val="20"/>
                    <w:adjustRightInd w:val="0"/>
                    <w:snapToGrid w:val="0"/>
                    <w:spacing w:line="240" w:lineRule="auto"/>
                    <w:ind w:left="0"/>
                    <w:jc w:val="center"/>
                    <w:rPr>
                      <w:rFonts w:ascii="Times New Roman" w:hAnsi="Times New Roman"/>
                      <w:b w:val="0"/>
                      <w:bCs/>
                      <w:color w:val="auto"/>
                      <w:sz w:val="21"/>
                      <w:szCs w:val="21"/>
                    </w:rPr>
                  </w:pPr>
                </w:p>
              </w:tc>
            </w:tr>
            <w:tr w14:paraId="0C44BB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6795606E">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3</w:t>
                  </w:r>
                </w:p>
              </w:tc>
              <w:tc>
                <w:tcPr>
                  <w:tcW w:w="1582" w:type="dxa"/>
                  <w:tcBorders>
                    <w:tl2br w:val="nil"/>
                    <w:tr2bl w:val="nil"/>
                  </w:tcBorders>
                  <w:shd w:val="clear" w:color="auto" w:fill="auto"/>
                  <w:vAlign w:val="center"/>
                </w:tcPr>
                <w:p w14:paraId="68A150B2">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生态环境措施</w:t>
                  </w:r>
                </w:p>
              </w:tc>
              <w:tc>
                <w:tcPr>
                  <w:tcW w:w="3230" w:type="dxa"/>
                  <w:tcBorders>
                    <w:tl2br w:val="nil"/>
                    <w:tr2bl w:val="nil"/>
                  </w:tcBorders>
                  <w:shd w:val="clear" w:color="auto" w:fill="auto"/>
                  <w:vAlign w:val="center"/>
                </w:tcPr>
                <w:p w14:paraId="0FA1BCB8">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塔基区及施工临时占地植被恢复，护坡、挡土墙、排水沟等措施</w:t>
                  </w:r>
                </w:p>
              </w:tc>
              <w:tc>
                <w:tcPr>
                  <w:tcW w:w="1910" w:type="dxa"/>
                  <w:tcBorders>
                    <w:tl2br w:val="nil"/>
                    <w:tr2bl w:val="nil"/>
                  </w:tcBorders>
                  <w:shd w:val="clear" w:color="auto" w:fill="auto"/>
                  <w:vAlign w:val="center"/>
                </w:tcPr>
                <w:p w14:paraId="4AD1A294">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5</w:t>
                  </w:r>
                </w:p>
              </w:tc>
              <w:tc>
                <w:tcPr>
                  <w:tcW w:w="1129" w:type="dxa"/>
                  <w:vMerge w:val="continue"/>
                  <w:tcBorders>
                    <w:tl2br w:val="nil"/>
                    <w:tr2bl w:val="nil"/>
                  </w:tcBorders>
                  <w:shd w:val="clear" w:color="auto" w:fill="auto"/>
                  <w:vAlign w:val="center"/>
                </w:tcPr>
                <w:p w14:paraId="6756E965">
                  <w:pPr>
                    <w:pStyle w:val="20"/>
                    <w:adjustRightInd w:val="0"/>
                    <w:snapToGrid w:val="0"/>
                    <w:spacing w:line="240" w:lineRule="auto"/>
                    <w:ind w:left="0"/>
                    <w:jc w:val="center"/>
                    <w:rPr>
                      <w:rFonts w:ascii="Times New Roman" w:hAnsi="Times New Roman"/>
                      <w:b w:val="0"/>
                      <w:bCs/>
                      <w:color w:val="auto"/>
                      <w:sz w:val="21"/>
                      <w:szCs w:val="21"/>
                    </w:rPr>
                  </w:pPr>
                </w:p>
              </w:tc>
            </w:tr>
            <w:tr w14:paraId="428DC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43DB2334">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4</w:t>
                  </w:r>
                </w:p>
              </w:tc>
              <w:tc>
                <w:tcPr>
                  <w:tcW w:w="1582" w:type="dxa"/>
                  <w:tcBorders>
                    <w:tl2br w:val="nil"/>
                    <w:tr2bl w:val="nil"/>
                  </w:tcBorders>
                  <w:shd w:val="clear" w:color="auto" w:fill="auto"/>
                  <w:vAlign w:val="center"/>
                </w:tcPr>
                <w:p w14:paraId="48E250B7">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固废处置及利用措施</w:t>
                  </w:r>
                </w:p>
              </w:tc>
              <w:tc>
                <w:tcPr>
                  <w:tcW w:w="3230" w:type="dxa"/>
                  <w:tcBorders>
                    <w:tl2br w:val="nil"/>
                    <w:tr2bl w:val="nil"/>
                  </w:tcBorders>
                  <w:shd w:val="clear" w:color="auto" w:fill="auto"/>
                  <w:vAlign w:val="center"/>
                </w:tcPr>
                <w:p w14:paraId="2D3F599E">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主要包括施工期生活垃圾、弃土弃渣清运等</w:t>
                  </w:r>
                </w:p>
              </w:tc>
              <w:tc>
                <w:tcPr>
                  <w:tcW w:w="1910" w:type="dxa"/>
                  <w:tcBorders>
                    <w:tl2br w:val="nil"/>
                    <w:tr2bl w:val="nil"/>
                  </w:tcBorders>
                  <w:shd w:val="clear" w:color="auto" w:fill="auto"/>
                  <w:vAlign w:val="center"/>
                </w:tcPr>
                <w:p w14:paraId="725DD3C5">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2</w:t>
                  </w:r>
                </w:p>
              </w:tc>
              <w:tc>
                <w:tcPr>
                  <w:tcW w:w="1129" w:type="dxa"/>
                  <w:vMerge w:val="continue"/>
                  <w:tcBorders>
                    <w:tl2br w:val="nil"/>
                    <w:tr2bl w:val="nil"/>
                  </w:tcBorders>
                  <w:shd w:val="clear" w:color="auto" w:fill="auto"/>
                  <w:vAlign w:val="center"/>
                </w:tcPr>
                <w:p w14:paraId="14921073">
                  <w:pPr>
                    <w:pStyle w:val="20"/>
                    <w:adjustRightInd w:val="0"/>
                    <w:snapToGrid w:val="0"/>
                    <w:spacing w:line="240" w:lineRule="auto"/>
                    <w:ind w:left="0"/>
                    <w:jc w:val="center"/>
                    <w:rPr>
                      <w:rFonts w:ascii="Times New Roman" w:hAnsi="Times New Roman"/>
                      <w:b w:val="0"/>
                      <w:bCs/>
                      <w:color w:val="auto"/>
                      <w:sz w:val="21"/>
                      <w:szCs w:val="21"/>
                    </w:rPr>
                  </w:pPr>
                </w:p>
              </w:tc>
            </w:tr>
            <w:tr w14:paraId="3B2E0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53ACA9C0">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5</w:t>
                  </w:r>
                </w:p>
              </w:tc>
              <w:tc>
                <w:tcPr>
                  <w:tcW w:w="1582" w:type="dxa"/>
                  <w:tcBorders>
                    <w:tl2br w:val="nil"/>
                    <w:tr2bl w:val="nil"/>
                  </w:tcBorders>
                  <w:shd w:val="clear" w:color="auto" w:fill="auto"/>
                  <w:vAlign w:val="center"/>
                </w:tcPr>
                <w:p w14:paraId="21F900B2">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水土保持措施</w:t>
                  </w:r>
                </w:p>
              </w:tc>
              <w:tc>
                <w:tcPr>
                  <w:tcW w:w="3230" w:type="dxa"/>
                  <w:tcBorders>
                    <w:tl2br w:val="nil"/>
                    <w:tr2bl w:val="nil"/>
                  </w:tcBorders>
                  <w:shd w:val="clear" w:color="auto" w:fill="auto"/>
                  <w:vAlign w:val="center"/>
                </w:tcPr>
                <w:p w14:paraId="689C6D40">
                  <w:pPr>
                    <w:adjustRightInd w:val="0"/>
                    <w:snapToGrid w:val="0"/>
                    <w:jc w:val="center"/>
                    <w:rPr>
                      <w:rFonts w:ascii="Times New Roman" w:hAnsi="Times New Roman"/>
                      <w:color w:val="auto"/>
                      <w:szCs w:val="21"/>
                    </w:rPr>
                  </w:pPr>
                  <w:r>
                    <w:rPr>
                      <w:rFonts w:ascii="Times New Roman" w:hAnsi="Times New Roman"/>
                      <w:color w:val="auto"/>
                      <w:szCs w:val="18"/>
                    </w:rPr>
                    <w:t>表土剥离及回覆，全面整地；</w:t>
                  </w:r>
                  <w:r>
                    <w:rPr>
                      <w:rFonts w:ascii="Times New Roman" w:hAnsi="Times New Roman"/>
                      <w:color w:val="auto"/>
                      <w:szCs w:val="21"/>
                    </w:rPr>
                    <w:t>撒草绿化，临时排水沟，临时拦挡，编织袋装土；临时覆盖彩条布</w:t>
                  </w:r>
                </w:p>
              </w:tc>
              <w:tc>
                <w:tcPr>
                  <w:tcW w:w="1910" w:type="dxa"/>
                  <w:tcBorders>
                    <w:tl2br w:val="nil"/>
                    <w:tr2bl w:val="nil"/>
                  </w:tcBorders>
                  <w:shd w:val="clear" w:color="auto" w:fill="auto"/>
                  <w:vAlign w:val="center"/>
                </w:tcPr>
                <w:p w14:paraId="5418201E">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10</w:t>
                  </w:r>
                </w:p>
              </w:tc>
              <w:tc>
                <w:tcPr>
                  <w:tcW w:w="1129" w:type="dxa"/>
                  <w:vMerge w:val="continue"/>
                  <w:tcBorders>
                    <w:tl2br w:val="nil"/>
                    <w:tr2bl w:val="nil"/>
                  </w:tcBorders>
                  <w:shd w:val="clear" w:color="auto" w:fill="auto"/>
                  <w:vAlign w:val="center"/>
                </w:tcPr>
                <w:p w14:paraId="3C950002">
                  <w:pPr>
                    <w:pStyle w:val="20"/>
                    <w:adjustRightInd w:val="0"/>
                    <w:snapToGrid w:val="0"/>
                    <w:spacing w:line="240" w:lineRule="auto"/>
                    <w:ind w:left="0"/>
                    <w:jc w:val="center"/>
                    <w:rPr>
                      <w:rFonts w:ascii="Times New Roman" w:hAnsi="Times New Roman"/>
                      <w:b w:val="0"/>
                      <w:bCs/>
                      <w:color w:val="auto"/>
                      <w:sz w:val="21"/>
                      <w:szCs w:val="21"/>
                    </w:rPr>
                  </w:pPr>
                </w:p>
              </w:tc>
            </w:tr>
            <w:tr w14:paraId="62A7BD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1" w:type="dxa"/>
                  <w:tcBorders>
                    <w:tl2br w:val="nil"/>
                    <w:tr2bl w:val="nil"/>
                  </w:tcBorders>
                  <w:shd w:val="clear" w:color="auto" w:fill="auto"/>
                  <w:vAlign w:val="center"/>
                </w:tcPr>
                <w:p w14:paraId="712081A9">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6</w:t>
                  </w:r>
                </w:p>
              </w:tc>
              <w:tc>
                <w:tcPr>
                  <w:tcW w:w="1582" w:type="dxa"/>
                  <w:tcBorders>
                    <w:tl2br w:val="nil"/>
                    <w:tr2bl w:val="nil"/>
                  </w:tcBorders>
                  <w:shd w:val="clear" w:color="auto" w:fill="auto"/>
                  <w:vAlign w:val="center"/>
                </w:tcPr>
                <w:p w14:paraId="071B22F7">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环境保护管理</w:t>
                  </w:r>
                </w:p>
              </w:tc>
              <w:tc>
                <w:tcPr>
                  <w:tcW w:w="3230" w:type="dxa"/>
                  <w:tcBorders>
                    <w:tl2br w:val="nil"/>
                    <w:tr2bl w:val="nil"/>
                  </w:tcBorders>
                  <w:shd w:val="clear" w:color="auto" w:fill="auto"/>
                  <w:vAlign w:val="center"/>
                </w:tcPr>
                <w:p w14:paraId="371906DE">
                  <w:pPr>
                    <w:adjustRightInd w:val="0"/>
                    <w:snapToGrid w:val="0"/>
                    <w:jc w:val="center"/>
                    <w:rPr>
                      <w:rFonts w:ascii="Times New Roman" w:hAnsi="Times New Roman"/>
                      <w:color w:val="auto"/>
                      <w:szCs w:val="21"/>
                    </w:rPr>
                  </w:pPr>
                  <w:r>
                    <w:rPr>
                      <w:rFonts w:ascii="Times New Roman" w:hAnsi="Times New Roman"/>
                      <w:color w:val="auto"/>
                      <w:szCs w:val="21"/>
                    </w:rPr>
                    <w:t>施工期环境保护、电磁环境及环境法律知识培训等，敏感区警示标识牌费用等</w:t>
                  </w:r>
                </w:p>
              </w:tc>
              <w:tc>
                <w:tcPr>
                  <w:tcW w:w="1910" w:type="dxa"/>
                  <w:tcBorders>
                    <w:tl2br w:val="nil"/>
                    <w:tr2bl w:val="nil"/>
                  </w:tcBorders>
                  <w:shd w:val="clear" w:color="auto" w:fill="auto"/>
                  <w:vAlign w:val="center"/>
                </w:tcPr>
                <w:p w14:paraId="562941C6">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3</w:t>
                  </w:r>
                </w:p>
              </w:tc>
              <w:tc>
                <w:tcPr>
                  <w:tcW w:w="1129" w:type="dxa"/>
                  <w:vMerge w:val="continue"/>
                  <w:tcBorders>
                    <w:tl2br w:val="nil"/>
                    <w:tr2bl w:val="nil"/>
                  </w:tcBorders>
                  <w:shd w:val="clear" w:color="auto" w:fill="auto"/>
                  <w:vAlign w:val="center"/>
                </w:tcPr>
                <w:p w14:paraId="07CD1B94">
                  <w:pPr>
                    <w:pStyle w:val="20"/>
                    <w:adjustRightInd w:val="0"/>
                    <w:snapToGrid w:val="0"/>
                    <w:spacing w:line="240" w:lineRule="auto"/>
                    <w:ind w:left="0"/>
                    <w:jc w:val="center"/>
                    <w:rPr>
                      <w:rFonts w:ascii="Times New Roman" w:hAnsi="Times New Roman"/>
                      <w:b w:val="0"/>
                      <w:bCs/>
                      <w:color w:val="auto"/>
                      <w:sz w:val="21"/>
                      <w:szCs w:val="21"/>
                    </w:rPr>
                  </w:pPr>
                </w:p>
              </w:tc>
            </w:tr>
            <w:tr w14:paraId="151DF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31" w:type="dxa"/>
                  <w:vMerge w:val="restart"/>
                  <w:tcBorders>
                    <w:tl2br w:val="nil"/>
                    <w:tr2bl w:val="nil"/>
                  </w:tcBorders>
                  <w:shd w:val="clear" w:color="auto" w:fill="auto"/>
                  <w:vAlign w:val="center"/>
                </w:tcPr>
                <w:p w14:paraId="5823950B">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7</w:t>
                  </w:r>
                </w:p>
              </w:tc>
              <w:tc>
                <w:tcPr>
                  <w:tcW w:w="1582" w:type="dxa"/>
                  <w:vMerge w:val="restart"/>
                  <w:tcBorders>
                    <w:tl2br w:val="nil"/>
                    <w:tr2bl w:val="nil"/>
                  </w:tcBorders>
                  <w:shd w:val="clear" w:color="auto" w:fill="auto"/>
                  <w:vAlign w:val="center"/>
                </w:tcPr>
                <w:p w14:paraId="6819BDFB">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环保咨询</w:t>
                  </w:r>
                </w:p>
              </w:tc>
              <w:tc>
                <w:tcPr>
                  <w:tcW w:w="3230" w:type="dxa"/>
                  <w:tcBorders>
                    <w:tl2br w:val="nil"/>
                    <w:tr2bl w:val="nil"/>
                  </w:tcBorders>
                  <w:shd w:val="clear" w:color="auto" w:fill="auto"/>
                  <w:vAlign w:val="center"/>
                </w:tcPr>
                <w:p w14:paraId="3E9A311B">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环境监测费</w:t>
                  </w:r>
                  <w:r>
                    <w:rPr>
                      <w:rFonts w:hint="eastAsia" w:ascii="Times New Roman" w:hAnsi="Times New Roman"/>
                      <w:b w:val="0"/>
                      <w:bCs/>
                      <w:color w:val="auto"/>
                      <w:sz w:val="21"/>
                      <w:szCs w:val="21"/>
                    </w:rPr>
                    <w:t>及生态监测</w:t>
                  </w:r>
                </w:p>
              </w:tc>
              <w:tc>
                <w:tcPr>
                  <w:tcW w:w="1910" w:type="dxa"/>
                  <w:tcBorders>
                    <w:tl2br w:val="nil"/>
                    <w:tr2bl w:val="nil"/>
                  </w:tcBorders>
                  <w:shd w:val="clear" w:color="auto" w:fill="auto"/>
                  <w:vAlign w:val="center"/>
                </w:tcPr>
                <w:p w14:paraId="3C5ABA5E">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8</w:t>
                  </w:r>
                </w:p>
              </w:tc>
              <w:tc>
                <w:tcPr>
                  <w:tcW w:w="1129" w:type="dxa"/>
                  <w:vMerge w:val="restart"/>
                  <w:tcBorders>
                    <w:tl2br w:val="nil"/>
                    <w:tr2bl w:val="nil"/>
                  </w:tcBorders>
                  <w:shd w:val="clear" w:color="auto" w:fill="auto"/>
                  <w:vAlign w:val="center"/>
                </w:tcPr>
                <w:p w14:paraId="7FAC6EA7">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建设单位</w:t>
                  </w:r>
                </w:p>
              </w:tc>
            </w:tr>
            <w:tr w14:paraId="6CE7A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31" w:type="dxa"/>
                  <w:vMerge w:val="continue"/>
                  <w:tcBorders>
                    <w:tl2br w:val="nil"/>
                    <w:tr2bl w:val="nil"/>
                  </w:tcBorders>
                  <w:shd w:val="clear" w:color="auto" w:fill="auto"/>
                  <w:vAlign w:val="center"/>
                </w:tcPr>
                <w:p w14:paraId="3A0AADBA">
                  <w:pPr>
                    <w:pStyle w:val="20"/>
                    <w:adjustRightInd w:val="0"/>
                    <w:snapToGrid w:val="0"/>
                    <w:spacing w:line="240" w:lineRule="auto"/>
                    <w:ind w:left="0"/>
                    <w:jc w:val="center"/>
                    <w:rPr>
                      <w:rFonts w:ascii="Times New Roman" w:hAnsi="Times New Roman"/>
                      <w:color w:val="auto"/>
                      <w:sz w:val="21"/>
                      <w:szCs w:val="21"/>
                    </w:rPr>
                  </w:pPr>
                </w:p>
              </w:tc>
              <w:tc>
                <w:tcPr>
                  <w:tcW w:w="1582" w:type="dxa"/>
                  <w:vMerge w:val="continue"/>
                  <w:tcBorders>
                    <w:tl2br w:val="nil"/>
                    <w:tr2bl w:val="nil"/>
                  </w:tcBorders>
                  <w:shd w:val="clear" w:color="auto" w:fill="auto"/>
                  <w:vAlign w:val="center"/>
                </w:tcPr>
                <w:p w14:paraId="46B7993A">
                  <w:pPr>
                    <w:pStyle w:val="20"/>
                    <w:adjustRightInd w:val="0"/>
                    <w:snapToGrid w:val="0"/>
                    <w:spacing w:line="240" w:lineRule="auto"/>
                    <w:ind w:left="0"/>
                    <w:jc w:val="center"/>
                    <w:rPr>
                      <w:rFonts w:ascii="Times New Roman" w:hAnsi="Times New Roman"/>
                      <w:color w:val="auto"/>
                      <w:sz w:val="21"/>
                      <w:szCs w:val="21"/>
                    </w:rPr>
                  </w:pPr>
                </w:p>
              </w:tc>
              <w:tc>
                <w:tcPr>
                  <w:tcW w:w="3230" w:type="dxa"/>
                  <w:tcBorders>
                    <w:tl2br w:val="nil"/>
                    <w:tr2bl w:val="nil"/>
                  </w:tcBorders>
                  <w:shd w:val="clear" w:color="auto" w:fill="auto"/>
                  <w:vAlign w:val="center"/>
                </w:tcPr>
                <w:p w14:paraId="0C7E2C0D">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环评咨询费</w:t>
                  </w:r>
                </w:p>
              </w:tc>
              <w:tc>
                <w:tcPr>
                  <w:tcW w:w="1910" w:type="dxa"/>
                  <w:tcBorders>
                    <w:tl2br w:val="nil"/>
                    <w:tr2bl w:val="nil"/>
                  </w:tcBorders>
                  <w:shd w:val="clear" w:color="auto" w:fill="auto"/>
                  <w:vAlign w:val="center"/>
                </w:tcPr>
                <w:p w14:paraId="5F6CAA5D">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10</w:t>
                  </w:r>
                </w:p>
              </w:tc>
              <w:tc>
                <w:tcPr>
                  <w:tcW w:w="1129" w:type="dxa"/>
                  <w:vMerge w:val="continue"/>
                  <w:tcBorders>
                    <w:tl2br w:val="nil"/>
                    <w:tr2bl w:val="nil"/>
                  </w:tcBorders>
                  <w:shd w:val="clear" w:color="auto" w:fill="auto"/>
                  <w:vAlign w:val="center"/>
                </w:tcPr>
                <w:p w14:paraId="66D0A21A">
                  <w:pPr>
                    <w:pStyle w:val="20"/>
                    <w:adjustRightInd w:val="0"/>
                    <w:snapToGrid w:val="0"/>
                    <w:spacing w:line="240" w:lineRule="auto"/>
                    <w:ind w:left="0"/>
                    <w:jc w:val="center"/>
                    <w:rPr>
                      <w:rFonts w:ascii="Times New Roman" w:hAnsi="Times New Roman"/>
                      <w:b w:val="0"/>
                      <w:bCs/>
                      <w:color w:val="auto"/>
                      <w:sz w:val="21"/>
                      <w:szCs w:val="21"/>
                    </w:rPr>
                  </w:pPr>
                </w:p>
              </w:tc>
            </w:tr>
            <w:tr w14:paraId="112189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31" w:type="dxa"/>
                  <w:vMerge w:val="continue"/>
                  <w:tcBorders>
                    <w:tl2br w:val="nil"/>
                    <w:tr2bl w:val="nil"/>
                  </w:tcBorders>
                  <w:shd w:val="clear" w:color="auto" w:fill="auto"/>
                  <w:vAlign w:val="center"/>
                </w:tcPr>
                <w:p w14:paraId="0D8B64B4">
                  <w:pPr>
                    <w:pStyle w:val="20"/>
                    <w:adjustRightInd w:val="0"/>
                    <w:snapToGrid w:val="0"/>
                    <w:spacing w:line="240" w:lineRule="auto"/>
                    <w:ind w:left="0"/>
                    <w:jc w:val="center"/>
                    <w:rPr>
                      <w:rFonts w:ascii="Times New Roman" w:hAnsi="Times New Roman"/>
                      <w:b w:val="0"/>
                      <w:bCs/>
                      <w:color w:val="auto"/>
                      <w:sz w:val="21"/>
                      <w:szCs w:val="21"/>
                    </w:rPr>
                  </w:pPr>
                </w:p>
              </w:tc>
              <w:tc>
                <w:tcPr>
                  <w:tcW w:w="1582" w:type="dxa"/>
                  <w:vMerge w:val="continue"/>
                  <w:tcBorders>
                    <w:tl2br w:val="nil"/>
                    <w:tr2bl w:val="nil"/>
                  </w:tcBorders>
                  <w:shd w:val="clear" w:color="auto" w:fill="auto"/>
                  <w:vAlign w:val="center"/>
                </w:tcPr>
                <w:p w14:paraId="37A2F2A1">
                  <w:pPr>
                    <w:pStyle w:val="20"/>
                    <w:adjustRightInd w:val="0"/>
                    <w:snapToGrid w:val="0"/>
                    <w:spacing w:line="240" w:lineRule="auto"/>
                    <w:ind w:left="0"/>
                    <w:jc w:val="center"/>
                    <w:rPr>
                      <w:rFonts w:ascii="Times New Roman" w:hAnsi="Times New Roman"/>
                      <w:b w:val="0"/>
                      <w:bCs/>
                      <w:color w:val="auto"/>
                      <w:sz w:val="21"/>
                      <w:szCs w:val="21"/>
                    </w:rPr>
                  </w:pPr>
                </w:p>
              </w:tc>
              <w:tc>
                <w:tcPr>
                  <w:tcW w:w="3230" w:type="dxa"/>
                  <w:tcBorders>
                    <w:tl2br w:val="nil"/>
                    <w:tr2bl w:val="nil"/>
                  </w:tcBorders>
                  <w:shd w:val="clear" w:color="auto" w:fill="auto"/>
                  <w:vAlign w:val="center"/>
                </w:tcPr>
                <w:p w14:paraId="0142EEE5">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竣工环保验收费</w:t>
                  </w:r>
                </w:p>
              </w:tc>
              <w:tc>
                <w:tcPr>
                  <w:tcW w:w="1910" w:type="dxa"/>
                  <w:tcBorders>
                    <w:tl2br w:val="nil"/>
                    <w:tr2bl w:val="nil"/>
                  </w:tcBorders>
                  <w:shd w:val="clear" w:color="auto" w:fill="auto"/>
                  <w:vAlign w:val="center"/>
                </w:tcPr>
                <w:p w14:paraId="7FD389F3">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10</w:t>
                  </w:r>
                </w:p>
              </w:tc>
              <w:tc>
                <w:tcPr>
                  <w:tcW w:w="1129" w:type="dxa"/>
                  <w:vMerge w:val="continue"/>
                  <w:tcBorders>
                    <w:tl2br w:val="nil"/>
                    <w:tr2bl w:val="nil"/>
                  </w:tcBorders>
                  <w:shd w:val="clear" w:color="auto" w:fill="auto"/>
                  <w:vAlign w:val="center"/>
                </w:tcPr>
                <w:p w14:paraId="71602969">
                  <w:pPr>
                    <w:pStyle w:val="20"/>
                    <w:adjustRightInd w:val="0"/>
                    <w:snapToGrid w:val="0"/>
                    <w:spacing w:line="240" w:lineRule="auto"/>
                    <w:ind w:left="0"/>
                    <w:jc w:val="center"/>
                    <w:rPr>
                      <w:rFonts w:ascii="Times New Roman" w:hAnsi="Times New Roman"/>
                      <w:b w:val="0"/>
                      <w:bCs/>
                      <w:color w:val="auto"/>
                      <w:sz w:val="21"/>
                      <w:szCs w:val="21"/>
                    </w:rPr>
                  </w:pPr>
                </w:p>
              </w:tc>
            </w:tr>
            <w:tr w14:paraId="0E92F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43" w:type="dxa"/>
                  <w:gridSpan w:val="3"/>
                  <w:tcBorders>
                    <w:tl2br w:val="nil"/>
                    <w:tr2bl w:val="nil"/>
                  </w:tcBorders>
                  <w:shd w:val="clear" w:color="auto" w:fill="auto"/>
                  <w:vAlign w:val="center"/>
                </w:tcPr>
                <w:p w14:paraId="4E9FCE76">
                  <w:pPr>
                    <w:pStyle w:val="20"/>
                    <w:adjustRightInd w:val="0"/>
                    <w:snapToGrid w:val="0"/>
                    <w:spacing w:line="240" w:lineRule="auto"/>
                    <w:ind w:left="0"/>
                    <w:jc w:val="center"/>
                    <w:rPr>
                      <w:rFonts w:ascii="Times New Roman" w:hAnsi="Times New Roman"/>
                      <w:b w:val="0"/>
                      <w:bCs/>
                      <w:color w:val="auto"/>
                      <w:sz w:val="21"/>
                      <w:szCs w:val="21"/>
                    </w:rPr>
                  </w:pPr>
                  <w:r>
                    <w:rPr>
                      <w:rFonts w:ascii="Times New Roman" w:hAnsi="Times New Roman"/>
                      <w:b w:val="0"/>
                      <w:bCs/>
                      <w:color w:val="auto"/>
                      <w:sz w:val="21"/>
                      <w:szCs w:val="21"/>
                    </w:rPr>
                    <w:t>合计</w:t>
                  </w:r>
                </w:p>
              </w:tc>
              <w:tc>
                <w:tcPr>
                  <w:tcW w:w="1910" w:type="dxa"/>
                  <w:tcBorders>
                    <w:tl2br w:val="nil"/>
                    <w:tr2bl w:val="nil"/>
                  </w:tcBorders>
                  <w:shd w:val="clear" w:color="auto" w:fill="auto"/>
                  <w:vAlign w:val="center"/>
                </w:tcPr>
                <w:p w14:paraId="63C0739C">
                  <w:pPr>
                    <w:pStyle w:val="20"/>
                    <w:adjustRightInd w:val="0"/>
                    <w:snapToGrid w:val="0"/>
                    <w:spacing w:line="240" w:lineRule="auto"/>
                    <w:ind w:left="0"/>
                    <w:jc w:val="center"/>
                    <w:rPr>
                      <w:rFonts w:ascii="Times New Roman" w:hAnsi="Times New Roman"/>
                      <w:b w:val="0"/>
                      <w:bCs/>
                      <w:color w:val="auto"/>
                      <w:sz w:val="21"/>
                      <w:szCs w:val="21"/>
                    </w:rPr>
                  </w:pPr>
                  <w:r>
                    <w:rPr>
                      <w:rFonts w:hint="eastAsia" w:ascii="Times New Roman" w:hAnsi="Times New Roman"/>
                      <w:b w:val="0"/>
                      <w:bCs/>
                      <w:color w:val="auto"/>
                      <w:sz w:val="21"/>
                      <w:szCs w:val="21"/>
                    </w:rPr>
                    <w:t>53</w:t>
                  </w:r>
                </w:p>
              </w:tc>
              <w:tc>
                <w:tcPr>
                  <w:tcW w:w="1129" w:type="dxa"/>
                  <w:tcBorders>
                    <w:tl2br w:val="nil"/>
                    <w:tr2bl w:val="nil"/>
                  </w:tcBorders>
                  <w:shd w:val="clear" w:color="auto" w:fill="auto"/>
                  <w:vAlign w:val="center"/>
                </w:tcPr>
                <w:p w14:paraId="69201357">
                  <w:pPr>
                    <w:pStyle w:val="20"/>
                    <w:adjustRightInd w:val="0"/>
                    <w:snapToGrid w:val="0"/>
                    <w:spacing w:line="240" w:lineRule="auto"/>
                    <w:ind w:left="0"/>
                    <w:jc w:val="center"/>
                    <w:rPr>
                      <w:rFonts w:ascii="Times New Roman" w:hAnsi="Times New Roman"/>
                      <w:b w:val="0"/>
                      <w:bCs/>
                      <w:color w:val="auto"/>
                      <w:sz w:val="21"/>
                      <w:szCs w:val="21"/>
                    </w:rPr>
                  </w:pPr>
                </w:p>
              </w:tc>
            </w:tr>
          </w:tbl>
          <w:p w14:paraId="3646E5B5">
            <w:pPr>
              <w:jc w:val="center"/>
              <w:rPr>
                <w:rFonts w:ascii="Times New Roman" w:hAnsi="Times New Roman"/>
                <w:b/>
                <w:color w:val="auto"/>
                <w:sz w:val="24"/>
                <w:szCs w:val="24"/>
              </w:rPr>
            </w:pPr>
          </w:p>
          <w:p w14:paraId="58E72B6A">
            <w:pPr>
              <w:pStyle w:val="15"/>
              <w:rPr>
                <w:rFonts w:ascii="Times New Roman" w:hAnsi="Times New Roman"/>
                <w:color w:val="auto"/>
                <w:sz w:val="24"/>
                <w:szCs w:val="24"/>
              </w:rPr>
            </w:pPr>
          </w:p>
          <w:p w14:paraId="37797978">
            <w:pPr>
              <w:rPr>
                <w:rFonts w:ascii="Times New Roman" w:hAnsi="Times New Roman"/>
                <w:color w:val="auto"/>
                <w:sz w:val="24"/>
                <w:szCs w:val="24"/>
              </w:rPr>
            </w:pPr>
          </w:p>
          <w:p w14:paraId="4A35C304">
            <w:pPr>
              <w:rPr>
                <w:rFonts w:ascii="Times New Roman" w:hAnsi="Times New Roman"/>
                <w:color w:val="auto"/>
                <w:sz w:val="24"/>
                <w:szCs w:val="24"/>
              </w:rPr>
            </w:pPr>
          </w:p>
          <w:p w14:paraId="0B8742CE">
            <w:pPr>
              <w:rPr>
                <w:rFonts w:ascii="Times New Roman" w:hAnsi="Times New Roman"/>
                <w:color w:val="auto"/>
                <w:sz w:val="24"/>
                <w:szCs w:val="24"/>
              </w:rPr>
            </w:pPr>
          </w:p>
          <w:p w14:paraId="5F1A7DD9">
            <w:pPr>
              <w:rPr>
                <w:rFonts w:ascii="Times New Roman" w:hAnsi="Times New Roman"/>
                <w:color w:val="auto"/>
                <w:sz w:val="24"/>
                <w:szCs w:val="24"/>
              </w:rPr>
            </w:pPr>
          </w:p>
          <w:p w14:paraId="165AE3B2">
            <w:pPr>
              <w:rPr>
                <w:rFonts w:ascii="Times New Roman" w:hAnsi="Times New Roman"/>
                <w:color w:val="auto"/>
                <w:sz w:val="24"/>
                <w:szCs w:val="24"/>
              </w:rPr>
            </w:pPr>
          </w:p>
          <w:p w14:paraId="37DDF2CA">
            <w:pPr>
              <w:rPr>
                <w:rFonts w:ascii="Times New Roman" w:hAnsi="Times New Roman"/>
                <w:color w:val="auto"/>
                <w:sz w:val="24"/>
                <w:szCs w:val="24"/>
              </w:rPr>
            </w:pPr>
          </w:p>
          <w:p w14:paraId="58B80207">
            <w:pPr>
              <w:rPr>
                <w:rFonts w:ascii="Times New Roman" w:hAnsi="Times New Roman"/>
                <w:color w:val="auto"/>
                <w:sz w:val="24"/>
                <w:szCs w:val="24"/>
              </w:rPr>
            </w:pPr>
          </w:p>
          <w:p w14:paraId="2632ADCC">
            <w:pPr>
              <w:rPr>
                <w:rFonts w:ascii="Times New Roman" w:hAnsi="Times New Roman"/>
                <w:color w:val="auto"/>
                <w:sz w:val="24"/>
                <w:szCs w:val="24"/>
              </w:rPr>
            </w:pPr>
          </w:p>
          <w:p w14:paraId="01422A21">
            <w:pPr>
              <w:rPr>
                <w:rFonts w:ascii="Times New Roman" w:hAnsi="Times New Roman"/>
                <w:color w:val="auto"/>
                <w:sz w:val="24"/>
                <w:szCs w:val="24"/>
              </w:rPr>
            </w:pPr>
          </w:p>
          <w:p w14:paraId="6256DE3F">
            <w:pPr>
              <w:rPr>
                <w:rFonts w:ascii="Times New Roman" w:hAnsi="Times New Roman"/>
                <w:color w:val="auto"/>
                <w:sz w:val="24"/>
                <w:szCs w:val="24"/>
              </w:rPr>
            </w:pPr>
          </w:p>
          <w:p w14:paraId="399901D0">
            <w:pPr>
              <w:rPr>
                <w:rFonts w:ascii="Times New Roman" w:hAnsi="Times New Roman"/>
                <w:color w:val="auto"/>
                <w:sz w:val="24"/>
                <w:szCs w:val="24"/>
              </w:rPr>
            </w:pPr>
          </w:p>
          <w:p w14:paraId="3DE74F38">
            <w:pPr>
              <w:rPr>
                <w:rFonts w:ascii="Times New Roman" w:hAnsi="Times New Roman"/>
                <w:color w:val="auto"/>
                <w:sz w:val="24"/>
                <w:szCs w:val="24"/>
              </w:rPr>
            </w:pPr>
          </w:p>
          <w:p w14:paraId="6DD6FC32">
            <w:pPr>
              <w:rPr>
                <w:rFonts w:ascii="Times New Roman" w:hAnsi="Times New Roman"/>
                <w:color w:val="auto"/>
                <w:sz w:val="24"/>
                <w:szCs w:val="24"/>
              </w:rPr>
            </w:pPr>
          </w:p>
          <w:p w14:paraId="6B95F6BC">
            <w:pPr>
              <w:rPr>
                <w:rFonts w:ascii="Times New Roman" w:hAnsi="Times New Roman"/>
                <w:color w:val="auto"/>
                <w:sz w:val="24"/>
                <w:szCs w:val="24"/>
              </w:rPr>
            </w:pPr>
          </w:p>
          <w:p w14:paraId="73276BC7">
            <w:pPr>
              <w:rPr>
                <w:rFonts w:ascii="Times New Roman" w:hAnsi="Times New Roman"/>
                <w:color w:val="auto"/>
                <w:sz w:val="24"/>
                <w:szCs w:val="24"/>
              </w:rPr>
            </w:pPr>
          </w:p>
          <w:p w14:paraId="4A5E9745">
            <w:pPr>
              <w:rPr>
                <w:rFonts w:ascii="Times New Roman" w:hAnsi="Times New Roman"/>
                <w:color w:val="auto"/>
                <w:sz w:val="24"/>
                <w:szCs w:val="24"/>
              </w:rPr>
            </w:pPr>
          </w:p>
          <w:p w14:paraId="29DE1426">
            <w:pPr>
              <w:rPr>
                <w:rFonts w:ascii="Times New Roman" w:hAnsi="Times New Roman"/>
                <w:color w:val="auto"/>
                <w:sz w:val="24"/>
                <w:szCs w:val="24"/>
              </w:rPr>
            </w:pPr>
          </w:p>
          <w:p w14:paraId="47B7C6BA">
            <w:pPr>
              <w:rPr>
                <w:rFonts w:ascii="Times New Roman" w:hAnsi="Times New Roman"/>
                <w:color w:val="auto"/>
                <w:sz w:val="24"/>
                <w:szCs w:val="24"/>
              </w:rPr>
            </w:pPr>
          </w:p>
          <w:p w14:paraId="704FAE00">
            <w:pPr>
              <w:rPr>
                <w:rFonts w:ascii="Times New Roman" w:hAnsi="Times New Roman"/>
                <w:color w:val="auto"/>
                <w:sz w:val="24"/>
                <w:szCs w:val="24"/>
              </w:rPr>
            </w:pPr>
          </w:p>
          <w:p w14:paraId="3BD32D70">
            <w:pPr>
              <w:rPr>
                <w:rFonts w:ascii="Times New Roman" w:hAnsi="Times New Roman"/>
                <w:color w:val="auto"/>
                <w:sz w:val="24"/>
                <w:szCs w:val="24"/>
              </w:rPr>
            </w:pPr>
          </w:p>
          <w:p w14:paraId="2F82E9D8">
            <w:pPr>
              <w:rPr>
                <w:rFonts w:ascii="Times New Roman" w:hAnsi="Times New Roman"/>
                <w:color w:val="auto"/>
                <w:sz w:val="24"/>
                <w:szCs w:val="24"/>
              </w:rPr>
            </w:pPr>
          </w:p>
          <w:p w14:paraId="4C51DA3C">
            <w:pPr>
              <w:rPr>
                <w:color w:val="auto"/>
              </w:rPr>
            </w:pPr>
          </w:p>
        </w:tc>
      </w:tr>
    </w:tbl>
    <w:p w14:paraId="3228AD63">
      <w:pPr>
        <w:pStyle w:val="3"/>
        <w:spacing w:line="240" w:lineRule="auto"/>
        <w:rPr>
          <w:rFonts w:ascii="Times New Roman" w:hAnsi="Times New Roman"/>
          <w:color w:val="auto"/>
        </w:rPr>
        <w:sectPr>
          <w:pgSz w:w="11907" w:h="16839"/>
          <w:pgMar w:top="1418" w:right="1474" w:bottom="1418" w:left="1474" w:header="794" w:footer="902" w:gutter="0"/>
          <w:pgBorders>
            <w:top w:val="none" w:sz="0" w:space="0"/>
            <w:left w:val="none" w:sz="0" w:space="0"/>
            <w:bottom w:val="none" w:sz="0" w:space="0"/>
            <w:right w:val="none" w:sz="0" w:space="0"/>
          </w:pgBorders>
          <w:cols w:space="425" w:num="1"/>
          <w:docGrid w:type="lines" w:linePitch="312" w:charSpace="0"/>
        </w:sectPr>
      </w:pPr>
      <w:bookmarkStart w:id="99" w:name="_Toc74062917"/>
    </w:p>
    <w:p w14:paraId="5D906DD4">
      <w:pPr>
        <w:pStyle w:val="3"/>
        <w:spacing w:line="240" w:lineRule="auto"/>
        <w:rPr>
          <w:rFonts w:ascii="Times New Roman" w:hAnsi="Times New Roman"/>
          <w:color w:val="auto"/>
        </w:rPr>
      </w:pPr>
      <w:r>
        <w:rPr>
          <w:rFonts w:ascii="Times New Roman" w:hAnsi="Times New Roman"/>
          <w:color w:val="auto"/>
        </w:rPr>
        <w:t>六、生态环境保护措施监督检查清单</w:t>
      </w:r>
      <w:bookmarkEnd w:id="99"/>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3"/>
        <w:gridCol w:w="5136"/>
        <w:gridCol w:w="1507"/>
        <w:gridCol w:w="4265"/>
        <w:gridCol w:w="1807"/>
      </w:tblGrid>
      <w:tr w14:paraId="1AD7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vMerge w:val="restart"/>
            <w:tcBorders>
              <w:tl2br w:val="single" w:color="auto" w:sz="4" w:space="0"/>
            </w:tcBorders>
            <w:shd w:val="clear" w:color="auto" w:fill="auto"/>
            <w:vAlign w:val="center"/>
          </w:tcPr>
          <w:p w14:paraId="08D24712">
            <w:pPr>
              <w:adjustRightInd w:val="0"/>
              <w:snapToGrid w:val="0"/>
              <w:ind w:firstLine="632" w:firstLineChars="300"/>
              <w:rPr>
                <w:rFonts w:ascii="Times New Roman" w:hAnsi="Times New Roman"/>
                <w:b/>
                <w:color w:val="auto"/>
                <w:szCs w:val="21"/>
              </w:rPr>
            </w:pPr>
            <w:r>
              <w:rPr>
                <w:rFonts w:ascii="Times New Roman" w:hAnsi="Times New Roman"/>
                <w:b/>
                <w:color w:val="auto"/>
                <w:szCs w:val="21"/>
              </w:rPr>
              <w:t>内容</w:t>
            </w:r>
          </w:p>
          <w:p w14:paraId="05FD23FB">
            <w:pPr>
              <w:adjustRightInd w:val="0"/>
              <w:snapToGrid w:val="0"/>
              <w:rPr>
                <w:rFonts w:ascii="Times New Roman" w:hAnsi="Times New Roman"/>
                <w:b/>
                <w:color w:val="auto"/>
                <w:szCs w:val="21"/>
              </w:rPr>
            </w:pPr>
            <w:r>
              <w:rPr>
                <w:rFonts w:ascii="Times New Roman" w:hAnsi="Times New Roman"/>
                <w:b/>
                <w:color w:val="auto"/>
                <w:szCs w:val="21"/>
              </w:rPr>
              <w:t>要素</w:t>
            </w:r>
          </w:p>
        </w:tc>
        <w:tc>
          <w:tcPr>
            <w:tcW w:w="2337" w:type="pct"/>
            <w:gridSpan w:val="2"/>
            <w:shd w:val="clear" w:color="auto" w:fill="auto"/>
            <w:vAlign w:val="center"/>
          </w:tcPr>
          <w:p w14:paraId="5B5A0EA0">
            <w:pPr>
              <w:adjustRightInd w:val="0"/>
              <w:snapToGrid w:val="0"/>
              <w:jc w:val="center"/>
              <w:rPr>
                <w:rFonts w:ascii="Times New Roman" w:hAnsi="Times New Roman"/>
                <w:b/>
                <w:color w:val="auto"/>
                <w:szCs w:val="21"/>
              </w:rPr>
            </w:pPr>
            <w:r>
              <w:rPr>
                <w:rFonts w:ascii="Times New Roman" w:hAnsi="Times New Roman"/>
                <w:b/>
                <w:color w:val="auto"/>
                <w:szCs w:val="21"/>
              </w:rPr>
              <w:t>施工期</w:t>
            </w:r>
          </w:p>
        </w:tc>
        <w:tc>
          <w:tcPr>
            <w:tcW w:w="2137" w:type="pct"/>
            <w:gridSpan w:val="2"/>
            <w:shd w:val="clear" w:color="auto" w:fill="auto"/>
            <w:vAlign w:val="center"/>
          </w:tcPr>
          <w:p w14:paraId="28F0040A">
            <w:pPr>
              <w:adjustRightInd w:val="0"/>
              <w:snapToGrid w:val="0"/>
              <w:jc w:val="center"/>
              <w:rPr>
                <w:rFonts w:ascii="Times New Roman" w:hAnsi="Times New Roman"/>
                <w:b/>
                <w:color w:val="auto"/>
                <w:szCs w:val="21"/>
              </w:rPr>
            </w:pPr>
            <w:r>
              <w:rPr>
                <w:rFonts w:ascii="Times New Roman" w:hAnsi="Times New Roman"/>
                <w:b/>
                <w:color w:val="auto"/>
                <w:szCs w:val="21"/>
              </w:rPr>
              <w:t>运营期</w:t>
            </w:r>
          </w:p>
        </w:tc>
      </w:tr>
      <w:tr w14:paraId="40E9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vMerge w:val="continue"/>
            <w:tcBorders>
              <w:tl2br w:val="single" w:color="auto" w:sz="4" w:space="0"/>
            </w:tcBorders>
            <w:shd w:val="clear" w:color="auto" w:fill="auto"/>
            <w:vAlign w:val="center"/>
          </w:tcPr>
          <w:p w14:paraId="63EF8CC2">
            <w:pPr>
              <w:adjustRightInd w:val="0"/>
              <w:snapToGrid w:val="0"/>
              <w:jc w:val="center"/>
              <w:rPr>
                <w:rFonts w:ascii="Times New Roman" w:hAnsi="Times New Roman"/>
                <w:b/>
                <w:color w:val="auto"/>
                <w:szCs w:val="21"/>
              </w:rPr>
            </w:pPr>
          </w:p>
        </w:tc>
        <w:tc>
          <w:tcPr>
            <w:tcW w:w="1807" w:type="pct"/>
            <w:shd w:val="clear" w:color="auto" w:fill="auto"/>
            <w:vAlign w:val="center"/>
          </w:tcPr>
          <w:p w14:paraId="77F7CBFC">
            <w:pPr>
              <w:adjustRightInd w:val="0"/>
              <w:snapToGrid w:val="0"/>
              <w:jc w:val="center"/>
              <w:rPr>
                <w:rFonts w:ascii="Times New Roman" w:hAnsi="Times New Roman"/>
                <w:b/>
                <w:color w:val="auto"/>
                <w:szCs w:val="21"/>
              </w:rPr>
            </w:pPr>
            <w:r>
              <w:rPr>
                <w:rFonts w:ascii="Times New Roman" w:hAnsi="Times New Roman"/>
                <w:b/>
                <w:color w:val="auto"/>
                <w:szCs w:val="21"/>
              </w:rPr>
              <w:t>环境保护措施</w:t>
            </w:r>
          </w:p>
        </w:tc>
        <w:tc>
          <w:tcPr>
            <w:tcW w:w="529" w:type="pct"/>
            <w:shd w:val="clear" w:color="auto" w:fill="auto"/>
            <w:vAlign w:val="center"/>
          </w:tcPr>
          <w:p w14:paraId="785976C2">
            <w:pPr>
              <w:adjustRightInd w:val="0"/>
              <w:snapToGrid w:val="0"/>
              <w:jc w:val="center"/>
              <w:rPr>
                <w:rFonts w:ascii="Times New Roman" w:hAnsi="Times New Roman"/>
                <w:b/>
                <w:color w:val="auto"/>
                <w:szCs w:val="21"/>
              </w:rPr>
            </w:pPr>
            <w:r>
              <w:rPr>
                <w:rFonts w:ascii="Times New Roman" w:hAnsi="Times New Roman"/>
                <w:b/>
                <w:color w:val="auto"/>
                <w:szCs w:val="21"/>
              </w:rPr>
              <w:t>验收要求</w:t>
            </w:r>
          </w:p>
        </w:tc>
        <w:tc>
          <w:tcPr>
            <w:tcW w:w="1501" w:type="pct"/>
            <w:shd w:val="clear" w:color="auto" w:fill="auto"/>
            <w:vAlign w:val="center"/>
          </w:tcPr>
          <w:p w14:paraId="1B2DE631">
            <w:pPr>
              <w:adjustRightInd w:val="0"/>
              <w:snapToGrid w:val="0"/>
              <w:jc w:val="center"/>
              <w:rPr>
                <w:rFonts w:ascii="Times New Roman" w:hAnsi="Times New Roman"/>
                <w:b/>
                <w:color w:val="auto"/>
                <w:szCs w:val="21"/>
              </w:rPr>
            </w:pPr>
            <w:r>
              <w:rPr>
                <w:rFonts w:ascii="Times New Roman" w:hAnsi="Times New Roman"/>
                <w:b/>
                <w:color w:val="auto"/>
                <w:szCs w:val="21"/>
              </w:rPr>
              <w:t>环境保护措施</w:t>
            </w:r>
          </w:p>
        </w:tc>
        <w:tc>
          <w:tcPr>
            <w:tcW w:w="635" w:type="pct"/>
            <w:shd w:val="clear" w:color="auto" w:fill="auto"/>
            <w:vAlign w:val="center"/>
          </w:tcPr>
          <w:p w14:paraId="4AE4A710">
            <w:pPr>
              <w:adjustRightInd w:val="0"/>
              <w:snapToGrid w:val="0"/>
              <w:jc w:val="center"/>
              <w:rPr>
                <w:rFonts w:ascii="Times New Roman" w:hAnsi="Times New Roman"/>
                <w:b/>
                <w:color w:val="auto"/>
                <w:szCs w:val="21"/>
              </w:rPr>
            </w:pPr>
            <w:r>
              <w:rPr>
                <w:rFonts w:ascii="Times New Roman" w:hAnsi="Times New Roman"/>
                <w:b/>
                <w:color w:val="auto"/>
                <w:szCs w:val="21"/>
              </w:rPr>
              <w:t>验收要求</w:t>
            </w:r>
          </w:p>
        </w:tc>
      </w:tr>
      <w:tr w14:paraId="3616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6A0F6C80">
            <w:pPr>
              <w:adjustRightInd w:val="0"/>
              <w:snapToGrid w:val="0"/>
              <w:jc w:val="center"/>
              <w:rPr>
                <w:rFonts w:ascii="Times New Roman" w:hAnsi="Times New Roman"/>
                <w:b/>
                <w:color w:val="auto"/>
                <w:szCs w:val="21"/>
              </w:rPr>
            </w:pPr>
            <w:r>
              <w:rPr>
                <w:rFonts w:ascii="Times New Roman" w:hAnsi="Times New Roman"/>
                <w:b/>
                <w:color w:val="auto"/>
                <w:szCs w:val="21"/>
              </w:rPr>
              <w:t>陆生生态</w:t>
            </w:r>
          </w:p>
        </w:tc>
        <w:tc>
          <w:tcPr>
            <w:tcW w:w="1807" w:type="pct"/>
            <w:shd w:val="clear" w:color="auto" w:fill="auto"/>
            <w:vAlign w:val="center"/>
          </w:tcPr>
          <w:p w14:paraId="6CC2574B">
            <w:pPr>
              <w:adjustRightInd w:val="0"/>
              <w:snapToGrid w:val="0"/>
              <w:ind w:firstLine="422" w:firstLineChars="200"/>
              <w:rPr>
                <w:rFonts w:ascii="Times New Roman" w:hAnsi="Times New Roman"/>
                <w:b/>
                <w:color w:val="auto"/>
                <w:szCs w:val="21"/>
              </w:rPr>
            </w:pPr>
            <w:r>
              <w:rPr>
                <w:rFonts w:ascii="Times New Roman" w:hAnsi="Times New Roman"/>
                <w:b/>
                <w:color w:val="auto"/>
                <w:szCs w:val="21"/>
              </w:rPr>
              <w:t>（1）土地占用保护措施</w:t>
            </w:r>
          </w:p>
          <w:p w14:paraId="769BCE8E">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1）建议建设单位以合同形式要求施工单位在施工过程中必须按照设计要求，严格控制开挖范围及开挖量，输电线路施工限制在事先划定的施工区内。</w:t>
            </w:r>
          </w:p>
          <w:p w14:paraId="52501698">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2）对开挖后的裸露开挖面用苫布覆盖，避免降雨时水流直接冲刷；施工时开挖的土石方不允许就地倾倒，应采取回填等方式妥善处置，临时堆土应采取围护拦挡措施，并在土体表面覆上苫布防止雨水冲刷造成水土流失。</w:t>
            </w:r>
          </w:p>
          <w:p w14:paraId="657FAC8B">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3）优化塔基布置，避开旱地和林地，确实无法避让的，应尽量布置在边角处，减少对农业耕作的影响。优化铁塔设计，减少永久占地和对林木的砍伐量。</w:t>
            </w:r>
          </w:p>
          <w:p w14:paraId="6E0B3CD7">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4）塔基已避让</w:t>
            </w:r>
            <w:r>
              <w:rPr>
                <w:rFonts w:hint="eastAsia" w:ascii="Times New Roman" w:hAnsi="Times New Roman" w:cs="Times New Roman"/>
                <w:color w:val="auto"/>
                <w:sz w:val="21"/>
                <w:szCs w:val="21"/>
              </w:rPr>
              <w:t>生态保护红线</w:t>
            </w:r>
            <w:r>
              <w:rPr>
                <w:rFonts w:ascii="Times New Roman" w:hAnsi="Times New Roman" w:cs="Times New Roman"/>
                <w:color w:val="auto"/>
                <w:sz w:val="21"/>
                <w:szCs w:val="21"/>
              </w:rPr>
              <w:t>，施工占用旱地、林地时，施工前应进行表土剥离，将表土单独堆存并做好覆盖、拦挡等防护措施，施工结束后用于项目区植被恢复或耕作区域表层覆土。</w:t>
            </w:r>
          </w:p>
          <w:p w14:paraId="4029F6F9">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5）合理规划施工临时道路、牵张场等临时场地，合理划定施工范围和人员、车辆的行走路线，避免对施工范围之外区域的动植物造成碾压和破坏。</w:t>
            </w:r>
          </w:p>
          <w:p w14:paraId="24F47378">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6）种植植物应选择本地物种，避免引入外来物种，造林严格按造林施工作业设计，以达到尽快覆盖的目的。</w:t>
            </w:r>
          </w:p>
          <w:p w14:paraId="50FE813C">
            <w:pPr>
              <w:adjustRightInd w:val="0"/>
              <w:snapToGrid w:val="0"/>
              <w:ind w:firstLine="422" w:firstLineChars="200"/>
              <w:rPr>
                <w:rFonts w:ascii="Times New Roman" w:hAnsi="Times New Roman"/>
                <w:b/>
                <w:color w:val="auto"/>
                <w:szCs w:val="21"/>
              </w:rPr>
            </w:pPr>
            <w:r>
              <w:rPr>
                <w:rFonts w:ascii="Times New Roman" w:hAnsi="Times New Roman"/>
                <w:b/>
                <w:color w:val="auto"/>
                <w:szCs w:val="21"/>
              </w:rPr>
              <w:t>（2）植被及植物保护措施</w:t>
            </w:r>
          </w:p>
          <w:p w14:paraId="4EB0AEF1">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1）施工应在红线区范围内进行，文明施工，集中堆放材料，严禁踩踏施工区域外地表植被。</w:t>
            </w:r>
          </w:p>
          <w:p w14:paraId="6B342CB7">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2）输电线路塔基施工时，建设单位应划定施工活动范围，避免对周边区域植被造成破坏。线路根据地形条件采用全方位高低腿铁塔，基础开挖时选用掏挖基础影响较小开挖方式，少占土地，减少土石方开挖量及水土流失，保护生态环境；基础开挖临时堆土应采用临时拦挡措施，用苫布覆盖，回填多余土石方选择合适地点堆放，并采取措施进行防护，塔基周围其他区域采取铺垫措施减少扰动破坏。</w:t>
            </w:r>
          </w:p>
          <w:p w14:paraId="4BA4482A">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3）塔基施工开挖时应分层开挖，分层堆放，注意表土保护，施工结束后按原土层顺序分层回填，以利于后期植被恢复。</w:t>
            </w:r>
          </w:p>
          <w:p w14:paraId="78714B72">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4）对线路沿线经过的林地，采取高跨方式通过，严禁砍伐通道；输电线路采用先进的架线工艺，如无人机等展放线，减少对线路走廊下方植被的破坏。</w:t>
            </w:r>
          </w:p>
          <w:p w14:paraId="2D684C9A">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5）建设单位应根据林业用地的管理规定，对于永久占地造成的植被破坏，应严格按照有关规定向政府和主管部门办理征占用林地审核审批手续，缴纳相关青苗补偿费、林木赔偿费，并由相关部门统一安排。严禁超计划占用林地，严禁随意扩大占地范围。</w:t>
            </w:r>
          </w:p>
          <w:p w14:paraId="154F70E9">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6）施工结束后，尽快清理施工场地，及时清理残留在原场地的混凝土、土石方，并对施工扰动区域进行植被恢复。施工结束后，选择区域本土物种对施工占地进行绿化恢复，尽可能减少项目建设对植被的影响；输电线路施工期，牵张场尽量选择地势平缓、植被稀疏的场地，主动避让植被覆盖度高、林木茂盛的区域。</w:t>
            </w:r>
          </w:p>
          <w:p w14:paraId="23AB60A1">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7）工程施工过程中强化管理，</w:t>
            </w:r>
            <w:r>
              <w:rPr>
                <w:rFonts w:hint="eastAsia" w:ascii="Times New Roman" w:hAnsi="Times New Roman" w:cs="Times New Roman"/>
                <w:color w:val="auto"/>
                <w:sz w:val="21"/>
                <w:szCs w:val="21"/>
              </w:rPr>
              <w:t>增强</w:t>
            </w:r>
            <w:r>
              <w:rPr>
                <w:rFonts w:ascii="Times New Roman" w:hAnsi="Times New Roman" w:cs="Times New Roman"/>
                <w:color w:val="auto"/>
                <w:sz w:val="21"/>
                <w:szCs w:val="21"/>
              </w:rPr>
              <w:t>管理者的消防意识，注意管理巡查，避免森林火灾的发生。对施工人员进行环保教育及有关</w:t>
            </w:r>
            <w:r>
              <w:rPr>
                <w:rFonts w:hint="eastAsia" w:ascii="Times New Roman" w:hAnsi="Times New Roman" w:cs="Times New Roman"/>
                <w:color w:val="auto"/>
                <w:sz w:val="21"/>
                <w:szCs w:val="21"/>
              </w:rPr>
              <w:t>法律法规</w:t>
            </w:r>
            <w:r>
              <w:rPr>
                <w:rFonts w:ascii="Times New Roman" w:hAnsi="Times New Roman" w:cs="Times New Roman"/>
                <w:color w:val="auto"/>
                <w:sz w:val="21"/>
                <w:szCs w:val="21"/>
              </w:rPr>
              <w:t>的宣传教育，让施工人员知道生物多样性受国家法律保护，破坏生物多样性是要承担相应的法律责任。</w:t>
            </w:r>
          </w:p>
          <w:p w14:paraId="00A6CCFF">
            <w:pPr>
              <w:pStyle w:val="51"/>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8）完善林地手续，严格按照签订的补偿协议缴纳补偿费用。对工程临时占地及时进行植被恢复，选择当地的常见生态林种，如云南松等进行植被恢复。对塔基占地沿线坡度较缓的地带实施补种栽培，促进植被恢复。对较陡的边坡可考虑采用围栏及其他工程措施进行特殊管护以促进其尽快恢复。</w:t>
            </w:r>
          </w:p>
          <w:p w14:paraId="1A12F136">
            <w:pPr>
              <w:pStyle w:val="5"/>
              <w:keepLines w:val="0"/>
              <w:numPr>
                <w:ilvl w:val="2"/>
                <w:numId w:val="0"/>
              </w:numPr>
              <w:adjustRightInd w:val="0"/>
              <w:snapToGrid w:val="0"/>
              <w:ind w:firstLine="422" w:firstLineChars="200"/>
              <w:rPr>
                <w:rFonts w:ascii="Times New Roman" w:hAnsi="Times New Roman"/>
                <w:color w:val="auto"/>
                <w:sz w:val="21"/>
                <w:szCs w:val="21"/>
              </w:rPr>
            </w:pPr>
            <w:r>
              <w:rPr>
                <w:rFonts w:ascii="Times New Roman" w:hAnsi="Times New Roman"/>
                <w:color w:val="auto"/>
                <w:sz w:val="21"/>
                <w:szCs w:val="21"/>
              </w:rPr>
              <w:t>（3）陆生野生脊椎动物保护措施</w:t>
            </w:r>
          </w:p>
          <w:p w14:paraId="63BC5C4A">
            <w:pPr>
              <w:adjustRightInd w:val="0"/>
              <w:snapToGrid w:val="0"/>
              <w:ind w:firstLine="420" w:firstLineChars="200"/>
              <w:rPr>
                <w:rFonts w:ascii="Times New Roman" w:hAnsi="Times New Roman"/>
                <w:color w:val="auto"/>
                <w:szCs w:val="21"/>
              </w:rPr>
            </w:pPr>
            <w:r>
              <w:rPr>
                <w:rFonts w:ascii="Times New Roman" w:hAnsi="Times New Roman"/>
                <w:color w:val="auto"/>
                <w:szCs w:val="21"/>
              </w:rPr>
              <w:t>1）加强施工人员的环境保护教育，提高施工人员和相关管理人员的环保意识，严禁捕杀野生动物的行为。</w:t>
            </w:r>
          </w:p>
          <w:p w14:paraId="4C2D66A6">
            <w:pPr>
              <w:adjustRightInd w:val="0"/>
              <w:snapToGrid w:val="0"/>
              <w:ind w:firstLine="420" w:firstLineChars="200"/>
              <w:rPr>
                <w:rFonts w:ascii="Times New Roman" w:hAnsi="Times New Roman"/>
                <w:color w:val="auto"/>
                <w:szCs w:val="21"/>
              </w:rPr>
            </w:pPr>
            <w:r>
              <w:rPr>
                <w:rFonts w:ascii="Times New Roman" w:hAnsi="Times New Roman"/>
                <w:color w:val="auto"/>
                <w:szCs w:val="21"/>
              </w:rPr>
              <w:t>2）采用低噪声的机械等施工设备，减少施工活动噪声对野生动物的驱赶效应。</w:t>
            </w:r>
          </w:p>
          <w:p w14:paraId="04C7D5B6">
            <w:pPr>
              <w:adjustRightInd w:val="0"/>
              <w:snapToGrid w:val="0"/>
              <w:ind w:firstLine="420" w:firstLineChars="200"/>
              <w:rPr>
                <w:rFonts w:ascii="Times New Roman" w:hAnsi="Times New Roman"/>
                <w:color w:val="auto"/>
                <w:szCs w:val="21"/>
              </w:rPr>
            </w:pPr>
            <w:r>
              <w:rPr>
                <w:rFonts w:ascii="Times New Roman" w:hAnsi="Times New Roman"/>
                <w:color w:val="auto"/>
                <w:szCs w:val="21"/>
              </w:rPr>
              <w:t>3）尽量利用原有田间道路、机耕路等现有道路作为施工道路，减小施工道路开辟对野生动物生活环境的破坏范围和强度。尽可能利用已建硬化道路、机耕路、林区小路等现有道路和人抬马驮相结合的方式进行材料运输。施工中控制声源，选取低噪声设备，并合理安排强噪声施工行为的时间，减少施工噪声对野生动物的干扰，合理制定施工计划，避免在夜间以及鸟类繁殖季节进行施工。</w:t>
            </w:r>
          </w:p>
          <w:p w14:paraId="015E4DB6">
            <w:pPr>
              <w:adjustRightInd w:val="0"/>
              <w:snapToGrid w:val="0"/>
              <w:ind w:firstLine="420" w:firstLineChars="200"/>
              <w:rPr>
                <w:rFonts w:ascii="Times New Roman" w:hAnsi="Times New Roman"/>
                <w:color w:val="auto"/>
                <w:szCs w:val="21"/>
              </w:rPr>
            </w:pPr>
            <w:r>
              <w:rPr>
                <w:rFonts w:ascii="Times New Roman" w:hAnsi="Times New Roman"/>
                <w:color w:val="auto"/>
                <w:szCs w:val="21"/>
              </w:rPr>
              <w:t>4）施工结束后，对施工扰动区域及临时占地区域进行原生态恢复，恢复野生动物生境。科学规划、精心组织、强化教育、缩短工期，减少工程施工期对鸟类栖息地的扰动和破坏，降低施工噪声对鸟类的惊扰和驱赶，避免捕鸟、掏蛋等对鸟类直接伤害的行为。</w:t>
            </w:r>
          </w:p>
          <w:p w14:paraId="19D7E123">
            <w:pPr>
              <w:adjustRightInd w:val="0"/>
              <w:snapToGrid w:val="0"/>
              <w:ind w:firstLine="420" w:firstLineChars="200"/>
              <w:rPr>
                <w:rFonts w:ascii="Times New Roman" w:hAnsi="Times New Roman"/>
                <w:color w:val="auto"/>
                <w:szCs w:val="21"/>
              </w:rPr>
            </w:pPr>
            <w:r>
              <w:rPr>
                <w:rFonts w:ascii="Times New Roman" w:hAnsi="Times New Roman"/>
                <w:color w:val="auto"/>
                <w:szCs w:val="21"/>
              </w:rPr>
              <w:t>5）经过植被较好的区域时应采用高塔架设和无人机放线等施工架线工艺；穿越天然植被（云南松林）基塔施工减少开挖，使用无人机布线。施工现场使用带油料的机械器具，应铺设彩条布防止油料跑、冒、滴、漏，防止对土壤和水体造成污染。除施工必要的砍伐外，禁止乱砍滥伐，禁止砍伐非施工用地范围内的植物。</w:t>
            </w:r>
          </w:p>
          <w:p w14:paraId="09E4C107">
            <w:pPr>
              <w:adjustRightInd w:val="0"/>
              <w:snapToGrid w:val="0"/>
              <w:ind w:firstLine="420" w:firstLineChars="200"/>
              <w:rPr>
                <w:rFonts w:ascii="Times New Roman" w:hAnsi="Times New Roman"/>
                <w:color w:val="auto"/>
                <w:szCs w:val="21"/>
              </w:rPr>
            </w:pPr>
            <w:r>
              <w:rPr>
                <w:rFonts w:ascii="Times New Roman" w:hAnsi="Times New Roman"/>
                <w:color w:val="auto"/>
                <w:szCs w:val="21"/>
              </w:rPr>
              <w:t>6）对保护物种的影响减缓措施：禁止超范围占地，要有效地限制施工活动范围，减少人为活动对动物的影响；禁止施工人员猎捕野生动物，禁止乱砍滥伐，破坏野生动物生境；选用低噪声机械设备进行施工，控制施工噪声、施工扬尘、固体废弃物等，减少施工人员、设备与污染对周边野生动物的干扰；另外，施工噪声较大的环节建议避让评价区内保护动物的繁殖季节（3-4月），施工结束后，应立即对临时用地进行植被恢复，恢复动物的栖息环境。</w:t>
            </w:r>
          </w:p>
          <w:p w14:paraId="27CDE932">
            <w:pPr>
              <w:adjustRightInd w:val="0"/>
              <w:snapToGrid w:val="0"/>
              <w:ind w:firstLine="420" w:firstLineChars="200"/>
              <w:rPr>
                <w:rFonts w:ascii="Times New Roman" w:hAnsi="Times New Roman"/>
                <w:color w:val="auto"/>
                <w:szCs w:val="21"/>
              </w:rPr>
            </w:pPr>
            <w:r>
              <w:rPr>
                <w:rFonts w:ascii="Times New Roman" w:hAnsi="Times New Roman"/>
                <w:color w:val="auto"/>
                <w:szCs w:val="21"/>
              </w:rPr>
              <w:t>7）建设单位应成立监督管理机构，制定相应的管理、奖惩制度，配备专职人员对工程施工的全过程进行监督管理。杜绝乱砍滥伐、捕猎行为的发生；加强林业管理，严禁捕猎鸟类、兽类、砍伐非施工区域的植物，违者应依法处理。</w:t>
            </w:r>
          </w:p>
          <w:p w14:paraId="2177F57A">
            <w:pPr>
              <w:adjustRightInd w:val="0"/>
              <w:snapToGrid w:val="0"/>
              <w:ind w:firstLine="422" w:firstLineChars="200"/>
              <w:rPr>
                <w:rFonts w:ascii="Times New Roman" w:hAnsi="Times New Roman"/>
                <w:b/>
                <w:color w:val="auto"/>
                <w:szCs w:val="21"/>
              </w:rPr>
            </w:pPr>
            <w:r>
              <w:rPr>
                <w:rFonts w:hint="eastAsia" w:ascii="Times New Roman" w:hAnsi="Times New Roman"/>
                <w:b/>
                <w:color w:val="auto"/>
                <w:szCs w:val="21"/>
              </w:rPr>
              <w:t>（4）基本农田环境保护措施</w:t>
            </w:r>
          </w:p>
          <w:p w14:paraId="1210FE09">
            <w:pPr>
              <w:adjustRightInd w:val="0"/>
              <w:snapToGrid w:val="0"/>
              <w:ind w:firstLine="420" w:firstLineChars="200"/>
              <w:rPr>
                <w:rFonts w:ascii="Times New Roman" w:hAnsi="Times New Roman"/>
                <w:color w:val="auto"/>
                <w:szCs w:val="21"/>
                <w:lang w:val="zh-CN"/>
              </w:rPr>
            </w:pPr>
            <w:r>
              <w:rPr>
                <w:rFonts w:hint="eastAsia" w:ascii="Times New Roman" w:hAnsi="Times New Roman"/>
                <w:color w:val="auto"/>
                <w:szCs w:val="21"/>
                <w:lang w:val="zh-CN"/>
              </w:rPr>
              <w:t>①施工人员应从永久基本农田区域外绕行至塔基位置实施掏挖基坑和组立铁塔。</w:t>
            </w:r>
          </w:p>
          <w:p w14:paraId="30EE5DA6">
            <w:pPr>
              <w:adjustRightInd w:val="0"/>
              <w:snapToGrid w:val="0"/>
              <w:ind w:firstLine="420" w:firstLineChars="200"/>
              <w:rPr>
                <w:rFonts w:ascii="Times New Roman" w:hAnsi="Times New Roman"/>
                <w:color w:val="auto"/>
                <w:szCs w:val="21"/>
                <w:lang w:val="zh-CN"/>
              </w:rPr>
            </w:pPr>
            <w:r>
              <w:rPr>
                <w:rFonts w:hint="eastAsia" w:ascii="Times New Roman" w:hAnsi="Times New Roman"/>
                <w:color w:val="auto"/>
                <w:szCs w:val="21"/>
                <w:lang w:val="zh-CN"/>
              </w:rPr>
              <w:t>②使用无人机架设牵引绳牵引导线、牵张工艺拉紧导线的施工工艺，不在永久基本农田范围内设置“三场”以及牵张场、施工营地、施工道路等施工场地。</w:t>
            </w:r>
          </w:p>
          <w:p w14:paraId="438B783E">
            <w:pPr>
              <w:adjustRightInd w:val="0"/>
              <w:snapToGrid w:val="0"/>
              <w:ind w:firstLine="420" w:firstLineChars="200"/>
              <w:rPr>
                <w:rFonts w:ascii="Times New Roman" w:hAnsi="Times New Roman"/>
                <w:color w:val="auto"/>
                <w:szCs w:val="21"/>
                <w:lang w:val="zh-CN"/>
              </w:rPr>
            </w:pPr>
            <w:r>
              <w:rPr>
                <w:rFonts w:ascii="Times New Roman" w:hAnsi="Times New Roman"/>
                <w:color w:val="auto"/>
                <w:szCs w:val="21"/>
              </w:rPr>
              <w:t>③</w:t>
            </w:r>
            <w:r>
              <w:rPr>
                <w:rFonts w:hint="eastAsia" w:ascii="Times New Roman" w:hAnsi="Times New Roman"/>
                <w:color w:val="auto"/>
                <w:szCs w:val="21"/>
                <w:lang w:val="zh-CN"/>
              </w:rPr>
              <w:t>施工期，在施工区周边设置生态保护警示牌，在</w:t>
            </w:r>
            <w:r>
              <w:rPr>
                <w:rFonts w:hint="eastAsia" w:ascii="Times New Roman" w:hAnsi="Times New Roman"/>
                <w:color w:val="auto"/>
                <w:szCs w:val="21"/>
              </w:rPr>
              <w:t>基本农田</w:t>
            </w:r>
            <w:r>
              <w:rPr>
                <w:rFonts w:hint="eastAsia" w:ascii="Times New Roman" w:hAnsi="Times New Roman"/>
                <w:color w:val="auto"/>
                <w:szCs w:val="21"/>
                <w:lang w:val="zh-CN"/>
              </w:rPr>
              <w:t>边界设置警戒线，减少施工人员进入基本农田范围内活动，严禁随意破坏植被、植物。</w:t>
            </w:r>
          </w:p>
          <w:p w14:paraId="5890B6EE">
            <w:pPr>
              <w:adjustRightInd w:val="0"/>
              <w:snapToGrid w:val="0"/>
              <w:ind w:firstLine="422" w:firstLineChars="200"/>
              <w:rPr>
                <w:rFonts w:ascii="Times New Roman" w:hAnsi="Times New Roman"/>
                <w:b/>
                <w:color w:val="auto"/>
                <w:szCs w:val="21"/>
              </w:rPr>
            </w:pPr>
            <w:r>
              <w:rPr>
                <w:rFonts w:hint="eastAsia" w:ascii="Times New Roman" w:hAnsi="Times New Roman"/>
                <w:b/>
                <w:color w:val="auto"/>
                <w:szCs w:val="21"/>
              </w:rPr>
              <w:t>（5）公益林保护措施</w:t>
            </w:r>
          </w:p>
          <w:p w14:paraId="42C6A6DF">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①按照《云南省公益林管理办法》和《建设项目使用林地审核审批管理规范》的相关要求，办理林业手续，落实公益林补偿和保护工作。</w:t>
            </w:r>
          </w:p>
          <w:p w14:paraId="59FC8DC1">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②线路采取高塔跨越架设，仅对超高树枝进行修剪，临时用地避开林木密集区域，尽量选择林间斑块无树木、稀树荒草地处，减少对公益林的影响。</w:t>
            </w:r>
          </w:p>
          <w:p w14:paraId="48D70FA9">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③项目对公益林的影响主要集中在施工期，为此，根据占用的公益林区域的地形地貌及扰动情况，对临时占用的公益林区域内采取植物恢复措施；对于植物物种的选取，应以乡土树种为主，并且注意乔灌草的合理搭配；植被恢复主要从生态修复的角度出发，着重考虑植被的水土保持、涵养水源和保护生态环境的作用。</w:t>
            </w:r>
          </w:p>
          <w:p w14:paraId="7D80AB78">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④运行后要跟踪监测，加强对临时占用公益林区域内的植被（包括自然植被和人工植被）的管理与养护。</w:t>
            </w:r>
          </w:p>
          <w:p w14:paraId="4C3F1C12">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⑤根据林业用地的管理规定，缴纳森林资源补偿费，并对临时占用的部分进行施工后的恢复，避免超计划占用林地，严禁随意扩大占地范围。</w:t>
            </w:r>
          </w:p>
          <w:p w14:paraId="2C24B396">
            <w:pPr>
              <w:adjustRightInd w:val="0"/>
              <w:snapToGrid w:val="0"/>
              <w:ind w:firstLine="420" w:firstLineChars="200"/>
              <w:rPr>
                <w:rFonts w:ascii="Times New Roman" w:hAnsi="Times New Roman"/>
                <w:color w:val="auto"/>
                <w:szCs w:val="21"/>
              </w:rPr>
            </w:pPr>
            <w:r>
              <w:rPr>
                <w:rFonts w:hint="eastAsia" w:ascii="Times New Roman" w:hAnsi="Times New Roman"/>
                <w:color w:val="auto"/>
                <w:szCs w:val="21"/>
              </w:rPr>
              <w:t>⑥涉及占用公益林地，严格控制施工范围，施工过程中除占地范围内必须除去的树木外，不破坏塔基占地周围的树木，严禁乱砍滥伐。塔基基础弃渣全部回填，施工中未随意开辟施工便道。</w:t>
            </w:r>
          </w:p>
          <w:p w14:paraId="170A3B31">
            <w:pPr>
              <w:adjustRightInd w:val="0"/>
              <w:snapToGrid w:val="0"/>
              <w:ind w:firstLine="422" w:firstLineChars="200"/>
              <w:rPr>
                <w:rFonts w:ascii="Times New Roman" w:hAnsi="Times New Roman"/>
                <w:b/>
                <w:color w:val="auto"/>
                <w:szCs w:val="21"/>
              </w:rPr>
            </w:pPr>
            <w:r>
              <w:rPr>
                <w:rFonts w:hint="eastAsia" w:ascii="Times New Roman" w:hAnsi="Times New Roman"/>
                <w:b/>
                <w:color w:val="auto"/>
                <w:szCs w:val="21"/>
              </w:rPr>
              <w:t>（6）管理措施</w:t>
            </w:r>
          </w:p>
          <w:p w14:paraId="7E8D7507">
            <w:pPr>
              <w:adjustRightInd w:val="0"/>
              <w:snapToGrid w:val="0"/>
              <w:ind w:firstLine="420" w:firstLineChars="200"/>
              <w:rPr>
                <w:rFonts w:ascii="Times New Roman" w:hAnsi="Times New Roman"/>
                <w:color w:val="auto"/>
                <w:szCs w:val="21"/>
              </w:rPr>
            </w:pPr>
            <w:r>
              <w:rPr>
                <w:rFonts w:ascii="Times New Roman" w:hAnsi="Times New Roman"/>
                <w:color w:val="auto"/>
                <w:szCs w:val="21"/>
              </w:rPr>
              <w:t>①在施工过程中，如发现受保护的野生动植物，要及时报告当地林业部门。</w:t>
            </w:r>
          </w:p>
          <w:p w14:paraId="13CF9085">
            <w:pPr>
              <w:adjustRightInd w:val="0"/>
              <w:snapToGrid w:val="0"/>
              <w:ind w:firstLine="420" w:firstLineChars="200"/>
              <w:rPr>
                <w:rFonts w:ascii="Times New Roman" w:hAnsi="Times New Roman"/>
                <w:color w:val="auto"/>
                <w:szCs w:val="21"/>
              </w:rPr>
            </w:pPr>
            <w:r>
              <w:rPr>
                <w:rFonts w:ascii="Times New Roman" w:hAnsi="Times New Roman"/>
                <w:color w:val="auto"/>
                <w:szCs w:val="21"/>
              </w:rPr>
              <w:t>②施工前，施工单位应做好施工</w:t>
            </w:r>
            <w:r>
              <w:rPr>
                <w:rFonts w:hint="eastAsia" w:ascii="Times New Roman" w:hAnsi="Times New Roman"/>
                <w:color w:val="auto"/>
                <w:szCs w:val="21"/>
              </w:rPr>
              <w:t>期间</w:t>
            </w:r>
            <w:r>
              <w:rPr>
                <w:rFonts w:ascii="Times New Roman" w:hAnsi="Times New Roman"/>
                <w:color w:val="auto"/>
                <w:szCs w:val="21"/>
              </w:rPr>
              <w:t>环境管理与教育培训、印发环境保护手册，组织专业人员对施工人员进行环保宣传教育</w:t>
            </w:r>
            <w:r>
              <w:rPr>
                <w:rFonts w:hint="eastAsia" w:ascii="Times New Roman" w:hAnsi="Times New Roman"/>
                <w:color w:val="auto"/>
                <w:szCs w:val="21"/>
              </w:rPr>
              <w:t>，在</w:t>
            </w:r>
            <w:r>
              <w:rPr>
                <w:rFonts w:ascii="Times New Roman" w:hAnsi="Times New Roman"/>
                <w:color w:val="auto"/>
                <w:szCs w:val="21"/>
              </w:rPr>
              <w:t>施工</w:t>
            </w:r>
            <w:r>
              <w:rPr>
                <w:rFonts w:hint="eastAsia" w:ascii="Times New Roman" w:hAnsi="Times New Roman"/>
                <w:color w:val="auto"/>
                <w:szCs w:val="21"/>
              </w:rPr>
              <w:t>期间</w:t>
            </w:r>
            <w:r>
              <w:rPr>
                <w:rFonts w:ascii="Times New Roman" w:hAnsi="Times New Roman"/>
                <w:color w:val="auto"/>
                <w:szCs w:val="21"/>
              </w:rPr>
              <w:t>严格</w:t>
            </w:r>
            <w:r>
              <w:rPr>
                <w:rFonts w:hint="eastAsia" w:ascii="Times New Roman" w:hAnsi="Times New Roman"/>
                <w:color w:val="auto"/>
                <w:szCs w:val="21"/>
              </w:rPr>
              <w:t>控制</w:t>
            </w:r>
            <w:r>
              <w:rPr>
                <w:rFonts w:ascii="Times New Roman" w:hAnsi="Times New Roman"/>
                <w:color w:val="auto"/>
                <w:szCs w:val="21"/>
              </w:rPr>
              <w:t>施工红线，严格行为规范，进行必要的管理监督。</w:t>
            </w:r>
          </w:p>
          <w:p w14:paraId="1CE80547">
            <w:pPr>
              <w:adjustRightInd w:val="0"/>
              <w:snapToGrid w:val="0"/>
              <w:ind w:firstLine="420" w:firstLineChars="200"/>
              <w:rPr>
                <w:rFonts w:ascii="Times New Roman" w:hAnsi="Times New Roman"/>
                <w:color w:val="auto"/>
                <w:szCs w:val="21"/>
              </w:rPr>
            </w:pPr>
            <w:r>
              <w:rPr>
                <w:rFonts w:ascii="Times New Roman" w:hAnsi="Times New Roman"/>
                <w:color w:val="auto"/>
                <w:szCs w:val="21"/>
              </w:rPr>
              <w:t>③在施工设计文件中应说明施工期需注意的环保问题，如对沿线树木砍伐，野生动植物保护、植被恢复等情况均应按设计文件执行；严格要求施工单位按环保设计要求施工。</w:t>
            </w:r>
          </w:p>
          <w:p w14:paraId="0C1F28CC">
            <w:pPr>
              <w:adjustRightInd w:val="0"/>
              <w:snapToGrid w:val="0"/>
              <w:ind w:firstLine="420" w:firstLineChars="200"/>
              <w:rPr>
                <w:rFonts w:ascii="Times New Roman" w:hAnsi="Times New Roman"/>
                <w:color w:val="auto"/>
                <w:szCs w:val="21"/>
              </w:rPr>
            </w:pPr>
            <w:r>
              <w:rPr>
                <w:rFonts w:ascii="Times New Roman" w:hAnsi="Times New Roman"/>
                <w:color w:val="auto"/>
                <w:szCs w:val="21"/>
              </w:rPr>
              <w:t>④在人员活动较多和较集中的区域，如生产区域、项目部附近，粘贴和设置环境保护方面的警示牌，提醒人们依法保护自然环境。</w:t>
            </w:r>
          </w:p>
          <w:p w14:paraId="226CCFD6">
            <w:pPr>
              <w:adjustRightInd w:val="0"/>
              <w:snapToGrid w:val="0"/>
              <w:ind w:firstLine="420" w:firstLineChars="200"/>
              <w:rPr>
                <w:rFonts w:ascii="Times New Roman" w:hAnsi="Times New Roman"/>
                <w:color w:val="auto"/>
                <w:szCs w:val="21"/>
              </w:rPr>
            </w:pPr>
            <w:r>
              <w:rPr>
                <w:rFonts w:ascii="Times New Roman" w:hAnsi="Times New Roman"/>
                <w:color w:val="auto"/>
                <w:szCs w:val="21"/>
              </w:rPr>
              <w:t>⑤加强生态入侵风险管理，加强项目区危险性林业有害生物的预防和控制，强化森林资源及其附近森林资源的保护，确保区域生态安全。</w:t>
            </w:r>
          </w:p>
        </w:tc>
        <w:tc>
          <w:tcPr>
            <w:tcW w:w="529" w:type="pct"/>
            <w:shd w:val="clear" w:color="auto" w:fill="auto"/>
            <w:vAlign w:val="center"/>
          </w:tcPr>
          <w:p w14:paraId="436E0149">
            <w:pPr>
              <w:adjustRightInd w:val="0"/>
              <w:snapToGrid w:val="0"/>
              <w:jc w:val="center"/>
              <w:rPr>
                <w:rFonts w:ascii="Times New Roman" w:hAnsi="Times New Roman"/>
                <w:color w:val="auto"/>
                <w:szCs w:val="21"/>
              </w:rPr>
            </w:pPr>
            <w:r>
              <w:rPr>
                <w:rFonts w:ascii="Times New Roman" w:hAnsi="Times New Roman"/>
                <w:color w:val="auto"/>
                <w:szCs w:val="21"/>
              </w:rPr>
              <w:t>（1）施工期的各项陆生生态环境保护措施应按照环境影响评价文件及批复要求落实到位。</w:t>
            </w:r>
          </w:p>
          <w:p w14:paraId="6E341E5D">
            <w:pPr>
              <w:adjustRightInd w:val="0"/>
              <w:snapToGrid w:val="0"/>
              <w:jc w:val="center"/>
              <w:rPr>
                <w:rFonts w:ascii="Times New Roman" w:hAnsi="Times New Roman"/>
                <w:color w:val="auto"/>
                <w:szCs w:val="21"/>
              </w:rPr>
            </w:pPr>
            <w:r>
              <w:rPr>
                <w:rFonts w:ascii="Times New Roman" w:hAnsi="Times New Roman"/>
                <w:color w:val="auto"/>
                <w:szCs w:val="21"/>
              </w:rPr>
              <w:t>（2）不造成大面积林木破坏，施工迹地进行植被恢复，恢复原有用地功能，不对保护动植物造成破坏，未造成水土流失现象。</w:t>
            </w:r>
          </w:p>
        </w:tc>
        <w:tc>
          <w:tcPr>
            <w:tcW w:w="1501" w:type="pct"/>
            <w:shd w:val="clear" w:color="auto" w:fill="auto"/>
            <w:vAlign w:val="center"/>
          </w:tcPr>
          <w:p w14:paraId="607DD59C">
            <w:pPr>
              <w:adjustRightInd w:val="0"/>
              <w:snapToGrid w:val="0"/>
              <w:jc w:val="center"/>
              <w:rPr>
                <w:rFonts w:ascii="Times New Roman" w:hAnsi="Times New Roman"/>
                <w:color w:val="auto"/>
              </w:rPr>
            </w:pPr>
            <w:r>
              <w:rPr>
                <w:rFonts w:ascii="Times New Roman" w:hAnsi="Times New Roman"/>
                <w:color w:val="auto"/>
              </w:rPr>
              <w:t>（1）项目在施工结束后对建设用地周围开挖土地进行回填等生态恢复作业，及时对变电站绿化用地进行绿植栽种等绿化措施，及时恢复了施工期临时征用的施工场地和用地，并进行绿化和生态恢复处理。建设单位应进一步加强站址周围、塔基占地的植被恢复。</w:t>
            </w:r>
          </w:p>
          <w:p w14:paraId="5678BD61">
            <w:pPr>
              <w:adjustRightInd w:val="0"/>
              <w:snapToGrid w:val="0"/>
              <w:jc w:val="center"/>
              <w:rPr>
                <w:rFonts w:ascii="Times New Roman" w:hAnsi="Times New Roman"/>
                <w:color w:val="auto"/>
              </w:rPr>
            </w:pPr>
            <w:r>
              <w:rPr>
                <w:rFonts w:ascii="Times New Roman" w:hAnsi="Times New Roman"/>
                <w:color w:val="auto"/>
              </w:rPr>
              <w:t>（2）强化对设备检修维护人员的生态保护意识教育，加强管理，禁止滥采滥伐和捕猎野生动物，避免因此</w:t>
            </w:r>
            <w:r>
              <w:rPr>
                <w:rFonts w:hint="eastAsia" w:ascii="Times New Roman" w:hAnsi="Times New Roman"/>
                <w:color w:val="auto"/>
              </w:rPr>
              <w:t>导致</w:t>
            </w:r>
            <w:r>
              <w:rPr>
                <w:rFonts w:ascii="Times New Roman" w:hAnsi="Times New Roman"/>
                <w:color w:val="auto"/>
              </w:rPr>
              <w:t>沿线自然植被破坏和野生动物的影响；（3）定期对线路沿线生态保护和防护措施及设施进行检查，跟踪生态保护与恢复效果，以便及时采取后续措施。输电线路使用警示色。根据鸟类的视觉特征，将高压输电线路导线设置成对鸟类具有警示作用的颜色，提醒鸟类对障碍物的识别，减少碰撞几率。（4）对于永久占地造成的植被破坏，建设单位应严格按照有关规定向政府和主管部门缴纳相关青苗补偿费、林木赔偿费等，并由相关部门统一安排植被恢复。</w:t>
            </w:r>
          </w:p>
          <w:p w14:paraId="710607CE">
            <w:pPr>
              <w:adjustRightInd w:val="0"/>
              <w:snapToGrid w:val="0"/>
              <w:rPr>
                <w:rFonts w:ascii="Times New Roman" w:hAnsi="Times New Roman"/>
                <w:color w:val="auto"/>
              </w:rPr>
            </w:pPr>
            <w:r>
              <w:rPr>
                <w:rFonts w:ascii="Times New Roman" w:hAnsi="Times New Roman"/>
                <w:color w:val="auto"/>
              </w:rPr>
              <w:t>（5）严格遵循《110kV～750kV架空输电线路施工及验收规范》（GB50233-2014），为保护评价区内天然植被，禁止砍伐通道，仅对运营后期生长到21m以上的林冠进行修剪。（6）线路运行后，进行维护或巡视时不得新开道路。设置告示牌和警示牌。运行后制定相关的工作规则，避免维护人员伤害野生动物。</w:t>
            </w:r>
          </w:p>
          <w:p w14:paraId="0F665450">
            <w:pPr>
              <w:adjustRightInd w:val="0"/>
              <w:snapToGrid w:val="0"/>
              <w:rPr>
                <w:rFonts w:ascii="Times New Roman" w:hAnsi="Times New Roman"/>
                <w:b/>
                <w:bCs/>
                <w:color w:val="auto"/>
              </w:rPr>
            </w:pPr>
            <w:r>
              <w:rPr>
                <w:rFonts w:hint="eastAsia" w:ascii="Times New Roman" w:hAnsi="Times New Roman"/>
                <w:b/>
                <w:bCs/>
                <w:color w:val="auto"/>
              </w:rPr>
              <w:t>公益林保护措施：</w:t>
            </w:r>
          </w:p>
          <w:p w14:paraId="63BD38E2">
            <w:pPr>
              <w:adjustRightInd w:val="0"/>
              <w:snapToGrid w:val="0"/>
              <w:rPr>
                <w:rFonts w:ascii="Times New Roman" w:hAnsi="Times New Roman"/>
                <w:color w:val="auto"/>
              </w:rPr>
            </w:pPr>
            <w:r>
              <w:rPr>
                <w:rFonts w:ascii="Times New Roman" w:hAnsi="Times New Roman"/>
                <w:color w:val="auto"/>
              </w:rPr>
              <w:t>运营期建设单位须对工作人员加强管理，在项目区周边设置生态保护警示牌，告知工作人员公益林的位置及范围，减少工作人员进入公益林内活动；同时加强工作人员的宣传教育，不对公</w:t>
            </w:r>
            <w:r>
              <w:rPr>
                <w:rFonts w:hint="eastAsia" w:ascii="Times New Roman" w:hAnsi="Times New Roman"/>
                <w:color w:val="auto"/>
              </w:rPr>
              <w:t>益林</w:t>
            </w:r>
            <w:r>
              <w:rPr>
                <w:rFonts w:ascii="Times New Roman" w:hAnsi="Times New Roman"/>
                <w:color w:val="auto"/>
              </w:rPr>
              <w:t>进行砍伐破坏。</w:t>
            </w:r>
          </w:p>
        </w:tc>
        <w:tc>
          <w:tcPr>
            <w:tcW w:w="635" w:type="pct"/>
            <w:shd w:val="clear" w:color="auto" w:fill="auto"/>
            <w:vAlign w:val="center"/>
          </w:tcPr>
          <w:p w14:paraId="6D3C1C4D">
            <w:pPr>
              <w:adjustRightInd w:val="0"/>
              <w:snapToGrid w:val="0"/>
              <w:jc w:val="center"/>
              <w:rPr>
                <w:rFonts w:ascii="Times New Roman" w:hAnsi="Times New Roman"/>
                <w:color w:val="auto"/>
                <w:szCs w:val="21"/>
              </w:rPr>
            </w:pPr>
            <w:r>
              <w:rPr>
                <w:rFonts w:ascii="Times New Roman" w:hAnsi="Times New Roman"/>
                <w:color w:val="auto"/>
                <w:szCs w:val="21"/>
              </w:rPr>
              <w:t>线路沿线植被恢复良好。</w:t>
            </w:r>
          </w:p>
        </w:tc>
      </w:tr>
      <w:tr w14:paraId="020F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1EF33E22">
            <w:pPr>
              <w:adjustRightInd w:val="0"/>
              <w:snapToGrid w:val="0"/>
              <w:jc w:val="center"/>
              <w:rPr>
                <w:rFonts w:ascii="Times New Roman" w:hAnsi="Times New Roman"/>
                <w:b/>
                <w:color w:val="auto"/>
                <w:szCs w:val="21"/>
              </w:rPr>
            </w:pPr>
            <w:r>
              <w:rPr>
                <w:rFonts w:ascii="Times New Roman" w:hAnsi="Times New Roman"/>
                <w:b/>
                <w:color w:val="auto"/>
                <w:szCs w:val="21"/>
              </w:rPr>
              <w:t>水生生态</w:t>
            </w:r>
          </w:p>
        </w:tc>
        <w:tc>
          <w:tcPr>
            <w:tcW w:w="1807" w:type="pct"/>
            <w:shd w:val="clear" w:color="auto" w:fill="auto"/>
            <w:vAlign w:val="center"/>
          </w:tcPr>
          <w:p w14:paraId="74A364A2">
            <w:pPr>
              <w:adjustRightInd w:val="0"/>
              <w:snapToGrid w:val="0"/>
              <w:jc w:val="center"/>
              <w:rPr>
                <w:rFonts w:ascii="Times New Roman" w:hAnsi="Times New Roman"/>
                <w:color w:val="auto"/>
                <w:szCs w:val="21"/>
              </w:rPr>
            </w:pPr>
            <w:r>
              <w:rPr>
                <w:rFonts w:ascii="Times New Roman" w:hAnsi="Times New Roman"/>
                <w:color w:val="auto"/>
                <w:szCs w:val="21"/>
              </w:rPr>
              <w:t>本项目不占用河道管理范围，无涉水工程，工程建设不会对鱼类等水生生物造成直接影响。</w:t>
            </w:r>
          </w:p>
        </w:tc>
        <w:tc>
          <w:tcPr>
            <w:tcW w:w="529" w:type="pct"/>
            <w:shd w:val="clear" w:color="auto" w:fill="auto"/>
            <w:vAlign w:val="center"/>
          </w:tcPr>
          <w:p w14:paraId="3B58833A">
            <w:pPr>
              <w:adjustRightInd w:val="0"/>
              <w:snapToGrid w:val="0"/>
              <w:jc w:val="center"/>
              <w:rPr>
                <w:rFonts w:ascii="Times New Roman" w:hAnsi="Times New Roman"/>
                <w:color w:val="auto"/>
                <w:szCs w:val="21"/>
              </w:rPr>
            </w:pPr>
            <w:r>
              <w:rPr>
                <w:rFonts w:ascii="Times New Roman" w:hAnsi="Times New Roman"/>
                <w:color w:val="auto"/>
                <w:szCs w:val="21"/>
              </w:rPr>
              <w:t>不破坏水生态环境</w:t>
            </w:r>
          </w:p>
        </w:tc>
        <w:tc>
          <w:tcPr>
            <w:tcW w:w="1501" w:type="pct"/>
            <w:shd w:val="clear" w:color="auto" w:fill="auto"/>
            <w:vAlign w:val="center"/>
          </w:tcPr>
          <w:p w14:paraId="4DAF22F5">
            <w:pPr>
              <w:adjustRightInd w:val="0"/>
              <w:snapToGrid w:val="0"/>
              <w:jc w:val="center"/>
              <w:rPr>
                <w:rFonts w:ascii="Times New Roman" w:hAnsi="Times New Roman"/>
                <w:color w:val="auto"/>
                <w:szCs w:val="21"/>
              </w:rPr>
            </w:pPr>
            <w:r>
              <w:rPr>
                <w:rFonts w:ascii="Times New Roman" w:hAnsi="Times New Roman"/>
                <w:color w:val="auto"/>
                <w:szCs w:val="21"/>
              </w:rPr>
              <w:t>项目无涉水工程</w:t>
            </w:r>
            <w:r>
              <w:rPr>
                <w:rFonts w:hint="eastAsia" w:ascii="Times New Roman" w:hAnsi="Times New Roman"/>
                <w:color w:val="auto"/>
                <w:szCs w:val="21"/>
              </w:rPr>
              <w:t>，</w:t>
            </w:r>
            <w:r>
              <w:rPr>
                <w:rFonts w:ascii="Times New Roman" w:hAnsi="Times New Roman"/>
                <w:color w:val="auto"/>
                <w:szCs w:val="21"/>
              </w:rPr>
              <w:t>不占用河道管理范围，工程不会对鱼类等水生生物造成直接影响。</w:t>
            </w:r>
          </w:p>
        </w:tc>
        <w:tc>
          <w:tcPr>
            <w:tcW w:w="635" w:type="pct"/>
            <w:shd w:val="clear" w:color="auto" w:fill="auto"/>
            <w:vAlign w:val="center"/>
          </w:tcPr>
          <w:p w14:paraId="52DCF781">
            <w:pPr>
              <w:adjustRightInd w:val="0"/>
              <w:snapToGrid w:val="0"/>
              <w:jc w:val="center"/>
              <w:rPr>
                <w:rFonts w:ascii="Times New Roman" w:hAnsi="Times New Roman"/>
                <w:color w:val="auto"/>
                <w:szCs w:val="21"/>
              </w:rPr>
            </w:pPr>
            <w:r>
              <w:rPr>
                <w:rFonts w:ascii="Times New Roman" w:hAnsi="Times New Roman"/>
                <w:color w:val="auto"/>
                <w:szCs w:val="21"/>
              </w:rPr>
              <w:t>无涉水工程，影响可接受</w:t>
            </w:r>
          </w:p>
        </w:tc>
      </w:tr>
      <w:tr w14:paraId="5F32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3A4E4FFE">
            <w:pPr>
              <w:adjustRightInd w:val="0"/>
              <w:snapToGrid w:val="0"/>
              <w:jc w:val="center"/>
              <w:rPr>
                <w:rFonts w:ascii="Times New Roman" w:hAnsi="Times New Roman"/>
                <w:b/>
                <w:color w:val="auto"/>
                <w:szCs w:val="21"/>
              </w:rPr>
            </w:pPr>
            <w:r>
              <w:rPr>
                <w:rFonts w:ascii="Times New Roman" w:hAnsi="Times New Roman"/>
                <w:b/>
                <w:color w:val="auto"/>
                <w:szCs w:val="21"/>
              </w:rPr>
              <w:t>地表水环境</w:t>
            </w:r>
          </w:p>
        </w:tc>
        <w:tc>
          <w:tcPr>
            <w:tcW w:w="1807" w:type="pct"/>
            <w:shd w:val="clear" w:color="auto" w:fill="auto"/>
            <w:vAlign w:val="center"/>
          </w:tcPr>
          <w:p w14:paraId="695F8416">
            <w:pPr>
              <w:adjustRightInd w:val="0"/>
              <w:snapToGrid w:val="0"/>
              <w:rPr>
                <w:rFonts w:ascii="Times New Roman" w:hAnsi="Times New Roman"/>
                <w:color w:val="auto"/>
                <w:spacing w:val="-3"/>
                <w:szCs w:val="21"/>
              </w:rPr>
            </w:pPr>
            <w:r>
              <w:rPr>
                <w:rFonts w:ascii="Times New Roman" w:hAnsi="Times New Roman"/>
                <w:color w:val="auto"/>
                <w:spacing w:val="-3"/>
                <w:szCs w:val="21"/>
              </w:rPr>
              <w:t>（1）施工场地料场四周应修建截水排水沟，并在出口设置沉砂池和拦砂网，将含泥沙的雨水、泥浆经沉砂池沉淀后回用于施工路段路面洒水、施工环节等。（2）输电线路施工人员租住周边民房，生活污水依托民房现有设施处理。（3）严格按设计要求，采取一档跨越河流，不在河流水域内和河道中立塔，不对跨越河流构成影响。（4）施工期间禁止向水体排放、倾倒垃圾、弃土、弃渣。应加强对含油设施（包括车辆和线路施工设备）的管理，严禁在水体及其附近冲洗含油器械及车辆，避免油类物质进入水体。（5）施工现场如使用带油料的机械器具，应采取措施防止油料跑、冒、滴、漏，防止对土壤和水体造成污染。</w:t>
            </w:r>
          </w:p>
          <w:p w14:paraId="105B3568">
            <w:pPr>
              <w:adjustRightInd w:val="0"/>
              <w:snapToGrid w:val="0"/>
              <w:rPr>
                <w:rFonts w:ascii="Times New Roman" w:hAnsi="Times New Roman"/>
                <w:b/>
                <w:bCs/>
                <w:color w:val="auto"/>
                <w:spacing w:val="-3"/>
                <w:szCs w:val="21"/>
              </w:rPr>
            </w:pPr>
            <w:r>
              <w:rPr>
                <w:rFonts w:ascii="Times New Roman" w:hAnsi="Times New Roman"/>
                <w:b/>
                <w:bCs/>
                <w:color w:val="auto"/>
                <w:spacing w:val="-3"/>
                <w:szCs w:val="21"/>
              </w:rPr>
              <w:t>对跨越水体还需采取如下水环境保护措施：</w:t>
            </w:r>
          </w:p>
          <w:p w14:paraId="161CA276">
            <w:pPr>
              <w:adjustRightInd w:val="0"/>
              <w:snapToGrid w:val="0"/>
              <w:rPr>
                <w:rFonts w:ascii="Times New Roman" w:hAnsi="Times New Roman"/>
                <w:color w:val="auto"/>
                <w:spacing w:val="-3"/>
                <w:szCs w:val="21"/>
              </w:rPr>
            </w:pPr>
            <w:r>
              <w:rPr>
                <w:rFonts w:ascii="Times New Roman" w:hAnsi="Times New Roman"/>
                <w:color w:val="auto"/>
                <w:spacing w:val="-3"/>
                <w:szCs w:val="21"/>
              </w:rPr>
              <w:t>（1）合理选择架线位置，采取一档跨越，不在水中立塔，塔基位置应尽可能远离河岸，减少塔基对河流的影响。（2）禁止向水体排放油类，禁止在水体冲洗贮油类车辆，禁止向水体排放、倾倒废水、垃圾等。</w:t>
            </w:r>
          </w:p>
          <w:p w14:paraId="63914DE0">
            <w:pPr>
              <w:adjustRightInd w:val="0"/>
              <w:snapToGrid w:val="0"/>
              <w:rPr>
                <w:rFonts w:ascii="Times New Roman" w:hAnsi="Times New Roman"/>
                <w:color w:val="auto"/>
                <w:szCs w:val="21"/>
              </w:rPr>
            </w:pPr>
            <w:r>
              <w:rPr>
                <w:rFonts w:ascii="Times New Roman" w:hAnsi="Times New Roman"/>
                <w:color w:val="auto"/>
                <w:spacing w:val="-3"/>
                <w:szCs w:val="21"/>
              </w:rPr>
              <w:t>（3）邻近河流的塔基施工时，施工人员不得在靠近水域附近搭建临时施工生活设施，严禁施工废水、生活污水、生活垃圾等排入水体，影响水体水质，施工场地尽可能远离河流。</w:t>
            </w:r>
          </w:p>
        </w:tc>
        <w:tc>
          <w:tcPr>
            <w:tcW w:w="529" w:type="pct"/>
            <w:shd w:val="clear" w:color="auto" w:fill="auto"/>
            <w:vAlign w:val="center"/>
          </w:tcPr>
          <w:p w14:paraId="58656F61">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（1）施工期的各项地表水环境保护措施应按照环境影响评价文件及批复要求落实到位。（2）施工废水和生活污水不外排，对水环境无影响，无扰民纠纷和投诉现象发生。</w:t>
            </w:r>
          </w:p>
        </w:tc>
        <w:tc>
          <w:tcPr>
            <w:tcW w:w="1501" w:type="pct"/>
            <w:shd w:val="clear" w:color="auto" w:fill="auto"/>
            <w:vAlign w:val="center"/>
          </w:tcPr>
          <w:p w14:paraId="466EB062">
            <w:pPr>
              <w:pStyle w:val="3"/>
              <w:keepNext w:val="0"/>
              <w:keepLines w:val="0"/>
              <w:adjustRightInd w:val="0"/>
              <w:snapToGrid w:val="0"/>
              <w:spacing w:line="240" w:lineRule="auto"/>
              <w:rPr>
                <w:rFonts w:ascii="Times New Roman" w:hAnsi="Times New Roman"/>
                <w:color w:val="auto"/>
                <w:sz w:val="21"/>
                <w:szCs w:val="21"/>
              </w:rPr>
            </w:pPr>
            <w:r>
              <w:rPr>
                <w:rFonts w:ascii="Times New Roman" w:hAnsi="Times New Roman"/>
                <w:b w:val="0"/>
                <w:bCs w:val="0"/>
                <w:color w:val="auto"/>
                <w:kern w:val="0"/>
                <w:sz w:val="21"/>
                <w:szCs w:val="21"/>
              </w:rPr>
              <w:t>项目输电线路运行期不产生废水。线路运维人员定期巡线过程中，应避免在河流附近甚至向水域随意丢弃废弃物，防止对水质产生影响。</w:t>
            </w:r>
          </w:p>
        </w:tc>
        <w:tc>
          <w:tcPr>
            <w:tcW w:w="635" w:type="pct"/>
            <w:shd w:val="clear" w:color="auto" w:fill="auto"/>
            <w:vAlign w:val="center"/>
          </w:tcPr>
          <w:p w14:paraId="1F7178C5">
            <w:pPr>
              <w:adjustRightInd w:val="0"/>
              <w:snapToGrid w:val="0"/>
              <w:jc w:val="center"/>
              <w:rPr>
                <w:rFonts w:ascii="Times New Roman" w:hAnsi="Times New Roman"/>
                <w:color w:val="auto"/>
                <w:szCs w:val="21"/>
              </w:rPr>
            </w:pPr>
            <w:r>
              <w:rPr>
                <w:rFonts w:ascii="Times New Roman" w:hAnsi="Times New Roman"/>
                <w:color w:val="auto"/>
                <w:szCs w:val="21"/>
              </w:rPr>
              <w:t>本项目线路运营期无废水产生。</w:t>
            </w:r>
          </w:p>
        </w:tc>
      </w:tr>
      <w:tr w14:paraId="20AB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3C6A9A95">
            <w:pPr>
              <w:adjustRightInd w:val="0"/>
              <w:snapToGrid w:val="0"/>
              <w:jc w:val="center"/>
              <w:rPr>
                <w:rFonts w:ascii="Times New Roman" w:hAnsi="Times New Roman"/>
                <w:b/>
                <w:color w:val="auto"/>
                <w:szCs w:val="21"/>
              </w:rPr>
            </w:pPr>
            <w:r>
              <w:rPr>
                <w:rFonts w:ascii="Times New Roman" w:hAnsi="Times New Roman"/>
                <w:b/>
                <w:color w:val="auto"/>
                <w:szCs w:val="21"/>
              </w:rPr>
              <w:t>地下水及土壤环境</w:t>
            </w:r>
          </w:p>
        </w:tc>
        <w:tc>
          <w:tcPr>
            <w:tcW w:w="1807" w:type="pct"/>
            <w:shd w:val="clear" w:color="auto" w:fill="auto"/>
            <w:vAlign w:val="center"/>
          </w:tcPr>
          <w:p w14:paraId="60B910FB">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529" w:type="pct"/>
            <w:shd w:val="clear" w:color="auto" w:fill="auto"/>
            <w:vAlign w:val="center"/>
          </w:tcPr>
          <w:p w14:paraId="36CD58A2">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1501" w:type="pct"/>
            <w:shd w:val="clear" w:color="auto" w:fill="auto"/>
          </w:tcPr>
          <w:p w14:paraId="7ECE0475">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635" w:type="pct"/>
            <w:shd w:val="clear" w:color="auto" w:fill="auto"/>
          </w:tcPr>
          <w:p w14:paraId="408DF2E4">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6858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7EE4684F">
            <w:pPr>
              <w:adjustRightInd w:val="0"/>
              <w:snapToGrid w:val="0"/>
              <w:jc w:val="center"/>
              <w:rPr>
                <w:rFonts w:ascii="Times New Roman" w:hAnsi="Times New Roman"/>
                <w:b/>
                <w:color w:val="auto"/>
                <w:szCs w:val="21"/>
              </w:rPr>
            </w:pPr>
            <w:r>
              <w:rPr>
                <w:rFonts w:ascii="Times New Roman" w:hAnsi="Times New Roman"/>
                <w:b/>
                <w:color w:val="auto"/>
                <w:szCs w:val="21"/>
              </w:rPr>
              <w:t>声环境</w:t>
            </w:r>
          </w:p>
        </w:tc>
        <w:tc>
          <w:tcPr>
            <w:tcW w:w="1807" w:type="pct"/>
            <w:shd w:val="clear" w:color="auto" w:fill="auto"/>
            <w:vAlign w:val="center"/>
          </w:tcPr>
          <w:p w14:paraId="1B828893">
            <w:pPr>
              <w:adjustRightInd w:val="0"/>
              <w:snapToGrid w:val="0"/>
              <w:rPr>
                <w:rFonts w:ascii="Times New Roman" w:hAnsi="Times New Roman"/>
                <w:color w:val="auto"/>
                <w:szCs w:val="21"/>
              </w:rPr>
            </w:pPr>
            <w:r>
              <w:rPr>
                <w:rFonts w:ascii="Times New Roman" w:hAnsi="Times New Roman"/>
                <w:color w:val="auto"/>
                <w:szCs w:val="21"/>
              </w:rPr>
              <w:t>（1）要求施工单位文明施工，加强施工</w:t>
            </w:r>
            <w:r>
              <w:rPr>
                <w:rFonts w:hint="eastAsia" w:ascii="Times New Roman" w:hAnsi="Times New Roman"/>
                <w:color w:val="auto"/>
                <w:szCs w:val="21"/>
              </w:rPr>
              <w:t>期间</w:t>
            </w:r>
            <w:r>
              <w:rPr>
                <w:rFonts w:ascii="Times New Roman" w:hAnsi="Times New Roman"/>
                <w:color w:val="auto"/>
                <w:szCs w:val="21"/>
              </w:rPr>
              <w:t>的环境管理和环境监控工作，并接受环境保护部门的监督管理。（2）施工单位应采用噪声水平满足国家相应标准的施工机械设备，并在施工场地周围设置围栏以减小施工噪声影响。（3）施工车辆经过居民区时减缓行驶速度，减少鸣笛。（4）限制夜间高噪声施工。施工单位应尽量减少产生高噪声污染的施工内容，尽量避免使用高噪声设备。（5）加强设备的运行管理，使其保持良好的运行状态，从</w:t>
            </w:r>
            <w:r>
              <w:rPr>
                <w:rFonts w:hint="eastAsia" w:ascii="Times New Roman" w:hAnsi="Times New Roman"/>
                <w:color w:val="auto"/>
                <w:szCs w:val="21"/>
              </w:rPr>
              <w:t>源头</w:t>
            </w:r>
            <w:r>
              <w:rPr>
                <w:rFonts w:ascii="Times New Roman" w:hAnsi="Times New Roman"/>
                <w:color w:val="auto"/>
                <w:szCs w:val="21"/>
              </w:rPr>
              <w:t>上控制施工噪声对周边环境的影响。</w:t>
            </w:r>
          </w:p>
        </w:tc>
        <w:tc>
          <w:tcPr>
            <w:tcW w:w="529" w:type="pct"/>
            <w:shd w:val="clear" w:color="auto" w:fill="auto"/>
            <w:vAlign w:val="center"/>
          </w:tcPr>
          <w:p w14:paraId="79BE3C33">
            <w:pPr>
              <w:adjustRightInd w:val="0"/>
              <w:snapToGrid w:val="0"/>
              <w:jc w:val="center"/>
              <w:rPr>
                <w:rFonts w:ascii="Times New Roman" w:hAnsi="Times New Roman"/>
                <w:color w:val="auto"/>
                <w:szCs w:val="21"/>
              </w:rPr>
            </w:pPr>
            <w:r>
              <w:rPr>
                <w:rFonts w:ascii="Times New Roman" w:hAnsi="Times New Roman"/>
                <w:color w:val="auto"/>
                <w:szCs w:val="21"/>
              </w:rPr>
              <w:t>满足《建筑施工噪声排放标准》（GB12523—2025）对施工厂界噪声控制，不产生噪声扰民现象，无噪声投诉现象发生</w:t>
            </w:r>
          </w:p>
        </w:tc>
        <w:tc>
          <w:tcPr>
            <w:tcW w:w="1501" w:type="pct"/>
            <w:shd w:val="clear" w:color="auto" w:fill="auto"/>
            <w:vAlign w:val="center"/>
          </w:tcPr>
          <w:p w14:paraId="121877B3">
            <w:pPr>
              <w:adjustRightInd w:val="0"/>
              <w:snapToGrid w:val="0"/>
              <w:ind w:firstLine="420" w:firstLineChars="200"/>
              <w:rPr>
                <w:rFonts w:ascii="Times New Roman" w:hAnsi="Times New Roman"/>
                <w:color w:val="auto"/>
                <w:szCs w:val="21"/>
              </w:rPr>
            </w:pPr>
            <w:r>
              <w:rPr>
                <w:rFonts w:ascii="Times New Roman" w:hAnsi="Times New Roman"/>
                <w:color w:val="auto"/>
                <w:szCs w:val="21"/>
              </w:rPr>
              <w:t>架空出线，通过采取选用低噪设备等，项目输电线路在运营后无明显噪声产生，输电线路合理选择送电导线结构，确保导线对地高度，降低送电线路的可听噪声水平。线路运营后无明显噪声产生，不会对沿线环境产生影响。定期巡检设线路各类接口，确保接触良好，减少火花及电晕放电产生的噪声。</w:t>
            </w:r>
          </w:p>
        </w:tc>
        <w:tc>
          <w:tcPr>
            <w:tcW w:w="635" w:type="pct"/>
            <w:shd w:val="clear" w:color="auto" w:fill="auto"/>
            <w:vAlign w:val="center"/>
          </w:tcPr>
          <w:p w14:paraId="4FB4DB94">
            <w:pPr>
              <w:adjustRightInd w:val="0"/>
              <w:snapToGrid w:val="0"/>
              <w:jc w:val="center"/>
              <w:rPr>
                <w:rFonts w:ascii="Times New Roman" w:hAnsi="Times New Roman"/>
                <w:color w:val="auto"/>
                <w:szCs w:val="21"/>
              </w:rPr>
            </w:pPr>
            <w:r>
              <w:rPr>
                <w:rFonts w:ascii="Times New Roman" w:hAnsi="Times New Roman"/>
                <w:color w:val="auto"/>
                <w:szCs w:val="21"/>
              </w:rPr>
              <w:t>声环境保护目标处《声环境质量标准》</w:t>
            </w:r>
            <w:r>
              <w:rPr>
                <w:rFonts w:hint="default" w:ascii="Times New Roman" w:hAnsi="Times New Roman" w:cs="Times New Roman"/>
                <w:color w:val="auto"/>
                <w:szCs w:val="21"/>
              </w:rPr>
              <w:t>（GB3096-2008）1</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4a</w:t>
            </w:r>
            <w:r>
              <w:rPr>
                <w:rFonts w:hint="default" w:ascii="Times New Roman" w:hAnsi="Times New Roman" w:cs="Times New Roman"/>
                <w:color w:val="auto"/>
                <w:szCs w:val="21"/>
              </w:rPr>
              <w:t>类标准要求</w:t>
            </w:r>
            <w:r>
              <w:rPr>
                <w:rFonts w:ascii="Times New Roman" w:hAnsi="Times New Roman"/>
                <w:color w:val="auto"/>
                <w:szCs w:val="21"/>
              </w:rPr>
              <w:t>。</w:t>
            </w:r>
          </w:p>
        </w:tc>
      </w:tr>
      <w:tr w14:paraId="1E4F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2993AA1D">
            <w:pPr>
              <w:adjustRightInd w:val="0"/>
              <w:snapToGrid w:val="0"/>
              <w:jc w:val="center"/>
              <w:rPr>
                <w:rFonts w:ascii="Times New Roman" w:hAnsi="Times New Roman"/>
                <w:b/>
                <w:color w:val="auto"/>
                <w:szCs w:val="21"/>
              </w:rPr>
            </w:pPr>
            <w:r>
              <w:rPr>
                <w:rFonts w:ascii="Times New Roman" w:hAnsi="Times New Roman"/>
                <w:b/>
                <w:color w:val="auto"/>
                <w:szCs w:val="21"/>
              </w:rPr>
              <w:t>振动</w:t>
            </w:r>
          </w:p>
        </w:tc>
        <w:tc>
          <w:tcPr>
            <w:tcW w:w="1807" w:type="pct"/>
            <w:shd w:val="clear" w:color="auto" w:fill="auto"/>
            <w:vAlign w:val="center"/>
          </w:tcPr>
          <w:p w14:paraId="20F1D1AF">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529" w:type="pct"/>
            <w:shd w:val="clear" w:color="auto" w:fill="auto"/>
            <w:vAlign w:val="center"/>
          </w:tcPr>
          <w:p w14:paraId="7805F46C">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1501" w:type="pct"/>
            <w:shd w:val="clear" w:color="auto" w:fill="auto"/>
            <w:vAlign w:val="center"/>
          </w:tcPr>
          <w:p w14:paraId="177EC8E0">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635" w:type="pct"/>
            <w:shd w:val="clear" w:color="auto" w:fill="auto"/>
            <w:vAlign w:val="center"/>
          </w:tcPr>
          <w:p w14:paraId="75ECF3BE">
            <w:pPr>
              <w:adjustRightInd w:val="0"/>
              <w:snapToGrid w:val="0"/>
              <w:jc w:val="center"/>
              <w:rPr>
                <w:rFonts w:ascii="Times New Roman" w:hAnsi="Times New Roman"/>
                <w:color w:val="auto"/>
                <w:szCs w:val="21"/>
              </w:rPr>
            </w:pPr>
            <w:r>
              <w:rPr>
                <w:rFonts w:ascii="Times New Roman" w:hAnsi="Times New Roman"/>
                <w:color w:val="auto"/>
                <w:szCs w:val="21"/>
              </w:rPr>
              <w:t>/</w:t>
            </w:r>
          </w:p>
        </w:tc>
      </w:tr>
      <w:tr w14:paraId="5ACF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71AB8420">
            <w:pPr>
              <w:adjustRightInd w:val="0"/>
              <w:snapToGrid w:val="0"/>
              <w:jc w:val="center"/>
              <w:rPr>
                <w:rFonts w:ascii="Times New Roman" w:hAnsi="Times New Roman"/>
                <w:b/>
                <w:color w:val="auto"/>
                <w:szCs w:val="21"/>
              </w:rPr>
            </w:pPr>
            <w:r>
              <w:rPr>
                <w:rFonts w:ascii="Times New Roman" w:hAnsi="Times New Roman"/>
                <w:b/>
                <w:color w:val="auto"/>
                <w:szCs w:val="21"/>
              </w:rPr>
              <w:t>大气环境</w:t>
            </w:r>
          </w:p>
        </w:tc>
        <w:tc>
          <w:tcPr>
            <w:tcW w:w="1807" w:type="pct"/>
            <w:shd w:val="clear" w:color="auto" w:fill="auto"/>
            <w:vAlign w:val="center"/>
          </w:tcPr>
          <w:p w14:paraId="5BF8BE41">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1）施工过程中，应当加强对施工现场和物料运输的管理，在施工工地设置硬质围挡，保持道路清洁，管控料堆和渣土堆放，防治扬尘污染。（2）施工过程中，对易起尘的临时堆土等应采用密闭式防尘布（网）进行苫盖，施工面集中且有条件的地方宜采取洒水降尘等有效措施，减少易造成大气污染的施工作业。（3）施工过程中，建设单位应当对裸露地面进行覆盖；暂时不能开工的建设用地超过三个月的，应当进行绿化、铺装或者遮盖。（4）进出场地的车辆限制车速，场内道路、堆场及车辆进出时洒水，保持湿润，减少或避免产生扬尘。</w:t>
            </w:r>
          </w:p>
          <w:p w14:paraId="70A79C8D">
            <w:pPr>
              <w:adjustRightInd w:val="0"/>
              <w:snapToGrid w:val="0"/>
              <w:rPr>
                <w:rFonts w:ascii="Times New Roman" w:hAnsi="Times New Roman"/>
                <w:color w:val="auto"/>
                <w:szCs w:val="21"/>
              </w:rPr>
            </w:pPr>
            <w:r>
              <w:rPr>
                <w:rFonts w:ascii="Times New Roman" w:hAnsi="Times New Roman"/>
                <w:color w:val="auto"/>
                <w:szCs w:val="21"/>
              </w:rPr>
              <w:t>（5）施工现场禁止将包装物、可燃垃圾等固体废弃物就地焚烧。</w:t>
            </w:r>
          </w:p>
        </w:tc>
        <w:tc>
          <w:tcPr>
            <w:tcW w:w="529" w:type="pct"/>
            <w:shd w:val="clear" w:color="auto" w:fill="auto"/>
            <w:vAlign w:val="center"/>
          </w:tcPr>
          <w:p w14:paraId="692DBE5D">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站址及线路施工场地无可见扬尘，满足《大气污染物综合排放标准》（GB16297-1996）中表2无组织排放限值要求；施工期的各项大气环境保护措施应按照要求落实到位；合理设置抑尘措</w:t>
            </w:r>
          </w:p>
          <w:p w14:paraId="1AECDA6B">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施，施工期间不造成大气污染，也无扰民纠纷和投诉现象发生</w:t>
            </w:r>
          </w:p>
        </w:tc>
        <w:tc>
          <w:tcPr>
            <w:tcW w:w="1501" w:type="pct"/>
            <w:shd w:val="clear" w:color="auto" w:fill="auto"/>
            <w:vAlign w:val="center"/>
          </w:tcPr>
          <w:p w14:paraId="0B83EC2D">
            <w:pPr>
              <w:adjustRightInd w:val="0"/>
              <w:snapToGrid w:val="0"/>
              <w:jc w:val="center"/>
              <w:rPr>
                <w:rFonts w:ascii="Times New Roman" w:hAnsi="Times New Roman"/>
                <w:color w:val="auto"/>
                <w:szCs w:val="21"/>
              </w:rPr>
            </w:pPr>
            <w:r>
              <w:rPr>
                <w:rFonts w:ascii="Times New Roman" w:hAnsi="Times New Roman"/>
                <w:color w:val="auto"/>
                <w:szCs w:val="21"/>
              </w:rPr>
              <w:t>运行期工程无大气污染物排放</w:t>
            </w:r>
          </w:p>
        </w:tc>
        <w:tc>
          <w:tcPr>
            <w:tcW w:w="635" w:type="pct"/>
            <w:shd w:val="clear" w:color="auto" w:fill="auto"/>
            <w:vAlign w:val="center"/>
          </w:tcPr>
          <w:p w14:paraId="5F0841C1">
            <w:pPr>
              <w:adjustRightInd w:val="0"/>
              <w:snapToGrid w:val="0"/>
              <w:jc w:val="center"/>
              <w:rPr>
                <w:rFonts w:ascii="Times New Roman" w:hAnsi="Times New Roman"/>
                <w:color w:val="auto"/>
                <w:szCs w:val="21"/>
              </w:rPr>
            </w:pPr>
            <w:r>
              <w:rPr>
                <w:rFonts w:ascii="Times New Roman" w:hAnsi="Times New Roman"/>
                <w:color w:val="auto"/>
                <w:szCs w:val="21"/>
              </w:rPr>
              <w:t>/</w:t>
            </w:r>
          </w:p>
        </w:tc>
      </w:tr>
      <w:tr w14:paraId="47BA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61AC5575">
            <w:pPr>
              <w:adjustRightInd w:val="0"/>
              <w:snapToGrid w:val="0"/>
              <w:jc w:val="center"/>
              <w:rPr>
                <w:rFonts w:ascii="Times New Roman" w:hAnsi="Times New Roman"/>
                <w:b/>
                <w:color w:val="auto"/>
                <w:szCs w:val="21"/>
              </w:rPr>
            </w:pPr>
            <w:r>
              <w:rPr>
                <w:rFonts w:ascii="Times New Roman" w:hAnsi="Times New Roman"/>
                <w:b/>
                <w:color w:val="auto"/>
                <w:szCs w:val="21"/>
              </w:rPr>
              <w:t>固体废物</w:t>
            </w:r>
          </w:p>
        </w:tc>
        <w:tc>
          <w:tcPr>
            <w:tcW w:w="1807" w:type="pct"/>
            <w:shd w:val="clear" w:color="auto" w:fill="auto"/>
            <w:vAlign w:val="center"/>
          </w:tcPr>
          <w:p w14:paraId="2B574EA9">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（1）施工人员食宿依托租用民房，施工现场产生的生活垃圾集中收集后清运至附近集镇垃圾收集点由当地环卫部门处置。</w:t>
            </w:r>
          </w:p>
          <w:p w14:paraId="4F71651D">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（2）施工过程中产生</w:t>
            </w:r>
            <w:r>
              <w:rPr>
                <w:rFonts w:hint="eastAsia" w:ascii="Times New Roman" w:hAnsi="Times New Roman" w:cs="Times New Roman"/>
                <w:color w:val="auto"/>
                <w:sz w:val="21"/>
                <w:szCs w:val="21"/>
              </w:rPr>
              <w:t>的</w:t>
            </w:r>
            <w:r>
              <w:rPr>
                <w:rFonts w:ascii="Times New Roman" w:hAnsi="Times New Roman" w:cs="Times New Roman"/>
                <w:color w:val="auto"/>
                <w:sz w:val="21"/>
                <w:szCs w:val="21"/>
              </w:rPr>
              <w:t>废混凝土、砂浆、废钢材配件、废包装等建筑垃圾，经集中收集、充分回收利用后清运至相关部门指定场所规范处置。</w:t>
            </w:r>
          </w:p>
          <w:p w14:paraId="4C40DA75">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（3）架空线路基础开挖产生的余土分别在各塔基占地范围内就地回填压实、综合利用；塔基施工剥离表土按规范要求集中堆放，施工完毕后用于复垦或植被恢复。</w:t>
            </w:r>
          </w:p>
          <w:p w14:paraId="6F099AEF">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（4）在林地、草地和农田施工时，施工临时占地宜采取隔离保护措施，施工结束后应将混凝土余料和残渣及时清除。</w:t>
            </w:r>
          </w:p>
          <w:p w14:paraId="5E89BA42">
            <w:pPr>
              <w:pStyle w:val="51"/>
              <w:autoSpaceDE/>
              <w:autoSpaceDN/>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（5）严禁随意倾倒，建筑垃圾在装运过程中应避免混合，运输过程中应采取必要的防扬散、防遗撒、防渗漏、防噪声措施，运输过程中宜使用新能源车和机械。</w:t>
            </w:r>
          </w:p>
        </w:tc>
        <w:tc>
          <w:tcPr>
            <w:tcW w:w="529" w:type="pct"/>
            <w:shd w:val="clear" w:color="auto" w:fill="auto"/>
            <w:vAlign w:val="center"/>
          </w:tcPr>
          <w:p w14:paraId="64BB647E">
            <w:pPr>
              <w:adjustRightInd w:val="0"/>
              <w:snapToGrid w:val="0"/>
              <w:jc w:val="center"/>
              <w:rPr>
                <w:rFonts w:ascii="Times New Roman" w:hAnsi="Times New Roman"/>
                <w:color w:val="auto"/>
                <w:szCs w:val="21"/>
              </w:rPr>
            </w:pPr>
            <w:r>
              <w:rPr>
                <w:rFonts w:ascii="Times New Roman" w:hAnsi="Times New Roman"/>
                <w:color w:val="auto"/>
                <w:szCs w:val="21"/>
              </w:rPr>
              <w:t>（1）施工期的各项环境保护措施应按照要求落实到位。（2）施工过程产生的土石方、建筑垃圾、生活垃圾均得以妥善处理和处置，施工完成后及时做好迹地清理工作，且无扰民纠纷和投诉现象发生。</w:t>
            </w:r>
          </w:p>
        </w:tc>
        <w:tc>
          <w:tcPr>
            <w:tcW w:w="1501" w:type="pct"/>
            <w:shd w:val="clear" w:color="auto" w:fill="auto"/>
            <w:vAlign w:val="center"/>
          </w:tcPr>
          <w:p w14:paraId="040B32E8">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架空线路运营期间产生的固体废物主要为运行维护更换下来的绝缘子等金具，由</w:t>
            </w:r>
            <w:r>
              <w:rPr>
                <w:rFonts w:hint="eastAsia" w:ascii="Times New Roman" w:hAnsi="Times New Roman" w:cs="Times New Roman"/>
                <w:color w:val="auto"/>
                <w:sz w:val="21"/>
                <w:szCs w:val="21"/>
              </w:rPr>
              <w:t>建设单位</w:t>
            </w:r>
            <w:r>
              <w:rPr>
                <w:rFonts w:ascii="Times New Roman" w:hAnsi="Times New Roman" w:cs="Times New Roman"/>
                <w:color w:val="auto"/>
                <w:sz w:val="21"/>
                <w:szCs w:val="21"/>
              </w:rPr>
              <w:t>统一回收处理</w:t>
            </w:r>
          </w:p>
        </w:tc>
        <w:tc>
          <w:tcPr>
            <w:tcW w:w="635" w:type="pct"/>
            <w:shd w:val="clear" w:color="auto" w:fill="auto"/>
            <w:vAlign w:val="center"/>
          </w:tcPr>
          <w:p w14:paraId="3CACAECC">
            <w:pPr>
              <w:adjustRightInd w:val="0"/>
              <w:snapToGrid w:val="0"/>
              <w:jc w:val="center"/>
              <w:rPr>
                <w:rFonts w:ascii="Times New Roman" w:hAnsi="Times New Roman"/>
                <w:color w:val="auto"/>
                <w:szCs w:val="21"/>
              </w:rPr>
            </w:pPr>
            <w:r>
              <w:rPr>
                <w:rFonts w:ascii="Times New Roman" w:hAnsi="Times New Roman"/>
                <w:color w:val="auto"/>
                <w:szCs w:val="21"/>
              </w:rPr>
              <w:t>不随意倾倒，按照要求处置</w:t>
            </w:r>
          </w:p>
        </w:tc>
      </w:tr>
      <w:tr w14:paraId="08AE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5A65C12B">
            <w:pPr>
              <w:adjustRightInd w:val="0"/>
              <w:snapToGrid w:val="0"/>
              <w:jc w:val="center"/>
              <w:rPr>
                <w:rFonts w:ascii="Times New Roman" w:hAnsi="Times New Roman"/>
                <w:b/>
                <w:color w:val="auto"/>
                <w:szCs w:val="21"/>
              </w:rPr>
            </w:pPr>
            <w:r>
              <w:rPr>
                <w:rFonts w:ascii="Times New Roman" w:hAnsi="Times New Roman"/>
                <w:b/>
                <w:color w:val="auto"/>
                <w:szCs w:val="21"/>
              </w:rPr>
              <w:t>电磁环境</w:t>
            </w:r>
          </w:p>
        </w:tc>
        <w:tc>
          <w:tcPr>
            <w:tcW w:w="1807" w:type="pct"/>
            <w:shd w:val="clear" w:color="auto" w:fill="auto"/>
            <w:vAlign w:val="center"/>
          </w:tcPr>
          <w:p w14:paraId="0CB077AD">
            <w:pPr>
              <w:pStyle w:val="51"/>
              <w:autoSpaceDE/>
              <w:autoSpaceDN/>
              <w:adjustRightInd w:val="0"/>
              <w:snapToGrid w:val="0"/>
              <w:ind w:firstLine="420" w:firstLineChars="200"/>
              <w:jc w:val="both"/>
              <w:rPr>
                <w:rFonts w:ascii="Times New Roman" w:hAnsi="Times New Roman" w:cs="Times New Roman"/>
                <w:color w:val="auto"/>
                <w:sz w:val="21"/>
                <w:szCs w:val="21"/>
              </w:rPr>
            </w:pPr>
            <w:r>
              <w:rPr>
                <w:rFonts w:ascii="Times New Roman" w:hAnsi="Times New Roman" w:cs="Times New Roman"/>
                <w:color w:val="auto"/>
                <w:sz w:val="21"/>
                <w:szCs w:val="21"/>
              </w:rPr>
              <w:t>输电线路在交叉跨越时对地距离，在严格按照《110kV～750kV架空输电线路设计规范》（GB50545-2010）进行设计的基础上，根据预测分析得到：</w:t>
            </w:r>
          </w:p>
          <w:p w14:paraId="68EBCE49">
            <w:pPr>
              <w:adjustRightInd w:val="0"/>
              <w:snapToGrid w:val="0"/>
              <w:jc w:val="center"/>
              <w:rPr>
                <w:rFonts w:ascii="Times New Roman" w:hAnsi="Times New Roman"/>
                <w:color w:val="auto"/>
                <w:szCs w:val="21"/>
              </w:rPr>
            </w:pPr>
            <w:r>
              <w:rPr>
                <w:rFonts w:ascii="Times New Roman" w:hAnsi="Times New Roman"/>
                <w:color w:val="auto"/>
                <w:szCs w:val="21"/>
              </w:rPr>
              <w:t>根据预测计算结果，本项目架空线路采用220kV单回架设和220kV双设单挂架设时对地高度不低于13.</w:t>
            </w:r>
            <w:r>
              <w:rPr>
                <w:rFonts w:hint="eastAsia" w:ascii="Times New Roman" w:hAnsi="Times New Roman"/>
                <w:color w:val="auto"/>
                <w:szCs w:val="21"/>
              </w:rPr>
              <w:t>8</w:t>
            </w:r>
            <w:r>
              <w:rPr>
                <w:rFonts w:ascii="Times New Roman" w:hAnsi="Times New Roman"/>
                <w:color w:val="auto"/>
                <w:szCs w:val="21"/>
              </w:rPr>
              <w:t>m，线路下方距地面1.5m处的工频电场、工频磁场能同时满足《电磁环境控制限值》（GB8702-2014）表1中工频电场4000V/m、工频磁场100μT公众曝露限值要求。</w:t>
            </w:r>
          </w:p>
        </w:tc>
        <w:tc>
          <w:tcPr>
            <w:tcW w:w="529" w:type="pct"/>
            <w:shd w:val="clear" w:color="auto" w:fill="auto"/>
            <w:vAlign w:val="center"/>
          </w:tcPr>
          <w:p w14:paraId="3955A754">
            <w:pPr>
              <w:adjustRightInd w:val="0"/>
              <w:snapToGrid w:val="0"/>
              <w:jc w:val="center"/>
              <w:rPr>
                <w:rFonts w:ascii="Times New Roman" w:hAnsi="Times New Roman"/>
                <w:color w:val="auto"/>
                <w:szCs w:val="21"/>
              </w:rPr>
            </w:pPr>
            <w:r>
              <w:rPr>
                <w:rFonts w:ascii="Times New Roman" w:hAnsi="Times New Roman"/>
                <w:color w:val="auto"/>
                <w:szCs w:val="21"/>
              </w:rPr>
              <w:t>输电线路下相导线与居民区地面的最小距离</w:t>
            </w:r>
            <w:r>
              <w:rPr>
                <w:rFonts w:hint="eastAsia" w:ascii="Times New Roman" w:hAnsi="Times New Roman"/>
                <w:color w:val="auto"/>
                <w:szCs w:val="21"/>
              </w:rPr>
              <w:t>13.8</w:t>
            </w:r>
            <w:r>
              <w:rPr>
                <w:rFonts w:ascii="Times New Roman" w:hAnsi="Times New Roman"/>
                <w:color w:val="auto"/>
                <w:szCs w:val="21"/>
              </w:rPr>
              <w:t>m，与非居民区地面的距离不小于6.</w:t>
            </w:r>
            <w:r>
              <w:rPr>
                <w:rFonts w:hint="eastAsia" w:ascii="Times New Roman" w:hAnsi="Times New Roman"/>
                <w:color w:val="auto"/>
                <w:szCs w:val="21"/>
              </w:rPr>
              <w:t>5</w:t>
            </w:r>
            <w:r>
              <w:rPr>
                <w:rFonts w:ascii="Times New Roman" w:hAnsi="Times New Roman"/>
                <w:color w:val="auto"/>
                <w:szCs w:val="21"/>
              </w:rPr>
              <w:t>m，跨越房屋时下相线导线与建筑物之间的垂直距离不小于5.0m。</w:t>
            </w:r>
          </w:p>
        </w:tc>
        <w:tc>
          <w:tcPr>
            <w:tcW w:w="1501" w:type="pct"/>
            <w:shd w:val="clear" w:color="auto" w:fill="auto"/>
            <w:vAlign w:val="center"/>
          </w:tcPr>
          <w:p w14:paraId="26010F11">
            <w:pPr>
              <w:adjustRightInd w:val="0"/>
              <w:snapToGrid w:val="0"/>
              <w:rPr>
                <w:rFonts w:ascii="Times New Roman" w:hAnsi="Times New Roman"/>
                <w:color w:val="auto"/>
                <w:szCs w:val="21"/>
              </w:rPr>
            </w:pPr>
            <w:r>
              <w:rPr>
                <w:rFonts w:ascii="Times New Roman" w:hAnsi="Times New Roman"/>
                <w:color w:val="auto"/>
                <w:szCs w:val="21"/>
              </w:rPr>
              <w:t>（1）运维人员对变电站及线路定期巡查及维护，确保线路的正常运行。（2）输电线路</w:t>
            </w:r>
            <w:r>
              <w:rPr>
                <w:rFonts w:hint="eastAsia" w:ascii="Times New Roman" w:hAnsi="Times New Roman"/>
                <w:color w:val="auto"/>
                <w:szCs w:val="21"/>
              </w:rPr>
              <w:t>跨越</w:t>
            </w:r>
            <w:r>
              <w:rPr>
                <w:rFonts w:ascii="Times New Roman" w:hAnsi="Times New Roman"/>
                <w:color w:val="auto"/>
                <w:szCs w:val="21"/>
              </w:rPr>
              <w:t>非居民区时，在工频电场强度大于4000V/m且小于10kV/m的耕地、园地等公众容易到达的场所区域内设置警示和防护指示标志。（3）架空线路对地、交叉跨越距离满足电力设计规程要求；（4）线路交叉跨越公路或其他输电线路时，分别按有关设计规程、规定的要求，在交叉跨越段留有充裕的净高，使线路运行时对交叉跨越的对象无影响；（5）根据《电力设施保护条例》，在架空电力线路导线跨越重要公路和航道的区段，应设立标志，并标明导线距</w:t>
            </w:r>
            <w:r>
              <w:rPr>
                <w:rFonts w:hint="eastAsia" w:ascii="Times New Roman" w:hAnsi="Times New Roman"/>
                <w:color w:val="auto"/>
                <w:szCs w:val="21"/>
              </w:rPr>
              <w:t>跨越</w:t>
            </w:r>
            <w:r>
              <w:rPr>
                <w:rFonts w:ascii="Times New Roman" w:hAnsi="Times New Roman"/>
                <w:color w:val="auto"/>
                <w:szCs w:val="21"/>
              </w:rPr>
              <w:t>物体之间的安全距离。（6）输电线路铁塔座架上应于醒目位置设置安全警示标志，标明严禁攀登，以防居民尤其是儿童发生意外。同时加强对线路走廊附近居民有关高压输电线路和环保知识的宣传、解释工作。（7）开展运营期电磁环境监测和管理工作，切实减少对周围环境的电磁影响，建设单位应在站址周围及线路塔基处粘贴、悬挂各种警告、防护标识，避免意外事故。对当地群众进行有关高压输电线路和设备方面的环境宣传工作，帮助群众建立环境保护意识和自我防护意识，减少在高压走廊内的停留时间。</w:t>
            </w:r>
          </w:p>
        </w:tc>
        <w:tc>
          <w:tcPr>
            <w:tcW w:w="635" w:type="pct"/>
            <w:shd w:val="clear" w:color="auto" w:fill="auto"/>
            <w:vAlign w:val="center"/>
          </w:tcPr>
          <w:p w14:paraId="11ABD8F1">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电磁环境满足《电磁环境控制限值》（GB8702-2014）中公众暴露控制限值（工频电场强度≤4000V/m、工频磁感应强度≤100μT）的要求。</w:t>
            </w:r>
          </w:p>
        </w:tc>
      </w:tr>
      <w:tr w14:paraId="0C7E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24AF7B20">
            <w:pPr>
              <w:adjustRightInd w:val="0"/>
              <w:snapToGrid w:val="0"/>
              <w:jc w:val="center"/>
              <w:rPr>
                <w:rFonts w:ascii="Times New Roman" w:hAnsi="Times New Roman"/>
                <w:b/>
                <w:color w:val="auto"/>
                <w:szCs w:val="21"/>
              </w:rPr>
            </w:pPr>
            <w:r>
              <w:rPr>
                <w:rFonts w:ascii="Times New Roman" w:hAnsi="Times New Roman"/>
                <w:b/>
                <w:color w:val="auto"/>
                <w:szCs w:val="21"/>
              </w:rPr>
              <w:t>环境风险</w:t>
            </w:r>
          </w:p>
        </w:tc>
        <w:tc>
          <w:tcPr>
            <w:tcW w:w="1807" w:type="pct"/>
            <w:shd w:val="clear" w:color="auto" w:fill="auto"/>
            <w:vAlign w:val="center"/>
          </w:tcPr>
          <w:p w14:paraId="7B134879">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529" w:type="pct"/>
            <w:shd w:val="clear" w:color="auto" w:fill="auto"/>
            <w:vAlign w:val="center"/>
          </w:tcPr>
          <w:p w14:paraId="2DD03F99">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1501" w:type="pct"/>
            <w:shd w:val="clear" w:color="auto" w:fill="auto"/>
            <w:vAlign w:val="center"/>
          </w:tcPr>
          <w:p w14:paraId="29248AF4">
            <w:pPr>
              <w:pStyle w:val="51"/>
              <w:autoSpaceDE/>
              <w:autoSpaceDN/>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635" w:type="pct"/>
            <w:shd w:val="clear" w:color="auto" w:fill="auto"/>
            <w:vAlign w:val="center"/>
          </w:tcPr>
          <w:p w14:paraId="79F37938">
            <w:pPr>
              <w:adjustRightInd w:val="0"/>
              <w:snapToGrid w:val="0"/>
              <w:jc w:val="center"/>
              <w:rPr>
                <w:rFonts w:ascii="Times New Roman" w:hAnsi="Times New Roman"/>
                <w:color w:val="auto"/>
                <w:szCs w:val="21"/>
              </w:rPr>
            </w:pPr>
            <w:r>
              <w:rPr>
                <w:rFonts w:ascii="Times New Roman" w:hAnsi="Times New Roman"/>
                <w:color w:val="auto"/>
                <w:szCs w:val="21"/>
              </w:rPr>
              <w:t>/</w:t>
            </w:r>
          </w:p>
        </w:tc>
      </w:tr>
      <w:tr w14:paraId="616E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66D95A9F">
            <w:pPr>
              <w:adjustRightInd w:val="0"/>
              <w:snapToGrid w:val="0"/>
              <w:jc w:val="center"/>
              <w:rPr>
                <w:rFonts w:ascii="Times New Roman" w:hAnsi="Times New Roman"/>
                <w:b/>
                <w:color w:val="auto"/>
                <w:szCs w:val="21"/>
              </w:rPr>
            </w:pPr>
            <w:r>
              <w:rPr>
                <w:rFonts w:ascii="Times New Roman" w:hAnsi="Times New Roman"/>
                <w:b/>
                <w:color w:val="auto"/>
                <w:szCs w:val="21"/>
              </w:rPr>
              <w:t>环境监测</w:t>
            </w:r>
          </w:p>
        </w:tc>
        <w:tc>
          <w:tcPr>
            <w:tcW w:w="1807" w:type="pct"/>
            <w:shd w:val="clear" w:color="auto" w:fill="auto"/>
            <w:vAlign w:val="center"/>
          </w:tcPr>
          <w:p w14:paraId="3B766DC3">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529" w:type="pct"/>
            <w:shd w:val="clear" w:color="auto" w:fill="auto"/>
            <w:vAlign w:val="center"/>
          </w:tcPr>
          <w:p w14:paraId="495DB02D">
            <w:pPr>
              <w:adjustRightInd w:val="0"/>
              <w:snapToGrid w:val="0"/>
              <w:jc w:val="center"/>
              <w:rPr>
                <w:rFonts w:ascii="Times New Roman" w:hAnsi="Times New Roman"/>
                <w:color w:val="auto"/>
                <w:szCs w:val="21"/>
              </w:rPr>
            </w:pPr>
            <w:r>
              <w:rPr>
                <w:rFonts w:ascii="Times New Roman" w:hAnsi="Times New Roman"/>
                <w:color w:val="auto"/>
                <w:szCs w:val="21"/>
              </w:rPr>
              <w:t>/</w:t>
            </w:r>
          </w:p>
        </w:tc>
        <w:tc>
          <w:tcPr>
            <w:tcW w:w="1501" w:type="pct"/>
            <w:shd w:val="clear" w:color="auto" w:fill="auto"/>
            <w:vAlign w:val="center"/>
          </w:tcPr>
          <w:p w14:paraId="2A3C7C20">
            <w:pPr>
              <w:adjustRightInd w:val="0"/>
              <w:snapToGrid w:val="0"/>
              <w:jc w:val="center"/>
              <w:rPr>
                <w:rFonts w:ascii="Times New Roman" w:hAnsi="Times New Roman"/>
                <w:color w:val="auto"/>
                <w:szCs w:val="21"/>
              </w:rPr>
            </w:pPr>
            <w:r>
              <w:rPr>
                <w:rFonts w:ascii="Times New Roman" w:hAnsi="Times New Roman"/>
                <w:color w:val="auto"/>
                <w:szCs w:val="21"/>
              </w:rPr>
              <w:t>控制架线高度、采用低噪声设备等、线路沿线环境电磁、噪声；①工程建成正式投产后第一年结合竣工环境保护验收监测一次；②运行期间存在投诉或纠纷时进行监测；③例行环境监测计划或生态环境主管部门要求时进行监测。④主要噪声源设备、母线设备维修后，进行监测。</w:t>
            </w:r>
          </w:p>
        </w:tc>
        <w:tc>
          <w:tcPr>
            <w:tcW w:w="635" w:type="pct"/>
            <w:shd w:val="clear" w:color="auto" w:fill="auto"/>
            <w:vAlign w:val="center"/>
          </w:tcPr>
          <w:p w14:paraId="6D729FEE">
            <w:pPr>
              <w:adjustRightInd w:val="0"/>
              <w:snapToGrid w:val="0"/>
              <w:jc w:val="center"/>
              <w:rPr>
                <w:rFonts w:ascii="Times New Roman" w:hAnsi="Times New Roman"/>
                <w:color w:val="auto"/>
                <w:szCs w:val="21"/>
              </w:rPr>
            </w:pPr>
            <w:r>
              <w:rPr>
                <w:rFonts w:ascii="Times New Roman" w:hAnsi="Times New Roman"/>
                <w:color w:val="auto"/>
                <w:szCs w:val="21"/>
              </w:rPr>
              <w:t>本工程建成试运行投产后，结合竣工环境保护验收监测一次。正常运行后主要针对环保投诉情况和工程运行工况的变化进行监测。</w:t>
            </w:r>
          </w:p>
        </w:tc>
      </w:tr>
      <w:tr w14:paraId="6EFD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525" w:type="pct"/>
            <w:shd w:val="clear" w:color="auto" w:fill="auto"/>
            <w:vAlign w:val="center"/>
          </w:tcPr>
          <w:p w14:paraId="6052F3E4">
            <w:pPr>
              <w:adjustRightInd w:val="0"/>
              <w:snapToGrid w:val="0"/>
              <w:jc w:val="center"/>
              <w:rPr>
                <w:rFonts w:ascii="Times New Roman" w:hAnsi="Times New Roman"/>
                <w:b/>
                <w:color w:val="auto"/>
                <w:szCs w:val="21"/>
              </w:rPr>
            </w:pPr>
            <w:r>
              <w:rPr>
                <w:rFonts w:ascii="Times New Roman" w:hAnsi="Times New Roman"/>
                <w:b/>
                <w:color w:val="auto"/>
                <w:szCs w:val="21"/>
              </w:rPr>
              <w:t>其他</w:t>
            </w:r>
          </w:p>
        </w:tc>
        <w:tc>
          <w:tcPr>
            <w:tcW w:w="4474" w:type="pct"/>
            <w:gridSpan w:val="4"/>
            <w:shd w:val="clear" w:color="auto" w:fill="auto"/>
            <w:vAlign w:val="center"/>
          </w:tcPr>
          <w:p w14:paraId="69635B7A">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一、环保管理</w:t>
            </w:r>
          </w:p>
          <w:p w14:paraId="23B93582">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为加强对输变电项目环境监管，建设单位应设1名兼职的环保工作人员，并着重做好环境管理工作，加强环保法规教育和技术培训，提高各级领导及广大职工的环保意识，组织落实各项环境监测计划、各项环境保护措施，积累环境资料，规范各项环境管理制度。按照环境行政管理部门要求开展环境监察工作，环境监察主要工作内容如表6-1所示。</w:t>
            </w:r>
          </w:p>
          <w:p w14:paraId="13467C12">
            <w:pPr>
              <w:pStyle w:val="15"/>
              <w:adjustRightInd w:val="0"/>
              <w:snapToGrid w:val="0"/>
              <w:spacing w:line="240" w:lineRule="auto"/>
              <w:jc w:val="center"/>
              <w:rPr>
                <w:rFonts w:ascii="Times New Roman" w:hAnsi="Times New Roman"/>
                <w:b/>
                <w:color w:val="auto"/>
                <w:sz w:val="24"/>
                <w:szCs w:val="24"/>
              </w:rPr>
            </w:pPr>
            <w:r>
              <w:rPr>
                <w:rFonts w:ascii="Times New Roman" w:hAnsi="Times New Roman"/>
                <w:b/>
                <w:color w:val="auto"/>
                <w:sz w:val="24"/>
                <w:szCs w:val="24"/>
              </w:rPr>
              <w:t>表</w:t>
            </w:r>
            <w:r>
              <w:rPr>
                <w:rFonts w:ascii="Times New Roman" w:hAnsi="Times New Roman"/>
                <w:b/>
                <w:color w:val="auto"/>
                <w:spacing w:val="-62"/>
                <w:sz w:val="24"/>
                <w:szCs w:val="24"/>
              </w:rPr>
              <w:t xml:space="preserve"> </w:t>
            </w:r>
            <w:r>
              <w:rPr>
                <w:rFonts w:ascii="Times New Roman" w:hAnsi="Times New Roman"/>
                <w:b/>
                <w:color w:val="auto"/>
                <w:sz w:val="24"/>
                <w:szCs w:val="24"/>
              </w:rPr>
              <w:t>6-1</w:t>
            </w:r>
            <w:r>
              <w:rPr>
                <w:rFonts w:ascii="Times New Roman" w:hAnsi="Times New Roman"/>
                <w:b/>
                <w:color w:val="auto"/>
                <w:sz w:val="24"/>
                <w:szCs w:val="24"/>
              </w:rPr>
              <w:tab/>
            </w:r>
            <w:r>
              <w:rPr>
                <w:rFonts w:ascii="Times New Roman" w:hAnsi="Times New Roman"/>
                <w:b/>
                <w:color w:val="auto"/>
                <w:sz w:val="24"/>
                <w:szCs w:val="24"/>
              </w:rPr>
              <w:t>环境监察一览表</w:t>
            </w:r>
          </w:p>
          <w:tbl>
            <w:tblPr>
              <w:tblStyle w:val="27"/>
              <w:tblW w:w="4999"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682"/>
              <w:gridCol w:w="2679"/>
              <w:gridCol w:w="6286"/>
              <w:gridCol w:w="1850"/>
            </w:tblGrid>
            <w:tr w14:paraId="39DAAE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673" w:type="pct"/>
                  <w:tcBorders>
                    <w:tl2br w:val="nil"/>
                    <w:tr2bl w:val="nil"/>
                  </w:tcBorders>
                  <w:vAlign w:val="center"/>
                </w:tcPr>
                <w:p w14:paraId="121268BA">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时期</w:t>
                  </w:r>
                </w:p>
              </w:tc>
              <w:tc>
                <w:tcPr>
                  <w:tcW w:w="1072" w:type="pct"/>
                  <w:tcBorders>
                    <w:tl2br w:val="nil"/>
                    <w:tr2bl w:val="nil"/>
                  </w:tcBorders>
                  <w:vAlign w:val="center"/>
                </w:tcPr>
                <w:p w14:paraId="67486529">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环境问题</w:t>
                  </w:r>
                </w:p>
              </w:tc>
              <w:tc>
                <w:tcPr>
                  <w:tcW w:w="2514" w:type="pct"/>
                  <w:tcBorders>
                    <w:tl2br w:val="nil"/>
                    <w:tr2bl w:val="nil"/>
                  </w:tcBorders>
                  <w:vAlign w:val="center"/>
                </w:tcPr>
                <w:p w14:paraId="5F5DBB92">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sz w:val="21"/>
                      <w:szCs w:val="21"/>
                    </w:rPr>
                    <w:t>环境保护措施</w:t>
                  </w:r>
                </w:p>
              </w:tc>
              <w:tc>
                <w:tcPr>
                  <w:tcW w:w="740" w:type="pct"/>
                  <w:tcBorders>
                    <w:tl2br w:val="nil"/>
                    <w:tr2bl w:val="nil"/>
                  </w:tcBorders>
                  <w:vAlign w:val="center"/>
                </w:tcPr>
                <w:p w14:paraId="29F1BC89">
                  <w:pPr>
                    <w:pStyle w:val="51"/>
                    <w:adjustRightInd w:val="0"/>
                    <w:snapToGrid w:val="0"/>
                    <w:rPr>
                      <w:rFonts w:ascii="Times New Roman" w:hAnsi="Times New Roman" w:cs="Times New Roman"/>
                      <w:b/>
                      <w:color w:val="auto"/>
                      <w:sz w:val="21"/>
                      <w:szCs w:val="21"/>
                    </w:rPr>
                  </w:pPr>
                  <w:r>
                    <w:rPr>
                      <w:rFonts w:ascii="Times New Roman" w:hAnsi="Times New Roman" w:cs="Times New Roman"/>
                      <w:b/>
                      <w:color w:val="auto"/>
                      <w:w w:val="95"/>
                      <w:sz w:val="21"/>
                      <w:szCs w:val="21"/>
                    </w:rPr>
                    <w:t>负责部门</w:t>
                  </w:r>
                </w:p>
              </w:tc>
            </w:tr>
            <w:tr w14:paraId="638755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673" w:type="pct"/>
                  <w:tcBorders>
                    <w:tl2br w:val="nil"/>
                    <w:tr2bl w:val="nil"/>
                  </w:tcBorders>
                  <w:vAlign w:val="center"/>
                </w:tcPr>
                <w:p w14:paraId="155A0A50">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环保验收</w:t>
                  </w:r>
                </w:p>
              </w:tc>
              <w:tc>
                <w:tcPr>
                  <w:tcW w:w="1072" w:type="pct"/>
                  <w:tcBorders>
                    <w:tl2br w:val="nil"/>
                    <w:tr2bl w:val="nil"/>
                  </w:tcBorders>
                  <w:vAlign w:val="center"/>
                </w:tcPr>
                <w:p w14:paraId="3A4A577C">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检查环保设施及效果</w:t>
                  </w:r>
                </w:p>
              </w:tc>
              <w:tc>
                <w:tcPr>
                  <w:tcW w:w="2514" w:type="pct"/>
                  <w:tcBorders>
                    <w:tl2br w:val="nil"/>
                    <w:tr2bl w:val="nil"/>
                  </w:tcBorders>
                  <w:vAlign w:val="center"/>
                </w:tcPr>
                <w:p w14:paraId="510B0145">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按照环境影响报告表的批复进行监测或调查</w:t>
                  </w:r>
                </w:p>
              </w:tc>
              <w:tc>
                <w:tcPr>
                  <w:tcW w:w="740" w:type="pct"/>
                  <w:tcBorders>
                    <w:tl2br w:val="nil"/>
                    <w:tr2bl w:val="nil"/>
                  </w:tcBorders>
                  <w:vAlign w:val="center"/>
                </w:tcPr>
                <w:p w14:paraId="2E3C8A03">
                  <w:pPr>
                    <w:pStyle w:val="51"/>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建设单位</w:t>
                  </w:r>
                </w:p>
              </w:tc>
            </w:tr>
          </w:tbl>
          <w:p w14:paraId="59EEBDB7">
            <w:pPr>
              <w:pStyle w:val="51"/>
              <w:adjustRightInd w:val="0"/>
              <w:snapToGrid w:val="0"/>
              <w:spacing w:line="440" w:lineRule="exact"/>
              <w:ind w:firstLine="482" w:firstLineChars="20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二、建设项目竣工“环境保护验收”</w:t>
            </w:r>
          </w:p>
          <w:p w14:paraId="36F0F697">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根据《国务院关于修改&lt;建设项目环境保护管理条例&gt;的决定》（国务院682号令），工程建设执行污染治理设施与主体工程同时设计、同时施工、同时投产使用的“三同时”制度。项目投入运行后，建设单位应当按照国务院环境保护行政主管部门规定的标准和程序，自行对配套建设的环境保护设施进行验收，编制验收报告，并依法向社会公开验收报告。</w:t>
            </w:r>
          </w:p>
          <w:p w14:paraId="5530C1EA">
            <w:pPr>
              <w:pStyle w:val="51"/>
              <w:adjustRightInd w:val="0"/>
              <w:snapToGrid w:val="0"/>
              <w:spacing w:line="440" w:lineRule="exact"/>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建设单位根据《建设项目环境保护管理条例》及《建设项目竣工环境保护验收暂行办法</w:t>
            </w:r>
            <w:r>
              <w:rPr>
                <w:rFonts w:hint="eastAsia" w:ascii="Times New Roman" w:hAnsi="Times New Roman" w:cs="Times New Roman"/>
                <w:color w:val="auto"/>
                <w:sz w:val="24"/>
                <w:szCs w:val="24"/>
              </w:rPr>
              <w:t>》等</w:t>
            </w:r>
            <w:r>
              <w:rPr>
                <w:rFonts w:ascii="Times New Roman" w:hAnsi="Times New Roman" w:cs="Times New Roman"/>
                <w:color w:val="auto"/>
                <w:sz w:val="24"/>
                <w:szCs w:val="24"/>
              </w:rPr>
              <w:t>有关规定进行环境保护竣工验收，项目环保措施竣工验收一览表见表</w:t>
            </w:r>
            <w:r>
              <w:rPr>
                <w:rFonts w:hint="eastAsia" w:ascii="Times New Roman" w:hAnsi="Times New Roman" w:cs="Times New Roman"/>
                <w:color w:val="auto"/>
                <w:sz w:val="24"/>
                <w:szCs w:val="24"/>
              </w:rPr>
              <w:t>6-2</w:t>
            </w:r>
            <w:r>
              <w:rPr>
                <w:rFonts w:ascii="Times New Roman" w:hAnsi="Times New Roman" w:cs="Times New Roman"/>
                <w:color w:val="auto"/>
                <w:sz w:val="24"/>
                <w:szCs w:val="24"/>
              </w:rPr>
              <w:t>。</w:t>
            </w:r>
          </w:p>
          <w:p w14:paraId="4A8C1DA7">
            <w:pPr>
              <w:adjustRightInd w:val="0"/>
              <w:snapToGrid w:val="0"/>
              <w:jc w:val="center"/>
              <w:rPr>
                <w:rFonts w:ascii="Times New Roman" w:hAnsi="Times New Roman"/>
                <w:color w:val="auto"/>
                <w:szCs w:val="21"/>
              </w:rPr>
            </w:pPr>
            <w:r>
              <w:rPr>
                <w:rFonts w:hint="eastAsia" w:ascii="Times New Roman" w:hAnsi="Times New Roman"/>
                <w:b/>
                <w:color w:val="auto"/>
                <w:sz w:val="24"/>
                <w:szCs w:val="24"/>
              </w:rPr>
              <w:t xml:space="preserve">表6-2  </w:t>
            </w:r>
            <w:r>
              <w:rPr>
                <w:rFonts w:ascii="Times New Roman" w:hAnsi="Times New Roman"/>
                <w:b/>
                <w:color w:val="auto"/>
                <w:sz w:val="24"/>
                <w:szCs w:val="24"/>
              </w:rPr>
              <w:t>项目竣工环境保护验收一览表</w:t>
            </w:r>
          </w:p>
          <w:tbl>
            <w:tblPr>
              <w:tblStyle w:val="27"/>
              <w:tblW w:w="4997"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47"/>
              <w:gridCol w:w="2171"/>
              <w:gridCol w:w="2766"/>
              <w:gridCol w:w="6708"/>
            </w:tblGrid>
            <w:tr w14:paraId="717EA2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vAlign w:val="center"/>
                </w:tcPr>
                <w:p w14:paraId="7C5A5BDE">
                  <w:pPr>
                    <w:adjustRightInd w:val="0"/>
                    <w:snapToGrid w:val="0"/>
                    <w:jc w:val="center"/>
                    <w:rPr>
                      <w:rFonts w:ascii="Times New Roman" w:hAnsi="Times New Roman"/>
                      <w:b/>
                      <w:bCs/>
                      <w:color w:val="auto"/>
                      <w:szCs w:val="21"/>
                    </w:rPr>
                  </w:pPr>
                  <w:r>
                    <w:rPr>
                      <w:rFonts w:ascii="Times New Roman" w:hAnsi="Times New Roman"/>
                      <w:b/>
                      <w:bCs/>
                      <w:color w:val="auto"/>
                      <w:szCs w:val="21"/>
                    </w:rPr>
                    <w:t>序号</w:t>
                  </w:r>
                </w:p>
              </w:tc>
              <w:tc>
                <w:tcPr>
                  <w:tcW w:w="869" w:type="pct"/>
                  <w:tcBorders>
                    <w:tl2br w:val="nil"/>
                    <w:tr2bl w:val="nil"/>
                  </w:tcBorders>
                  <w:vAlign w:val="center"/>
                </w:tcPr>
                <w:p w14:paraId="31834970">
                  <w:pPr>
                    <w:adjustRightInd w:val="0"/>
                    <w:snapToGrid w:val="0"/>
                    <w:jc w:val="center"/>
                    <w:rPr>
                      <w:rFonts w:ascii="Times New Roman" w:hAnsi="Times New Roman"/>
                      <w:b/>
                      <w:bCs/>
                      <w:color w:val="auto"/>
                      <w:szCs w:val="21"/>
                    </w:rPr>
                  </w:pPr>
                  <w:r>
                    <w:rPr>
                      <w:rFonts w:ascii="Times New Roman" w:hAnsi="Times New Roman"/>
                      <w:b/>
                      <w:bCs/>
                      <w:color w:val="auto"/>
                      <w:szCs w:val="21"/>
                    </w:rPr>
                    <w:t>验收对象</w:t>
                  </w:r>
                </w:p>
              </w:tc>
              <w:tc>
                <w:tcPr>
                  <w:tcW w:w="1107" w:type="pct"/>
                  <w:tcBorders>
                    <w:tl2br w:val="nil"/>
                    <w:tr2bl w:val="nil"/>
                  </w:tcBorders>
                  <w:vAlign w:val="center"/>
                </w:tcPr>
                <w:p w14:paraId="14A515D9">
                  <w:pPr>
                    <w:adjustRightInd w:val="0"/>
                    <w:snapToGrid w:val="0"/>
                    <w:jc w:val="center"/>
                    <w:rPr>
                      <w:rFonts w:ascii="Times New Roman" w:hAnsi="Times New Roman"/>
                      <w:b/>
                      <w:bCs/>
                      <w:color w:val="auto"/>
                      <w:szCs w:val="21"/>
                    </w:rPr>
                  </w:pPr>
                  <w:r>
                    <w:rPr>
                      <w:rFonts w:ascii="Times New Roman" w:hAnsi="Times New Roman"/>
                      <w:b/>
                      <w:bCs/>
                      <w:color w:val="auto"/>
                      <w:szCs w:val="21"/>
                    </w:rPr>
                    <w:t>验收内容</w:t>
                  </w:r>
                </w:p>
              </w:tc>
              <w:tc>
                <w:tcPr>
                  <w:tcW w:w="2684" w:type="pct"/>
                  <w:tcBorders>
                    <w:tl2br w:val="nil"/>
                    <w:tr2bl w:val="nil"/>
                  </w:tcBorders>
                  <w:vAlign w:val="center"/>
                </w:tcPr>
                <w:p w14:paraId="1C43D63D">
                  <w:pPr>
                    <w:adjustRightInd w:val="0"/>
                    <w:snapToGrid w:val="0"/>
                    <w:jc w:val="center"/>
                    <w:rPr>
                      <w:rFonts w:ascii="Times New Roman" w:hAnsi="Times New Roman"/>
                      <w:b/>
                      <w:bCs/>
                      <w:color w:val="auto"/>
                      <w:szCs w:val="21"/>
                    </w:rPr>
                  </w:pPr>
                  <w:r>
                    <w:rPr>
                      <w:rFonts w:ascii="Times New Roman" w:hAnsi="Times New Roman"/>
                      <w:b/>
                      <w:bCs/>
                      <w:color w:val="auto"/>
                      <w:szCs w:val="21"/>
                    </w:rPr>
                    <w:t>验收标准</w:t>
                  </w:r>
                </w:p>
              </w:tc>
            </w:tr>
            <w:tr w14:paraId="06136F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vAlign w:val="center"/>
                </w:tcPr>
                <w:p w14:paraId="22338963">
                  <w:pPr>
                    <w:adjustRightInd w:val="0"/>
                    <w:snapToGrid w:val="0"/>
                    <w:jc w:val="center"/>
                    <w:rPr>
                      <w:rFonts w:ascii="Times New Roman" w:hAnsi="Times New Roman"/>
                      <w:color w:val="auto"/>
                      <w:szCs w:val="21"/>
                    </w:rPr>
                  </w:pPr>
                  <w:r>
                    <w:rPr>
                      <w:rFonts w:ascii="Times New Roman" w:hAnsi="Times New Roman"/>
                      <w:color w:val="auto"/>
                      <w:szCs w:val="21"/>
                    </w:rPr>
                    <w:t>1</w:t>
                  </w:r>
                </w:p>
              </w:tc>
              <w:tc>
                <w:tcPr>
                  <w:tcW w:w="869" w:type="pct"/>
                  <w:tcBorders>
                    <w:tl2br w:val="nil"/>
                    <w:tr2bl w:val="nil"/>
                  </w:tcBorders>
                  <w:vAlign w:val="center"/>
                </w:tcPr>
                <w:p w14:paraId="2E2A59D5">
                  <w:pPr>
                    <w:adjustRightInd w:val="0"/>
                    <w:snapToGrid w:val="0"/>
                    <w:jc w:val="center"/>
                    <w:rPr>
                      <w:rFonts w:ascii="Times New Roman" w:hAnsi="Times New Roman"/>
                      <w:color w:val="auto"/>
                      <w:szCs w:val="21"/>
                    </w:rPr>
                  </w:pPr>
                  <w:r>
                    <w:rPr>
                      <w:rFonts w:ascii="Times New Roman" w:hAnsi="Times New Roman"/>
                      <w:color w:val="auto"/>
                      <w:szCs w:val="21"/>
                    </w:rPr>
                    <w:t>环保手续履行情况</w:t>
                  </w:r>
                </w:p>
              </w:tc>
              <w:tc>
                <w:tcPr>
                  <w:tcW w:w="3791" w:type="pct"/>
                  <w:gridSpan w:val="2"/>
                  <w:tcBorders>
                    <w:tl2br w:val="nil"/>
                    <w:tr2bl w:val="nil"/>
                  </w:tcBorders>
                  <w:vAlign w:val="center"/>
                </w:tcPr>
                <w:p w14:paraId="29C50311">
                  <w:pPr>
                    <w:adjustRightInd w:val="0"/>
                    <w:snapToGrid w:val="0"/>
                    <w:jc w:val="center"/>
                    <w:rPr>
                      <w:rFonts w:ascii="Times New Roman" w:hAnsi="Times New Roman"/>
                      <w:color w:val="auto"/>
                      <w:szCs w:val="21"/>
                    </w:rPr>
                  </w:pPr>
                  <w:r>
                    <w:rPr>
                      <w:rFonts w:ascii="Times New Roman" w:hAnsi="Times New Roman"/>
                      <w:color w:val="auto"/>
                      <w:szCs w:val="21"/>
                    </w:rPr>
                    <w:t>项目环评批复文件是否齐备，环境保护档案是否齐全。</w:t>
                  </w:r>
                </w:p>
              </w:tc>
            </w:tr>
            <w:tr w14:paraId="6EB798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vAlign w:val="center"/>
                </w:tcPr>
                <w:p w14:paraId="32BBAAA1">
                  <w:pPr>
                    <w:adjustRightInd w:val="0"/>
                    <w:snapToGrid w:val="0"/>
                    <w:jc w:val="center"/>
                    <w:rPr>
                      <w:rFonts w:ascii="Times New Roman" w:hAnsi="Times New Roman"/>
                      <w:color w:val="auto"/>
                      <w:szCs w:val="21"/>
                    </w:rPr>
                  </w:pPr>
                  <w:r>
                    <w:rPr>
                      <w:rFonts w:ascii="Times New Roman" w:hAnsi="Times New Roman"/>
                      <w:color w:val="auto"/>
                      <w:szCs w:val="21"/>
                    </w:rPr>
                    <w:t>2</w:t>
                  </w:r>
                </w:p>
              </w:tc>
              <w:tc>
                <w:tcPr>
                  <w:tcW w:w="869" w:type="pct"/>
                  <w:tcBorders>
                    <w:tl2br w:val="nil"/>
                    <w:tr2bl w:val="nil"/>
                  </w:tcBorders>
                  <w:vAlign w:val="center"/>
                </w:tcPr>
                <w:p w14:paraId="648DB00A">
                  <w:pPr>
                    <w:adjustRightInd w:val="0"/>
                    <w:snapToGrid w:val="0"/>
                    <w:jc w:val="center"/>
                    <w:rPr>
                      <w:rFonts w:ascii="Times New Roman" w:hAnsi="Times New Roman"/>
                      <w:color w:val="auto"/>
                      <w:szCs w:val="21"/>
                    </w:rPr>
                  </w:pPr>
                  <w:r>
                    <w:rPr>
                      <w:rFonts w:ascii="Times New Roman" w:hAnsi="Times New Roman"/>
                      <w:color w:val="auto"/>
                      <w:szCs w:val="21"/>
                    </w:rPr>
                    <w:t>实际工程内容与本《报告表》评价内容情况</w:t>
                  </w:r>
                </w:p>
              </w:tc>
              <w:tc>
                <w:tcPr>
                  <w:tcW w:w="3791" w:type="pct"/>
                  <w:gridSpan w:val="2"/>
                  <w:tcBorders>
                    <w:tl2br w:val="nil"/>
                    <w:tr2bl w:val="nil"/>
                  </w:tcBorders>
                  <w:vAlign w:val="center"/>
                </w:tcPr>
                <w:p w14:paraId="2AA74966">
                  <w:pPr>
                    <w:adjustRightInd w:val="0"/>
                    <w:snapToGrid w:val="0"/>
                    <w:jc w:val="center"/>
                    <w:rPr>
                      <w:rFonts w:ascii="Times New Roman" w:hAnsi="Times New Roman"/>
                      <w:color w:val="auto"/>
                      <w:szCs w:val="21"/>
                    </w:rPr>
                  </w:pPr>
                  <w:r>
                    <w:rPr>
                      <w:rFonts w:ascii="Times New Roman" w:hAnsi="Times New Roman"/>
                      <w:color w:val="auto"/>
                      <w:szCs w:val="21"/>
                    </w:rPr>
                    <w:t>核查实际工程内容与本《报告表》评价内容变更情况，核实是否有重大变动。</w:t>
                  </w:r>
                </w:p>
              </w:tc>
            </w:tr>
            <w:tr w14:paraId="5EA3C4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vAlign w:val="center"/>
                </w:tcPr>
                <w:p w14:paraId="146C27FD">
                  <w:pPr>
                    <w:adjustRightInd w:val="0"/>
                    <w:snapToGrid w:val="0"/>
                    <w:jc w:val="center"/>
                    <w:rPr>
                      <w:rFonts w:ascii="Times New Roman" w:hAnsi="Times New Roman"/>
                      <w:color w:val="auto"/>
                      <w:szCs w:val="21"/>
                    </w:rPr>
                  </w:pPr>
                  <w:r>
                    <w:rPr>
                      <w:rFonts w:hint="eastAsia" w:ascii="Times New Roman" w:hAnsi="Times New Roman"/>
                      <w:color w:val="auto"/>
                      <w:szCs w:val="21"/>
                    </w:rPr>
                    <w:t>3</w:t>
                  </w:r>
                </w:p>
              </w:tc>
              <w:tc>
                <w:tcPr>
                  <w:tcW w:w="869" w:type="pct"/>
                  <w:tcBorders>
                    <w:tl2br w:val="nil"/>
                    <w:tr2bl w:val="nil"/>
                  </w:tcBorders>
                  <w:vAlign w:val="center"/>
                </w:tcPr>
                <w:p w14:paraId="1446E2C3">
                  <w:pPr>
                    <w:adjustRightInd w:val="0"/>
                    <w:snapToGrid w:val="0"/>
                    <w:jc w:val="center"/>
                    <w:rPr>
                      <w:rFonts w:ascii="Times New Roman" w:hAnsi="Times New Roman"/>
                      <w:color w:val="auto"/>
                      <w:szCs w:val="21"/>
                    </w:rPr>
                  </w:pPr>
                  <w:r>
                    <w:rPr>
                      <w:rFonts w:ascii="Times New Roman" w:hAnsi="Times New Roman"/>
                      <w:color w:val="auto"/>
                      <w:szCs w:val="21"/>
                    </w:rPr>
                    <w:t>工频电场、工频磁场</w:t>
                  </w:r>
                </w:p>
              </w:tc>
              <w:tc>
                <w:tcPr>
                  <w:tcW w:w="1107" w:type="pct"/>
                  <w:tcBorders>
                    <w:tl2br w:val="nil"/>
                    <w:tr2bl w:val="nil"/>
                  </w:tcBorders>
                  <w:vAlign w:val="center"/>
                </w:tcPr>
                <w:p w14:paraId="7E76221C">
                  <w:pPr>
                    <w:adjustRightInd w:val="0"/>
                    <w:snapToGrid w:val="0"/>
                    <w:jc w:val="center"/>
                    <w:rPr>
                      <w:rFonts w:ascii="Times New Roman" w:hAnsi="Times New Roman"/>
                      <w:color w:val="auto"/>
                      <w:szCs w:val="21"/>
                    </w:rPr>
                  </w:pPr>
                  <w:r>
                    <w:rPr>
                      <w:rFonts w:ascii="Times New Roman" w:hAnsi="Times New Roman"/>
                      <w:color w:val="auto"/>
                      <w:szCs w:val="21"/>
                    </w:rPr>
                    <w:t>输电线路现场监测</w:t>
                  </w:r>
                </w:p>
              </w:tc>
              <w:tc>
                <w:tcPr>
                  <w:tcW w:w="2684" w:type="pct"/>
                  <w:tcBorders>
                    <w:tl2br w:val="nil"/>
                    <w:tr2bl w:val="nil"/>
                  </w:tcBorders>
                  <w:vAlign w:val="center"/>
                </w:tcPr>
                <w:p w14:paraId="1507931F">
                  <w:pPr>
                    <w:adjustRightInd w:val="0"/>
                    <w:snapToGrid w:val="0"/>
                    <w:jc w:val="center"/>
                    <w:rPr>
                      <w:rFonts w:ascii="Times New Roman" w:hAnsi="Times New Roman"/>
                      <w:color w:val="auto"/>
                      <w:szCs w:val="21"/>
                    </w:rPr>
                  </w:pPr>
                  <w:r>
                    <w:rPr>
                      <w:rFonts w:ascii="Times New Roman" w:hAnsi="Times New Roman"/>
                      <w:color w:val="auto"/>
                      <w:szCs w:val="21"/>
                    </w:rPr>
                    <w:t>工频电场强度限值为4000V/m；工频磁场强度限值为100μT</w:t>
                  </w:r>
                </w:p>
              </w:tc>
            </w:tr>
            <w:tr w14:paraId="57354E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shd w:val="clear" w:color="auto" w:fill="auto"/>
                  <w:vAlign w:val="center"/>
                </w:tcPr>
                <w:p w14:paraId="4BC8BE47">
                  <w:pPr>
                    <w:adjustRightInd w:val="0"/>
                    <w:snapToGrid w:val="0"/>
                    <w:jc w:val="center"/>
                    <w:rPr>
                      <w:rFonts w:ascii="Times New Roman" w:hAnsi="Times New Roman"/>
                      <w:color w:val="auto"/>
                      <w:szCs w:val="21"/>
                    </w:rPr>
                  </w:pPr>
                  <w:r>
                    <w:rPr>
                      <w:rFonts w:ascii="Times New Roman" w:hAnsi="Times New Roman"/>
                      <w:color w:val="auto"/>
                      <w:szCs w:val="21"/>
                    </w:rPr>
                    <w:t>4</w:t>
                  </w:r>
                </w:p>
              </w:tc>
              <w:tc>
                <w:tcPr>
                  <w:tcW w:w="869" w:type="pct"/>
                  <w:tcBorders>
                    <w:tl2br w:val="nil"/>
                    <w:tr2bl w:val="nil"/>
                  </w:tcBorders>
                  <w:vAlign w:val="center"/>
                </w:tcPr>
                <w:p w14:paraId="6F38959D">
                  <w:pPr>
                    <w:adjustRightInd w:val="0"/>
                    <w:snapToGrid w:val="0"/>
                    <w:jc w:val="center"/>
                    <w:rPr>
                      <w:rFonts w:ascii="Times New Roman" w:hAnsi="Times New Roman"/>
                      <w:color w:val="auto"/>
                      <w:szCs w:val="21"/>
                    </w:rPr>
                  </w:pPr>
                  <w:r>
                    <w:rPr>
                      <w:rFonts w:ascii="Times New Roman" w:hAnsi="Times New Roman"/>
                      <w:color w:val="auto"/>
                      <w:szCs w:val="21"/>
                    </w:rPr>
                    <w:t>声环境</w:t>
                  </w:r>
                </w:p>
              </w:tc>
              <w:tc>
                <w:tcPr>
                  <w:tcW w:w="1107" w:type="pct"/>
                  <w:tcBorders>
                    <w:tl2br w:val="nil"/>
                    <w:tr2bl w:val="nil"/>
                  </w:tcBorders>
                  <w:vAlign w:val="center"/>
                </w:tcPr>
                <w:p w14:paraId="68D0907C">
                  <w:pPr>
                    <w:adjustRightInd w:val="0"/>
                    <w:snapToGrid w:val="0"/>
                    <w:jc w:val="center"/>
                    <w:rPr>
                      <w:rFonts w:ascii="Times New Roman" w:hAnsi="Times New Roman"/>
                      <w:color w:val="auto"/>
                      <w:szCs w:val="21"/>
                    </w:rPr>
                  </w:pPr>
                  <w:r>
                    <w:rPr>
                      <w:rFonts w:ascii="Times New Roman" w:hAnsi="Times New Roman"/>
                      <w:color w:val="auto"/>
                      <w:szCs w:val="21"/>
                    </w:rPr>
                    <w:t>输电线路现场监测，达标</w:t>
                  </w:r>
                </w:p>
              </w:tc>
              <w:tc>
                <w:tcPr>
                  <w:tcW w:w="2684" w:type="pct"/>
                  <w:tcBorders>
                    <w:tl2br w:val="nil"/>
                    <w:tr2bl w:val="nil"/>
                  </w:tcBorders>
                  <w:vAlign w:val="center"/>
                </w:tcPr>
                <w:p w14:paraId="2443C6FB">
                  <w:pPr>
                    <w:adjustRightInd w:val="0"/>
                    <w:snapToGrid w:val="0"/>
                    <w:jc w:val="center"/>
                    <w:rPr>
                      <w:rFonts w:ascii="Times New Roman" w:hAnsi="Times New Roman"/>
                      <w:color w:val="auto"/>
                      <w:szCs w:val="21"/>
                    </w:rPr>
                  </w:pPr>
                  <w:r>
                    <w:rPr>
                      <w:rFonts w:ascii="Times New Roman" w:hAnsi="Times New Roman"/>
                      <w:color w:val="auto"/>
                      <w:szCs w:val="21"/>
                    </w:rPr>
                    <w:t>输电线路敏感目标</w:t>
                  </w:r>
                  <w:r>
                    <w:rPr>
                      <w:rFonts w:hint="eastAsia" w:ascii="Times New Roman" w:hAnsi="Times New Roman"/>
                      <w:color w:val="auto"/>
                      <w:szCs w:val="21"/>
                    </w:rPr>
                    <w:t>执行《声环境质量标准》（GB3096-2008）1</w:t>
                  </w:r>
                  <w:r>
                    <w:rPr>
                      <w:rFonts w:ascii="Times New Roman" w:hAnsi="Times New Roman"/>
                      <w:color w:val="auto"/>
                      <w:szCs w:val="21"/>
                    </w:rPr>
                    <w:t>类</w:t>
                  </w:r>
                  <w:r>
                    <w:rPr>
                      <w:rFonts w:hint="eastAsia" w:ascii="Times New Roman" w:hAnsi="Times New Roman"/>
                      <w:color w:val="auto"/>
                      <w:szCs w:val="21"/>
                    </w:rPr>
                    <w:t>、4a类</w:t>
                  </w:r>
                  <w:r>
                    <w:rPr>
                      <w:rFonts w:ascii="Times New Roman" w:hAnsi="Times New Roman"/>
                      <w:color w:val="auto"/>
                      <w:szCs w:val="21"/>
                    </w:rPr>
                    <w:t>标准要求</w:t>
                  </w:r>
                </w:p>
              </w:tc>
            </w:tr>
            <w:tr w14:paraId="3E392D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shd w:val="clear" w:color="auto" w:fill="auto"/>
                  <w:vAlign w:val="center"/>
                </w:tcPr>
                <w:p w14:paraId="3304B04C">
                  <w:pPr>
                    <w:adjustRightInd w:val="0"/>
                    <w:snapToGrid w:val="0"/>
                    <w:jc w:val="center"/>
                    <w:rPr>
                      <w:rFonts w:ascii="Times New Roman" w:hAnsi="Times New Roman"/>
                      <w:color w:val="auto"/>
                      <w:szCs w:val="21"/>
                    </w:rPr>
                  </w:pPr>
                  <w:r>
                    <w:rPr>
                      <w:rFonts w:hint="eastAsia" w:ascii="Times New Roman" w:hAnsi="Times New Roman"/>
                      <w:color w:val="auto"/>
                      <w:szCs w:val="21"/>
                    </w:rPr>
                    <w:t>5</w:t>
                  </w:r>
                </w:p>
              </w:tc>
              <w:tc>
                <w:tcPr>
                  <w:tcW w:w="869" w:type="pct"/>
                  <w:tcBorders>
                    <w:tl2br w:val="nil"/>
                    <w:tr2bl w:val="nil"/>
                  </w:tcBorders>
                  <w:vAlign w:val="center"/>
                </w:tcPr>
                <w:p w14:paraId="55EC23EE">
                  <w:pPr>
                    <w:adjustRightInd w:val="0"/>
                    <w:snapToGrid w:val="0"/>
                    <w:jc w:val="center"/>
                    <w:rPr>
                      <w:rFonts w:ascii="Times New Roman" w:hAnsi="Times New Roman"/>
                      <w:color w:val="auto"/>
                      <w:szCs w:val="21"/>
                    </w:rPr>
                  </w:pPr>
                  <w:r>
                    <w:rPr>
                      <w:rFonts w:ascii="Times New Roman" w:hAnsi="Times New Roman"/>
                      <w:color w:val="auto"/>
                      <w:szCs w:val="21"/>
                    </w:rPr>
                    <w:t>固体废弃物</w:t>
                  </w:r>
                </w:p>
              </w:tc>
              <w:tc>
                <w:tcPr>
                  <w:tcW w:w="1107" w:type="pct"/>
                  <w:tcBorders>
                    <w:tl2br w:val="nil"/>
                    <w:tr2bl w:val="nil"/>
                  </w:tcBorders>
                  <w:vAlign w:val="center"/>
                </w:tcPr>
                <w:p w14:paraId="5F2B56DF">
                  <w:pPr>
                    <w:adjustRightInd w:val="0"/>
                    <w:snapToGrid w:val="0"/>
                    <w:jc w:val="center"/>
                    <w:rPr>
                      <w:rFonts w:ascii="Times New Roman" w:hAnsi="Times New Roman"/>
                      <w:color w:val="auto"/>
                      <w:szCs w:val="21"/>
                    </w:rPr>
                  </w:pPr>
                  <w:r>
                    <w:rPr>
                      <w:rFonts w:hint="eastAsia" w:ascii="Times New Roman" w:hAnsi="Times New Roman"/>
                      <w:color w:val="auto"/>
                      <w:szCs w:val="21"/>
                    </w:rPr>
                    <w:t>运行维护更换的绝缘子等材料</w:t>
                  </w:r>
                </w:p>
              </w:tc>
              <w:tc>
                <w:tcPr>
                  <w:tcW w:w="2684" w:type="pct"/>
                  <w:tcBorders>
                    <w:tl2br w:val="nil"/>
                    <w:tr2bl w:val="nil"/>
                  </w:tcBorders>
                  <w:vAlign w:val="center"/>
                </w:tcPr>
                <w:p w14:paraId="1CB09B0E">
                  <w:pPr>
                    <w:adjustRightInd w:val="0"/>
                    <w:snapToGrid w:val="0"/>
                    <w:jc w:val="center"/>
                    <w:rPr>
                      <w:rFonts w:ascii="Times New Roman" w:hAnsi="Times New Roman"/>
                      <w:color w:val="auto"/>
                      <w:szCs w:val="21"/>
                    </w:rPr>
                  </w:pPr>
                  <w:r>
                    <w:rPr>
                      <w:rFonts w:hint="eastAsia" w:ascii="Times New Roman" w:hAnsi="Times New Roman"/>
                      <w:color w:val="auto"/>
                      <w:szCs w:val="21"/>
                    </w:rPr>
                    <w:t>统一回收合理处置</w:t>
                  </w:r>
                </w:p>
              </w:tc>
            </w:tr>
            <w:tr w14:paraId="300F9B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shd w:val="clear" w:color="auto" w:fill="auto"/>
                  <w:vAlign w:val="center"/>
                </w:tcPr>
                <w:p w14:paraId="3283D6B9">
                  <w:pPr>
                    <w:adjustRightInd w:val="0"/>
                    <w:snapToGrid w:val="0"/>
                    <w:jc w:val="center"/>
                    <w:rPr>
                      <w:rFonts w:ascii="Times New Roman" w:hAnsi="Times New Roman"/>
                      <w:color w:val="auto"/>
                      <w:szCs w:val="21"/>
                    </w:rPr>
                  </w:pPr>
                  <w:r>
                    <w:rPr>
                      <w:rFonts w:ascii="Times New Roman" w:hAnsi="Times New Roman"/>
                      <w:color w:val="auto"/>
                      <w:szCs w:val="21"/>
                    </w:rPr>
                    <w:t>7</w:t>
                  </w:r>
                </w:p>
              </w:tc>
              <w:tc>
                <w:tcPr>
                  <w:tcW w:w="869" w:type="pct"/>
                  <w:tcBorders>
                    <w:tl2br w:val="nil"/>
                    <w:tr2bl w:val="nil"/>
                  </w:tcBorders>
                  <w:vAlign w:val="center"/>
                </w:tcPr>
                <w:p w14:paraId="06D14B5B">
                  <w:pPr>
                    <w:adjustRightInd w:val="0"/>
                    <w:snapToGrid w:val="0"/>
                    <w:jc w:val="center"/>
                    <w:rPr>
                      <w:rFonts w:ascii="Times New Roman" w:hAnsi="Times New Roman"/>
                      <w:color w:val="auto"/>
                      <w:szCs w:val="21"/>
                    </w:rPr>
                  </w:pPr>
                  <w:r>
                    <w:rPr>
                      <w:rFonts w:ascii="Times New Roman" w:hAnsi="Times New Roman"/>
                      <w:color w:val="auto"/>
                      <w:szCs w:val="21"/>
                    </w:rPr>
                    <w:t>施工现场调查</w:t>
                  </w:r>
                </w:p>
              </w:tc>
              <w:tc>
                <w:tcPr>
                  <w:tcW w:w="3791" w:type="pct"/>
                  <w:gridSpan w:val="2"/>
                  <w:tcBorders>
                    <w:tl2br w:val="nil"/>
                    <w:tr2bl w:val="nil"/>
                  </w:tcBorders>
                  <w:vAlign w:val="center"/>
                </w:tcPr>
                <w:p w14:paraId="264494DD">
                  <w:pPr>
                    <w:adjustRightInd w:val="0"/>
                    <w:snapToGrid w:val="0"/>
                    <w:jc w:val="center"/>
                    <w:rPr>
                      <w:rFonts w:ascii="Times New Roman" w:hAnsi="Times New Roman"/>
                      <w:color w:val="auto"/>
                      <w:szCs w:val="21"/>
                    </w:rPr>
                  </w:pPr>
                  <w:r>
                    <w:rPr>
                      <w:rFonts w:ascii="Times New Roman" w:hAnsi="Times New Roman"/>
                      <w:color w:val="auto"/>
                      <w:szCs w:val="21"/>
                    </w:rPr>
                    <w:t>调查临时施工设施是否已拆除；临时占地是否进行绿化和植被恢复。</w:t>
                  </w:r>
                </w:p>
              </w:tc>
            </w:tr>
            <w:tr w14:paraId="0930A6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shd w:val="clear" w:color="auto" w:fill="auto"/>
                  <w:vAlign w:val="center"/>
                </w:tcPr>
                <w:p w14:paraId="61D1616C">
                  <w:pPr>
                    <w:adjustRightInd w:val="0"/>
                    <w:snapToGrid w:val="0"/>
                    <w:jc w:val="center"/>
                    <w:rPr>
                      <w:rFonts w:ascii="Times New Roman" w:hAnsi="Times New Roman"/>
                      <w:color w:val="auto"/>
                      <w:szCs w:val="21"/>
                    </w:rPr>
                  </w:pPr>
                  <w:r>
                    <w:rPr>
                      <w:rFonts w:ascii="Times New Roman" w:hAnsi="Times New Roman"/>
                      <w:color w:val="auto"/>
                      <w:szCs w:val="21"/>
                    </w:rPr>
                    <w:t>8</w:t>
                  </w:r>
                </w:p>
              </w:tc>
              <w:tc>
                <w:tcPr>
                  <w:tcW w:w="869" w:type="pct"/>
                  <w:tcBorders>
                    <w:tl2br w:val="nil"/>
                    <w:tr2bl w:val="nil"/>
                  </w:tcBorders>
                  <w:vAlign w:val="center"/>
                </w:tcPr>
                <w:p w14:paraId="38935D74">
                  <w:pPr>
                    <w:adjustRightInd w:val="0"/>
                    <w:snapToGrid w:val="0"/>
                    <w:jc w:val="center"/>
                    <w:rPr>
                      <w:rFonts w:ascii="Times New Roman" w:hAnsi="Times New Roman"/>
                      <w:color w:val="auto"/>
                      <w:szCs w:val="21"/>
                    </w:rPr>
                  </w:pPr>
                  <w:r>
                    <w:rPr>
                      <w:rFonts w:ascii="Times New Roman" w:hAnsi="Times New Roman"/>
                      <w:color w:val="auto"/>
                      <w:szCs w:val="21"/>
                    </w:rPr>
                    <w:t>水土保持</w:t>
                  </w:r>
                </w:p>
              </w:tc>
              <w:tc>
                <w:tcPr>
                  <w:tcW w:w="3791" w:type="pct"/>
                  <w:gridSpan w:val="2"/>
                  <w:tcBorders>
                    <w:tl2br w:val="nil"/>
                    <w:tr2bl w:val="nil"/>
                  </w:tcBorders>
                  <w:vAlign w:val="center"/>
                </w:tcPr>
                <w:p w14:paraId="0874F03A">
                  <w:pPr>
                    <w:adjustRightInd w:val="0"/>
                    <w:snapToGrid w:val="0"/>
                    <w:jc w:val="center"/>
                    <w:rPr>
                      <w:rFonts w:ascii="Times New Roman" w:hAnsi="Times New Roman"/>
                      <w:color w:val="auto"/>
                      <w:szCs w:val="21"/>
                    </w:rPr>
                  </w:pPr>
                  <w:r>
                    <w:rPr>
                      <w:rFonts w:ascii="Times New Roman" w:hAnsi="Times New Roman"/>
                      <w:color w:val="auto"/>
                      <w:szCs w:val="21"/>
                    </w:rPr>
                    <w:t>水土流失防治的挡墙、护坡、排水沟等，施工场地的恢复及塔基的植被恢复。</w:t>
                  </w:r>
                </w:p>
              </w:tc>
            </w:tr>
            <w:tr w14:paraId="684D80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shd w:val="clear" w:color="auto" w:fill="auto"/>
                  <w:vAlign w:val="center"/>
                </w:tcPr>
                <w:p w14:paraId="2A77313C">
                  <w:pPr>
                    <w:adjustRightInd w:val="0"/>
                    <w:snapToGrid w:val="0"/>
                    <w:jc w:val="center"/>
                    <w:rPr>
                      <w:rFonts w:ascii="Times New Roman" w:hAnsi="Times New Roman"/>
                      <w:color w:val="auto"/>
                      <w:szCs w:val="21"/>
                    </w:rPr>
                  </w:pPr>
                  <w:r>
                    <w:rPr>
                      <w:rFonts w:ascii="Times New Roman" w:hAnsi="Times New Roman"/>
                      <w:color w:val="auto"/>
                      <w:szCs w:val="21"/>
                    </w:rPr>
                    <w:t>9</w:t>
                  </w:r>
                </w:p>
              </w:tc>
              <w:tc>
                <w:tcPr>
                  <w:tcW w:w="869" w:type="pct"/>
                  <w:tcBorders>
                    <w:tl2br w:val="nil"/>
                    <w:tr2bl w:val="nil"/>
                  </w:tcBorders>
                  <w:vAlign w:val="center"/>
                </w:tcPr>
                <w:p w14:paraId="39A8A456">
                  <w:pPr>
                    <w:adjustRightInd w:val="0"/>
                    <w:snapToGrid w:val="0"/>
                    <w:jc w:val="center"/>
                    <w:rPr>
                      <w:rFonts w:ascii="Times New Roman" w:hAnsi="Times New Roman"/>
                      <w:color w:val="auto"/>
                      <w:szCs w:val="21"/>
                    </w:rPr>
                  </w:pPr>
                  <w:r>
                    <w:rPr>
                      <w:rFonts w:ascii="Times New Roman" w:hAnsi="Times New Roman"/>
                      <w:color w:val="auto"/>
                      <w:szCs w:val="21"/>
                    </w:rPr>
                    <w:t>生态保护</w:t>
                  </w:r>
                </w:p>
              </w:tc>
              <w:tc>
                <w:tcPr>
                  <w:tcW w:w="3791" w:type="pct"/>
                  <w:gridSpan w:val="2"/>
                  <w:tcBorders>
                    <w:tl2br w:val="nil"/>
                    <w:tr2bl w:val="nil"/>
                  </w:tcBorders>
                  <w:vAlign w:val="center"/>
                </w:tcPr>
                <w:p w14:paraId="15B55368">
                  <w:pPr>
                    <w:adjustRightInd w:val="0"/>
                    <w:snapToGrid w:val="0"/>
                    <w:jc w:val="center"/>
                    <w:rPr>
                      <w:rFonts w:ascii="Times New Roman" w:hAnsi="Times New Roman"/>
                      <w:color w:val="auto"/>
                      <w:szCs w:val="21"/>
                    </w:rPr>
                  </w:pPr>
                  <w:r>
                    <w:rPr>
                      <w:rFonts w:ascii="Times New Roman" w:hAnsi="Times New Roman"/>
                      <w:color w:val="auto"/>
                      <w:szCs w:val="21"/>
                    </w:rPr>
                    <w:t>是否已进行植被恢复，对沿线动物生境是否造成影响。</w:t>
                  </w:r>
                </w:p>
              </w:tc>
            </w:tr>
            <w:tr w14:paraId="536B99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9" w:type="pct"/>
                  <w:tcBorders>
                    <w:tl2br w:val="nil"/>
                    <w:tr2bl w:val="nil"/>
                  </w:tcBorders>
                  <w:vAlign w:val="center"/>
                </w:tcPr>
                <w:p w14:paraId="003F89FA">
                  <w:pPr>
                    <w:adjustRightInd w:val="0"/>
                    <w:snapToGrid w:val="0"/>
                    <w:jc w:val="center"/>
                    <w:rPr>
                      <w:rFonts w:ascii="Times New Roman" w:hAnsi="Times New Roman"/>
                      <w:color w:val="auto"/>
                      <w:szCs w:val="21"/>
                    </w:rPr>
                  </w:pPr>
                  <w:r>
                    <w:rPr>
                      <w:rFonts w:hint="eastAsia" w:ascii="Times New Roman" w:hAnsi="Times New Roman"/>
                      <w:color w:val="auto"/>
                      <w:szCs w:val="21"/>
                    </w:rPr>
                    <w:t>10</w:t>
                  </w:r>
                </w:p>
              </w:tc>
              <w:tc>
                <w:tcPr>
                  <w:tcW w:w="869" w:type="pct"/>
                  <w:tcBorders>
                    <w:tl2br w:val="nil"/>
                    <w:tr2bl w:val="nil"/>
                  </w:tcBorders>
                  <w:vAlign w:val="center"/>
                </w:tcPr>
                <w:p w14:paraId="209CEF4C">
                  <w:pPr>
                    <w:adjustRightInd w:val="0"/>
                    <w:snapToGrid w:val="0"/>
                    <w:jc w:val="center"/>
                    <w:rPr>
                      <w:rFonts w:ascii="Times New Roman" w:hAnsi="Times New Roman"/>
                      <w:color w:val="auto"/>
                      <w:szCs w:val="21"/>
                    </w:rPr>
                  </w:pPr>
                  <w:r>
                    <w:rPr>
                      <w:rFonts w:ascii="Times New Roman" w:hAnsi="Times New Roman"/>
                      <w:color w:val="auto"/>
                      <w:szCs w:val="21"/>
                    </w:rPr>
                    <w:t>安全防护</w:t>
                  </w:r>
                </w:p>
              </w:tc>
              <w:tc>
                <w:tcPr>
                  <w:tcW w:w="3791" w:type="pct"/>
                  <w:gridSpan w:val="2"/>
                  <w:tcBorders>
                    <w:tl2br w:val="nil"/>
                    <w:tr2bl w:val="nil"/>
                  </w:tcBorders>
                  <w:vAlign w:val="center"/>
                </w:tcPr>
                <w:p w14:paraId="3F950848">
                  <w:pPr>
                    <w:adjustRightInd w:val="0"/>
                    <w:snapToGrid w:val="0"/>
                    <w:jc w:val="center"/>
                    <w:rPr>
                      <w:rFonts w:ascii="Times New Roman" w:hAnsi="Times New Roman"/>
                      <w:color w:val="auto"/>
                      <w:szCs w:val="21"/>
                    </w:rPr>
                  </w:pPr>
                  <w:r>
                    <w:rPr>
                      <w:rFonts w:ascii="Times New Roman" w:hAnsi="Times New Roman"/>
                      <w:color w:val="auto"/>
                      <w:szCs w:val="21"/>
                    </w:rPr>
                    <w:t>输电线路醒目位置设置安全警示图文标志，标明严禁攀登、线下高位操作应有防护措施等安全注意事项。</w:t>
                  </w:r>
                </w:p>
              </w:tc>
            </w:tr>
          </w:tbl>
          <w:p w14:paraId="61FD2F41">
            <w:pPr>
              <w:adjustRightInd w:val="0"/>
              <w:snapToGrid w:val="0"/>
              <w:jc w:val="center"/>
              <w:rPr>
                <w:rFonts w:ascii="Times New Roman" w:hAnsi="Times New Roman"/>
                <w:b/>
                <w:color w:val="auto"/>
                <w:sz w:val="24"/>
                <w:szCs w:val="24"/>
              </w:rPr>
            </w:pPr>
          </w:p>
          <w:p w14:paraId="490AAAC0">
            <w:pPr>
              <w:adjustRightInd w:val="0"/>
              <w:snapToGrid w:val="0"/>
              <w:jc w:val="center"/>
              <w:rPr>
                <w:rFonts w:ascii="Times New Roman" w:hAnsi="Times New Roman"/>
                <w:b/>
                <w:color w:val="auto"/>
                <w:sz w:val="24"/>
                <w:szCs w:val="24"/>
              </w:rPr>
            </w:pPr>
          </w:p>
          <w:p w14:paraId="3945754C">
            <w:pPr>
              <w:adjustRightInd w:val="0"/>
              <w:snapToGrid w:val="0"/>
              <w:jc w:val="center"/>
              <w:rPr>
                <w:rFonts w:ascii="Times New Roman" w:hAnsi="Times New Roman"/>
                <w:b/>
                <w:color w:val="auto"/>
                <w:sz w:val="24"/>
                <w:szCs w:val="24"/>
              </w:rPr>
            </w:pPr>
          </w:p>
          <w:p w14:paraId="38B1AD84">
            <w:pPr>
              <w:adjustRightInd w:val="0"/>
              <w:snapToGrid w:val="0"/>
              <w:jc w:val="center"/>
              <w:rPr>
                <w:rFonts w:ascii="Times New Roman" w:hAnsi="Times New Roman"/>
                <w:b/>
                <w:color w:val="auto"/>
                <w:sz w:val="24"/>
                <w:szCs w:val="24"/>
              </w:rPr>
            </w:pPr>
          </w:p>
          <w:p w14:paraId="135A70AE">
            <w:pPr>
              <w:adjustRightInd w:val="0"/>
              <w:snapToGrid w:val="0"/>
              <w:jc w:val="center"/>
              <w:rPr>
                <w:rFonts w:ascii="Times New Roman" w:hAnsi="Times New Roman"/>
                <w:b/>
                <w:color w:val="auto"/>
                <w:sz w:val="24"/>
                <w:szCs w:val="24"/>
              </w:rPr>
            </w:pPr>
          </w:p>
          <w:p w14:paraId="0FA180E1">
            <w:pPr>
              <w:adjustRightInd w:val="0"/>
              <w:snapToGrid w:val="0"/>
              <w:jc w:val="center"/>
              <w:rPr>
                <w:rFonts w:ascii="Times New Roman" w:hAnsi="Times New Roman"/>
                <w:b/>
                <w:color w:val="auto"/>
                <w:sz w:val="24"/>
                <w:szCs w:val="24"/>
              </w:rPr>
            </w:pPr>
          </w:p>
          <w:p w14:paraId="41D9FE05">
            <w:pPr>
              <w:adjustRightInd w:val="0"/>
              <w:snapToGrid w:val="0"/>
              <w:jc w:val="center"/>
              <w:rPr>
                <w:rFonts w:ascii="Times New Roman" w:hAnsi="Times New Roman"/>
                <w:b/>
                <w:color w:val="auto"/>
                <w:sz w:val="24"/>
                <w:szCs w:val="24"/>
              </w:rPr>
            </w:pPr>
          </w:p>
          <w:p w14:paraId="62F2EE31">
            <w:pPr>
              <w:adjustRightInd w:val="0"/>
              <w:snapToGrid w:val="0"/>
              <w:jc w:val="center"/>
              <w:rPr>
                <w:rFonts w:ascii="Times New Roman" w:hAnsi="Times New Roman"/>
                <w:b/>
                <w:color w:val="auto"/>
                <w:sz w:val="24"/>
                <w:szCs w:val="24"/>
              </w:rPr>
            </w:pPr>
          </w:p>
          <w:p w14:paraId="1CA8A89E">
            <w:pPr>
              <w:adjustRightInd w:val="0"/>
              <w:snapToGrid w:val="0"/>
              <w:jc w:val="center"/>
              <w:rPr>
                <w:rFonts w:ascii="Times New Roman" w:hAnsi="Times New Roman"/>
                <w:b/>
                <w:color w:val="auto"/>
                <w:sz w:val="24"/>
                <w:szCs w:val="24"/>
              </w:rPr>
            </w:pPr>
          </w:p>
          <w:p w14:paraId="0D596E92">
            <w:pPr>
              <w:adjustRightInd w:val="0"/>
              <w:snapToGrid w:val="0"/>
              <w:jc w:val="center"/>
              <w:rPr>
                <w:rFonts w:ascii="Times New Roman" w:hAnsi="Times New Roman"/>
                <w:b/>
                <w:color w:val="auto"/>
                <w:sz w:val="24"/>
                <w:szCs w:val="24"/>
              </w:rPr>
            </w:pPr>
          </w:p>
          <w:p w14:paraId="3AF3A138">
            <w:pPr>
              <w:adjustRightInd w:val="0"/>
              <w:snapToGrid w:val="0"/>
              <w:jc w:val="center"/>
              <w:rPr>
                <w:rFonts w:ascii="Times New Roman" w:hAnsi="Times New Roman"/>
                <w:b/>
                <w:color w:val="auto"/>
                <w:sz w:val="24"/>
                <w:szCs w:val="24"/>
              </w:rPr>
            </w:pPr>
          </w:p>
          <w:p w14:paraId="2F7CB471">
            <w:pPr>
              <w:adjustRightInd w:val="0"/>
              <w:snapToGrid w:val="0"/>
              <w:jc w:val="center"/>
              <w:rPr>
                <w:rFonts w:ascii="Times New Roman" w:hAnsi="Times New Roman"/>
                <w:b/>
                <w:color w:val="auto"/>
                <w:sz w:val="24"/>
                <w:szCs w:val="24"/>
              </w:rPr>
            </w:pPr>
          </w:p>
          <w:p w14:paraId="5E231762">
            <w:pPr>
              <w:adjustRightInd w:val="0"/>
              <w:snapToGrid w:val="0"/>
              <w:jc w:val="center"/>
              <w:rPr>
                <w:rFonts w:ascii="Times New Roman" w:hAnsi="Times New Roman"/>
                <w:b/>
                <w:color w:val="auto"/>
                <w:sz w:val="24"/>
                <w:szCs w:val="24"/>
              </w:rPr>
            </w:pPr>
          </w:p>
          <w:p w14:paraId="0344FD9F">
            <w:pPr>
              <w:adjustRightInd w:val="0"/>
              <w:snapToGrid w:val="0"/>
              <w:jc w:val="center"/>
              <w:rPr>
                <w:rFonts w:ascii="Times New Roman" w:hAnsi="Times New Roman"/>
                <w:b/>
                <w:color w:val="auto"/>
                <w:sz w:val="24"/>
                <w:szCs w:val="24"/>
              </w:rPr>
            </w:pPr>
          </w:p>
          <w:p w14:paraId="08C26946">
            <w:pPr>
              <w:adjustRightInd w:val="0"/>
              <w:snapToGrid w:val="0"/>
              <w:jc w:val="center"/>
              <w:rPr>
                <w:rFonts w:ascii="Times New Roman" w:hAnsi="Times New Roman"/>
                <w:b/>
                <w:color w:val="auto"/>
                <w:sz w:val="24"/>
                <w:szCs w:val="24"/>
              </w:rPr>
            </w:pPr>
          </w:p>
          <w:p w14:paraId="254D51DD">
            <w:pPr>
              <w:adjustRightInd w:val="0"/>
              <w:snapToGrid w:val="0"/>
              <w:jc w:val="center"/>
              <w:rPr>
                <w:rFonts w:ascii="Times New Roman" w:hAnsi="Times New Roman"/>
                <w:b/>
                <w:color w:val="auto"/>
                <w:sz w:val="24"/>
                <w:szCs w:val="24"/>
              </w:rPr>
            </w:pPr>
          </w:p>
          <w:p w14:paraId="224A54EF">
            <w:pPr>
              <w:adjustRightInd w:val="0"/>
              <w:snapToGrid w:val="0"/>
              <w:jc w:val="center"/>
              <w:rPr>
                <w:rFonts w:ascii="Times New Roman" w:hAnsi="Times New Roman"/>
                <w:b/>
                <w:color w:val="auto"/>
                <w:sz w:val="24"/>
                <w:szCs w:val="24"/>
              </w:rPr>
            </w:pPr>
          </w:p>
          <w:p w14:paraId="18A90E42">
            <w:pPr>
              <w:adjustRightInd w:val="0"/>
              <w:snapToGrid w:val="0"/>
              <w:jc w:val="center"/>
              <w:rPr>
                <w:rFonts w:ascii="Times New Roman" w:hAnsi="Times New Roman"/>
                <w:b/>
                <w:color w:val="auto"/>
                <w:sz w:val="24"/>
                <w:szCs w:val="24"/>
              </w:rPr>
            </w:pPr>
          </w:p>
          <w:p w14:paraId="2894C95D">
            <w:pPr>
              <w:pStyle w:val="15"/>
              <w:adjustRightInd w:val="0"/>
              <w:snapToGrid w:val="0"/>
              <w:spacing w:line="240" w:lineRule="auto"/>
              <w:rPr>
                <w:rFonts w:ascii="Times New Roman" w:hAnsi="Times New Roman"/>
                <w:b/>
                <w:color w:val="auto"/>
                <w:sz w:val="21"/>
                <w:szCs w:val="21"/>
              </w:rPr>
            </w:pPr>
          </w:p>
        </w:tc>
      </w:tr>
    </w:tbl>
    <w:p w14:paraId="19A0753A">
      <w:pPr>
        <w:pStyle w:val="3"/>
        <w:rPr>
          <w:rFonts w:ascii="Times New Roman" w:hAnsi="Times New Roman"/>
          <w:color w:val="auto"/>
        </w:rPr>
        <w:sectPr>
          <w:pgSz w:w="16839" w:h="11907" w:orient="landscape"/>
          <w:pgMar w:top="1474" w:right="1418" w:bottom="1474" w:left="1418" w:header="850" w:footer="902" w:gutter="0"/>
          <w:pgBorders>
            <w:top w:val="none" w:sz="0" w:space="0"/>
            <w:left w:val="none" w:sz="0" w:space="0"/>
            <w:bottom w:val="none" w:sz="0" w:space="0"/>
            <w:right w:val="none" w:sz="0" w:space="0"/>
          </w:pgBorders>
          <w:cols w:space="425" w:num="1"/>
          <w:docGrid w:type="lines" w:linePitch="312" w:charSpace="0"/>
        </w:sectPr>
      </w:pPr>
      <w:bookmarkStart w:id="100" w:name="_Toc74062918"/>
    </w:p>
    <w:p w14:paraId="3BBDF26F">
      <w:pPr>
        <w:pStyle w:val="3"/>
        <w:rPr>
          <w:rFonts w:ascii="Times New Roman" w:hAnsi="Times New Roman"/>
          <w:color w:val="auto"/>
        </w:rPr>
      </w:pPr>
      <w:r>
        <w:rPr>
          <w:rFonts w:ascii="Times New Roman" w:hAnsi="Times New Roman"/>
          <w:color w:val="auto"/>
        </w:rPr>
        <w:t>七、结论</w:t>
      </w:r>
      <w:bookmarkEnd w:id="100"/>
    </w:p>
    <w:tbl>
      <w:tblPr>
        <w:tblStyle w:val="2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1666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shd w:val="clear" w:color="auto" w:fill="auto"/>
          </w:tcPr>
          <w:p w14:paraId="010A674B">
            <w:p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本项目</w:t>
            </w:r>
            <w:r>
              <w:rPr>
                <w:rFonts w:ascii="Times New Roman" w:hAnsi="Times New Roman"/>
                <w:color w:val="auto"/>
                <w:sz w:val="24"/>
                <w:szCs w:val="24"/>
              </w:rPr>
              <w:t>建设满足</w:t>
            </w:r>
            <w:r>
              <w:rPr>
                <w:rFonts w:hint="eastAsia" w:ascii="Times New Roman" w:hAnsi="Times New Roman"/>
                <w:color w:val="auto"/>
                <w:sz w:val="24"/>
                <w:szCs w:val="24"/>
              </w:rPr>
              <w:t>会泽县</w:t>
            </w:r>
            <w:r>
              <w:rPr>
                <w:rFonts w:ascii="Times New Roman" w:hAnsi="Times New Roman"/>
                <w:color w:val="auto"/>
                <w:sz w:val="24"/>
                <w:szCs w:val="24"/>
              </w:rPr>
              <w:t>用电需求，优化片区电网结构，提高电网供电可靠性；项目符合当地</w:t>
            </w:r>
            <w:r>
              <w:rPr>
                <w:rFonts w:hint="eastAsia" w:ascii="Times New Roman" w:hAnsi="Times New Roman"/>
                <w:color w:val="auto"/>
                <w:sz w:val="24"/>
                <w:szCs w:val="24"/>
              </w:rPr>
              <w:t>总体</w:t>
            </w:r>
            <w:r>
              <w:rPr>
                <w:rFonts w:ascii="Times New Roman" w:hAnsi="Times New Roman"/>
                <w:color w:val="auto"/>
                <w:sz w:val="24"/>
                <w:szCs w:val="24"/>
              </w:rPr>
              <w:t>规划，符合生态</w:t>
            </w:r>
            <w:r>
              <w:rPr>
                <w:rFonts w:hint="eastAsia" w:ascii="Times New Roman" w:hAnsi="Times New Roman"/>
                <w:color w:val="auto"/>
                <w:sz w:val="24"/>
                <w:szCs w:val="24"/>
              </w:rPr>
              <w:t>分区</w:t>
            </w:r>
            <w:r>
              <w:rPr>
                <w:rFonts w:ascii="Times New Roman" w:hAnsi="Times New Roman"/>
                <w:color w:val="auto"/>
                <w:sz w:val="24"/>
                <w:szCs w:val="24"/>
              </w:rPr>
              <w:t>管控要求，符合云南省主体功能区划和云南省生态功能区划。本项目建设及运行的技术成熟、可靠；工程区域及评价范围的水、气、声、生态、电磁等环境质量现状较好，没有制约本工程建设的环境要素</w:t>
            </w:r>
            <w:r>
              <w:rPr>
                <w:rFonts w:hint="eastAsia" w:ascii="Times New Roman" w:hAnsi="Times New Roman"/>
                <w:color w:val="auto"/>
                <w:sz w:val="24"/>
                <w:szCs w:val="24"/>
              </w:rPr>
              <w:t>。</w:t>
            </w:r>
            <w:r>
              <w:rPr>
                <w:rFonts w:ascii="Times New Roman" w:hAnsi="Times New Roman"/>
                <w:color w:val="auto"/>
                <w:sz w:val="24"/>
                <w:szCs w:val="24"/>
              </w:rPr>
              <w:t>输电线路路径走向已经取得了相关规划部门的同意。本工程选址选线不涉及风景名胜区、饮用水水源保护区等环境敏感区域。在落实《报告表》提出的各项环保措施后，本项目产生的各项污染物</w:t>
            </w:r>
            <w:r>
              <w:rPr>
                <w:rFonts w:hint="eastAsia" w:ascii="Times New Roman" w:hAnsi="Times New Roman"/>
                <w:color w:val="auto"/>
                <w:sz w:val="24"/>
                <w:szCs w:val="24"/>
              </w:rPr>
              <w:t>能够</w:t>
            </w:r>
            <w:r>
              <w:rPr>
                <w:rFonts w:ascii="Times New Roman" w:hAnsi="Times New Roman"/>
                <w:color w:val="auto"/>
                <w:sz w:val="24"/>
                <w:szCs w:val="24"/>
              </w:rPr>
              <w:t>满足国家相关标准要求，对环境污染和生态破坏的程度可以接受。从环保角度分析，该项目建设可行。</w:t>
            </w:r>
          </w:p>
          <w:p w14:paraId="072948FE">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综上所述，本工程在建设过程中较好考虑了项目本身与环境的协调，满足规划和有关部门的行政要求，在建设和运行中采取一定的预防和减缓污染措施后，对环境的影响较小。因此，从环境保护的角度分析，</w:t>
            </w:r>
            <w:r>
              <w:rPr>
                <w:rFonts w:hint="eastAsia" w:ascii="Times New Roman" w:hAnsi="Times New Roman"/>
                <w:color w:val="auto"/>
                <w:sz w:val="24"/>
                <w:szCs w:val="24"/>
              </w:rPr>
              <w:t>本</w:t>
            </w:r>
            <w:r>
              <w:rPr>
                <w:rFonts w:ascii="Times New Roman" w:hAnsi="Times New Roman"/>
                <w:color w:val="auto"/>
                <w:sz w:val="24"/>
                <w:szCs w:val="24"/>
              </w:rPr>
              <w:t>工程的建设，是可行的。</w:t>
            </w:r>
          </w:p>
          <w:p w14:paraId="55E1FA36">
            <w:pPr>
              <w:pStyle w:val="15"/>
              <w:rPr>
                <w:rFonts w:ascii="Times New Roman" w:hAnsi="Times New Roman"/>
                <w:color w:val="auto"/>
                <w:sz w:val="24"/>
                <w:szCs w:val="24"/>
              </w:rPr>
            </w:pPr>
          </w:p>
          <w:p w14:paraId="5948C8F6">
            <w:pPr>
              <w:rPr>
                <w:rFonts w:ascii="Times New Roman" w:hAnsi="Times New Roman"/>
                <w:color w:val="auto"/>
                <w:sz w:val="24"/>
                <w:szCs w:val="24"/>
              </w:rPr>
            </w:pPr>
          </w:p>
          <w:p w14:paraId="585277B5">
            <w:pPr>
              <w:pStyle w:val="15"/>
              <w:rPr>
                <w:rFonts w:ascii="Times New Roman" w:hAnsi="Times New Roman"/>
                <w:color w:val="auto"/>
                <w:sz w:val="24"/>
                <w:szCs w:val="24"/>
              </w:rPr>
            </w:pPr>
          </w:p>
          <w:p w14:paraId="6EC73BA2">
            <w:pPr>
              <w:rPr>
                <w:rFonts w:ascii="Times New Roman" w:hAnsi="Times New Roman"/>
                <w:color w:val="auto"/>
                <w:sz w:val="24"/>
                <w:szCs w:val="24"/>
              </w:rPr>
            </w:pPr>
          </w:p>
          <w:p w14:paraId="6C47B0BB">
            <w:pPr>
              <w:pStyle w:val="15"/>
              <w:rPr>
                <w:rFonts w:ascii="Times New Roman" w:hAnsi="Times New Roman"/>
                <w:color w:val="auto"/>
                <w:sz w:val="24"/>
                <w:szCs w:val="24"/>
              </w:rPr>
            </w:pPr>
          </w:p>
          <w:p w14:paraId="1553F1F1">
            <w:pPr>
              <w:rPr>
                <w:rFonts w:ascii="Times New Roman" w:hAnsi="Times New Roman"/>
                <w:color w:val="auto"/>
                <w:sz w:val="24"/>
                <w:szCs w:val="24"/>
              </w:rPr>
            </w:pPr>
          </w:p>
          <w:p w14:paraId="507575B4">
            <w:pPr>
              <w:pStyle w:val="15"/>
              <w:rPr>
                <w:rFonts w:ascii="Times New Roman" w:hAnsi="Times New Roman"/>
                <w:color w:val="auto"/>
                <w:sz w:val="24"/>
                <w:szCs w:val="24"/>
              </w:rPr>
            </w:pPr>
          </w:p>
          <w:p w14:paraId="45315B59">
            <w:pPr>
              <w:rPr>
                <w:rFonts w:ascii="Times New Roman" w:hAnsi="Times New Roman"/>
                <w:color w:val="auto"/>
                <w:sz w:val="24"/>
                <w:szCs w:val="24"/>
              </w:rPr>
            </w:pPr>
          </w:p>
          <w:p w14:paraId="118A40D3">
            <w:pPr>
              <w:pStyle w:val="15"/>
              <w:rPr>
                <w:rFonts w:ascii="Times New Roman" w:hAnsi="Times New Roman"/>
                <w:color w:val="auto"/>
                <w:sz w:val="24"/>
                <w:szCs w:val="24"/>
              </w:rPr>
            </w:pPr>
          </w:p>
          <w:p w14:paraId="7FE589CF">
            <w:pPr>
              <w:rPr>
                <w:rFonts w:ascii="Times New Roman" w:hAnsi="Times New Roman"/>
                <w:color w:val="auto"/>
                <w:sz w:val="24"/>
                <w:szCs w:val="24"/>
              </w:rPr>
            </w:pPr>
          </w:p>
          <w:p w14:paraId="23E4BC04">
            <w:pPr>
              <w:pStyle w:val="15"/>
              <w:rPr>
                <w:rFonts w:ascii="Times New Roman" w:hAnsi="Times New Roman"/>
                <w:color w:val="auto"/>
                <w:sz w:val="24"/>
                <w:szCs w:val="24"/>
              </w:rPr>
            </w:pPr>
          </w:p>
          <w:p w14:paraId="190DBBFF">
            <w:pPr>
              <w:rPr>
                <w:rFonts w:ascii="Times New Roman" w:hAnsi="Times New Roman"/>
                <w:color w:val="auto"/>
                <w:sz w:val="24"/>
                <w:szCs w:val="24"/>
              </w:rPr>
            </w:pPr>
          </w:p>
          <w:p w14:paraId="3EF1F79C">
            <w:pPr>
              <w:pStyle w:val="15"/>
              <w:rPr>
                <w:rFonts w:ascii="Times New Roman" w:hAnsi="Times New Roman"/>
                <w:color w:val="auto"/>
                <w:sz w:val="24"/>
                <w:szCs w:val="24"/>
              </w:rPr>
            </w:pPr>
          </w:p>
          <w:p w14:paraId="63B4EA92">
            <w:pPr>
              <w:rPr>
                <w:rFonts w:ascii="Times New Roman" w:hAnsi="Times New Roman"/>
                <w:color w:val="auto"/>
                <w:sz w:val="24"/>
                <w:szCs w:val="24"/>
              </w:rPr>
            </w:pPr>
          </w:p>
          <w:p w14:paraId="2E97C725">
            <w:pPr>
              <w:pStyle w:val="15"/>
              <w:rPr>
                <w:rFonts w:ascii="Times New Roman" w:hAnsi="Times New Roman"/>
                <w:color w:val="auto"/>
                <w:sz w:val="24"/>
                <w:szCs w:val="24"/>
              </w:rPr>
            </w:pPr>
          </w:p>
          <w:p w14:paraId="0FBFA3B2">
            <w:pPr>
              <w:rPr>
                <w:rFonts w:ascii="Times New Roman" w:hAnsi="Times New Roman"/>
                <w:color w:val="auto"/>
                <w:sz w:val="24"/>
                <w:szCs w:val="24"/>
              </w:rPr>
            </w:pPr>
          </w:p>
          <w:p w14:paraId="45F7A18E">
            <w:pPr>
              <w:pStyle w:val="15"/>
              <w:rPr>
                <w:rFonts w:ascii="Times New Roman" w:hAnsi="Times New Roman"/>
                <w:color w:val="auto"/>
                <w:sz w:val="24"/>
                <w:szCs w:val="24"/>
              </w:rPr>
            </w:pPr>
          </w:p>
          <w:p w14:paraId="47FD9FC6">
            <w:pPr>
              <w:rPr>
                <w:rFonts w:ascii="Times New Roman" w:hAnsi="Times New Roman"/>
                <w:color w:val="auto"/>
                <w:sz w:val="24"/>
                <w:szCs w:val="24"/>
              </w:rPr>
            </w:pPr>
          </w:p>
          <w:p w14:paraId="67E74AF1">
            <w:pPr>
              <w:pStyle w:val="15"/>
              <w:rPr>
                <w:rFonts w:ascii="Times New Roman" w:hAnsi="Times New Roman"/>
                <w:color w:val="auto"/>
                <w:sz w:val="24"/>
                <w:szCs w:val="24"/>
              </w:rPr>
            </w:pPr>
          </w:p>
          <w:p w14:paraId="2F32DB7D">
            <w:pPr>
              <w:rPr>
                <w:rFonts w:ascii="Times New Roman" w:hAnsi="Times New Roman"/>
                <w:color w:val="auto"/>
                <w:sz w:val="24"/>
                <w:szCs w:val="24"/>
              </w:rPr>
            </w:pPr>
          </w:p>
          <w:p w14:paraId="4D1B1F61">
            <w:pPr>
              <w:pStyle w:val="15"/>
              <w:rPr>
                <w:rFonts w:ascii="Times New Roman" w:hAnsi="Times New Roman"/>
                <w:color w:val="auto"/>
                <w:sz w:val="24"/>
                <w:szCs w:val="24"/>
              </w:rPr>
            </w:pPr>
          </w:p>
          <w:p w14:paraId="248FA554">
            <w:pPr>
              <w:rPr>
                <w:color w:val="auto"/>
              </w:rPr>
            </w:pPr>
          </w:p>
          <w:p w14:paraId="35C6603B">
            <w:pPr>
              <w:spacing w:line="360" w:lineRule="auto"/>
              <w:ind w:firstLine="420" w:firstLineChars="200"/>
              <w:rPr>
                <w:rFonts w:ascii="Times New Roman" w:hAnsi="Times New Roman"/>
                <w:color w:val="auto"/>
              </w:rPr>
            </w:pPr>
          </w:p>
        </w:tc>
      </w:tr>
    </w:tbl>
    <w:p w14:paraId="0C46DB4F">
      <w:pPr>
        <w:adjustRightInd w:val="0"/>
        <w:snapToGrid w:val="0"/>
        <w:jc w:val="center"/>
        <w:rPr>
          <w:rFonts w:hint="eastAsia" w:ascii="Times New Roman" w:hAnsi="Times New Roman" w:cs="Times New Roman" w:eastAsiaTheme="minorEastAsia"/>
          <w:b/>
          <w:color w:val="auto"/>
          <w:sz w:val="52"/>
        </w:rPr>
      </w:pPr>
    </w:p>
    <w:p w14:paraId="1A7E3098">
      <w:pPr>
        <w:adjustRightInd w:val="0"/>
        <w:snapToGrid w:val="0"/>
        <w:jc w:val="center"/>
        <w:rPr>
          <w:rFonts w:ascii="Times New Roman" w:hAnsi="Times New Roman" w:eastAsia="Times New Roman" w:cs="Times New Roman"/>
          <w:b/>
          <w:color w:val="auto"/>
          <w:sz w:val="52"/>
        </w:rPr>
      </w:pPr>
    </w:p>
    <w:p w14:paraId="21D07A06">
      <w:pPr>
        <w:pStyle w:val="15"/>
        <w:rPr>
          <w:rFonts w:hint="eastAsia" w:ascii="Times New Roman" w:hAnsi="Times New Roman" w:cs="Times New Roman"/>
          <w:color w:val="auto"/>
        </w:rPr>
      </w:pPr>
    </w:p>
    <w:p w14:paraId="3993405C">
      <w:pPr>
        <w:pStyle w:val="2"/>
        <w:jc w:val="center"/>
        <w:rPr>
          <w:rFonts w:hint="eastAsia" w:ascii="Times New Roman" w:hAnsi="Times New Roman" w:cs="Times New Roman"/>
          <w:b/>
          <w:color w:val="auto"/>
          <w:sz w:val="58"/>
        </w:rPr>
      </w:pPr>
      <w:r>
        <w:rPr>
          <w:rFonts w:hint="eastAsia" w:cs="Times New Roman"/>
          <w:b/>
          <w:color w:val="auto"/>
          <w:sz w:val="44"/>
          <w:szCs w:val="44"/>
          <w:lang w:eastAsia="zh-CN"/>
        </w:rPr>
        <w:t>六合一至乐业变220kV送出线路工程</w:t>
      </w:r>
    </w:p>
    <w:p w14:paraId="26F5D6C8">
      <w:pPr>
        <w:pStyle w:val="2"/>
        <w:spacing w:before="8"/>
        <w:rPr>
          <w:rFonts w:hint="eastAsia" w:ascii="Times New Roman" w:hAnsi="Times New Roman" w:cs="Times New Roman"/>
          <w:b/>
          <w:color w:val="auto"/>
          <w:sz w:val="57"/>
        </w:rPr>
      </w:pPr>
    </w:p>
    <w:p w14:paraId="06BF9A72">
      <w:pPr>
        <w:adjustRightInd w:val="0"/>
        <w:snapToGrid w:val="0"/>
        <w:jc w:val="center"/>
        <w:outlineLvl w:val="0"/>
        <w:rPr>
          <w:rFonts w:hint="eastAsia" w:ascii="Times New Roman" w:hAnsi="Times New Roman" w:cs="Times New Roman"/>
          <w:b/>
          <w:color w:val="auto"/>
          <w:sz w:val="52"/>
        </w:rPr>
      </w:pPr>
      <w:bookmarkStart w:id="101" w:name="电磁环境影响"/>
      <w:bookmarkEnd w:id="101"/>
      <w:bookmarkStart w:id="102" w:name="_Toc26603"/>
      <w:bookmarkStart w:id="103" w:name="_Toc3096"/>
      <w:bookmarkStart w:id="104" w:name="_Toc20769"/>
      <w:bookmarkStart w:id="105" w:name="_Toc24149"/>
      <w:bookmarkStart w:id="106" w:name="_Toc32375"/>
      <w:r>
        <w:rPr>
          <w:rFonts w:ascii="Times New Roman" w:hAnsi="Times New Roman" w:cs="Times New Roman"/>
          <w:b/>
          <w:color w:val="auto"/>
          <w:sz w:val="52"/>
        </w:rPr>
        <w:t>电磁环境影响</w:t>
      </w:r>
      <w:bookmarkEnd w:id="102"/>
      <w:bookmarkEnd w:id="103"/>
      <w:bookmarkEnd w:id="104"/>
      <w:bookmarkEnd w:id="105"/>
      <w:bookmarkEnd w:id="106"/>
    </w:p>
    <w:p w14:paraId="219C276A">
      <w:pPr>
        <w:pStyle w:val="2"/>
        <w:rPr>
          <w:rFonts w:hint="eastAsia" w:ascii="Times New Roman" w:hAnsi="Times New Roman" w:cs="Times New Roman"/>
          <w:b/>
          <w:color w:val="auto"/>
          <w:sz w:val="52"/>
        </w:rPr>
      </w:pPr>
    </w:p>
    <w:p w14:paraId="7EA44274">
      <w:pPr>
        <w:pStyle w:val="2"/>
        <w:rPr>
          <w:rFonts w:hint="eastAsia" w:ascii="Times New Roman" w:hAnsi="Times New Roman" w:cs="Times New Roman"/>
          <w:b/>
          <w:color w:val="auto"/>
          <w:sz w:val="52"/>
        </w:rPr>
      </w:pPr>
    </w:p>
    <w:p w14:paraId="036952C3">
      <w:pPr>
        <w:pStyle w:val="2"/>
        <w:rPr>
          <w:rFonts w:hint="eastAsia" w:ascii="Times New Roman" w:hAnsi="Times New Roman" w:cs="Times New Roman"/>
          <w:b/>
          <w:color w:val="auto"/>
          <w:sz w:val="52"/>
        </w:rPr>
      </w:pPr>
    </w:p>
    <w:p w14:paraId="13CF2063">
      <w:pPr>
        <w:pStyle w:val="2"/>
        <w:spacing w:before="9"/>
        <w:rPr>
          <w:rFonts w:hint="eastAsia" w:ascii="Times New Roman" w:hAnsi="Times New Roman" w:cs="Times New Roman"/>
          <w:b/>
          <w:color w:val="auto"/>
          <w:sz w:val="37"/>
        </w:rPr>
      </w:pPr>
    </w:p>
    <w:p w14:paraId="5BAA49B1">
      <w:pPr>
        <w:pStyle w:val="3"/>
        <w:adjustRightInd w:val="0"/>
        <w:snapToGrid w:val="0"/>
        <w:rPr>
          <w:rFonts w:hint="eastAsia" w:ascii="Times New Roman" w:hAnsi="Times New Roman" w:cs="Times New Roman"/>
          <w:color w:val="auto"/>
          <w:sz w:val="72"/>
        </w:rPr>
        <w:sectPr>
          <w:headerReference r:id="rId9" w:type="default"/>
          <w:pgSz w:w="11907" w:h="16839"/>
          <w:pgMar w:top="1418" w:right="1531" w:bottom="1418" w:left="1531" w:header="794" w:footer="902" w:gutter="0"/>
          <w:pgBorders>
            <w:top w:val="none" w:sz="0" w:space="0"/>
            <w:left w:val="none" w:sz="0" w:space="0"/>
            <w:bottom w:val="none" w:sz="0" w:space="0"/>
            <w:right w:val="none" w:sz="0" w:space="0"/>
          </w:pgBorders>
          <w:cols w:space="425" w:num="1"/>
          <w:docGrid w:type="lines" w:linePitch="312" w:charSpace="0"/>
        </w:sectPr>
      </w:pPr>
      <w:bookmarkStart w:id="107" w:name="专题评价报告"/>
      <w:bookmarkEnd w:id="107"/>
      <w:bookmarkStart w:id="108" w:name="_Toc13202"/>
      <w:bookmarkStart w:id="109" w:name="_Toc17204"/>
      <w:bookmarkStart w:id="110" w:name="_Toc1384"/>
      <w:bookmarkStart w:id="111" w:name="_Toc9410"/>
      <w:bookmarkStart w:id="112" w:name="_Toc201"/>
      <w:r>
        <w:rPr>
          <w:rFonts w:ascii="Times New Roman" w:hAnsi="Times New Roman" w:cs="Times New Roman"/>
          <w:color w:val="auto"/>
          <w:sz w:val="72"/>
        </w:rPr>
        <w:t>专题评价报告</w:t>
      </w:r>
      <w:bookmarkEnd w:id="108"/>
      <w:bookmarkEnd w:id="109"/>
      <w:bookmarkEnd w:id="110"/>
      <w:bookmarkEnd w:id="111"/>
      <w:bookmarkEnd w:id="112"/>
    </w:p>
    <w:sdt>
      <w:sdtPr>
        <w:rPr>
          <w:rFonts w:ascii="Times New Roman" w:hAnsi="Times New Roman" w:cs="Times New Roman"/>
          <w:b/>
          <w:bCs/>
          <w:color w:val="auto"/>
          <w:sz w:val="28"/>
          <w:szCs w:val="28"/>
        </w:rPr>
        <w:id w:val="147471030"/>
        <w15:color w:val="DBDBDB"/>
        <w:docPartObj>
          <w:docPartGallery w:val="Table of Contents"/>
          <w:docPartUnique/>
        </w:docPartObj>
      </w:sdtPr>
      <w:sdtEndPr>
        <w:rPr>
          <w:rFonts w:ascii="Times New Roman" w:hAnsi="Times New Roman" w:cs="Times New Roman"/>
          <w:b/>
          <w:bCs/>
          <w:color w:val="auto"/>
          <w:sz w:val="21"/>
          <w:szCs w:val="22"/>
        </w:rPr>
      </w:sdtEndPr>
      <w:sdtContent>
        <w:p w14:paraId="372CF438">
          <w:pPr>
            <w:adjustRightInd w:val="0"/>
            <w:snapToGrid w:val="0"/>
            <w:spacing w:line="440" w:lineRule="exact"/>
            <w:jc w:val="center"/>
            <w:rPr>
              <w:rFonts w:ascii="Times New Roman" w:hAnsi="Times New Roman"/>
              <w:color w:val="auto"/>
              <w:szCs w:val="21"/>
            </w:rPr>
          </w:pPr>
          <w:r>
            <w:rPr>
              <w:rFonts w:ascii="Times New Roman" w:hAnsi="Times New Roman" w:cs="Times New Roman"/>
              <w:b/>
              <w:bCs/>
              <w:color w:val="auto"/>
              <w:sz w:val="28"/>
              <w:szCs w:val="28"/>
            </w:rPr>
            <w:t>目  录</w:t>
          </w:r>
          <w:r>
            <w:rPr>
              <w:rFonts w:ascii="Times New Roman" w:hAnsi="Times New Roman"/>
              <w:color w:val="auto"/>
              <w:szCs w:val="21"/>
            </w:rPr>
            <w:fldChar w:fldCharType="begin"/>
          </w:r>
          <w:r>
            <w:rPr>
              <w:rFonts w:ascii="Times New Roman" w:hAnsi="Times New Roman"/>
              <w:color w:val="auto"/>
              <w:szCs w:val="21"/>
            </w:rPr>
            <w:instrText xml:space="preserve">TOC \o "1-3" \h \u </w:instrText>
          </w:r>
          <w:r>
            <w:rPr>
              <w:rFonts w:ascii="Times New Roman" w:hAnsi="Times New Roman"/>
              <w:color w:val="auto"/>
              <w:szCs w:val="21"/>
            </w:rPr>
            <w:fldChar w:fldCharType="separate"/>
          </w:r>
        </w:p>
        <w:p w14:paraId="4F5150C4">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"_Toc6381" </w:instrText>
          </w:r>
          <w:r>
            <w:rPr>
              <w:color w:val="auto"/>
            </w:rPr>
            <w:fldChar w:fldCharType="separate"/>
          </w:r>
          <w:r>
            <w:rPr>
              <w:rFonts w:ascii="Times New Roman" w:hAnsi="Times New Roman"/>
              <w:color w:val="auto"/>
              <w:szCs w:val="21"/>
            </w:rPr>
            <w:t>1 前言</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_Toc6381 \h </w:instrText>
          </w:r>
          <w:r>
            <w:rPr>
              <w:rFonts w:ascii="Times New Roman" w:hAnsi="Times New Roman"/>
              <w:color w:val="auto"/>
              <w:szCs w:val="21"/>
            </w:rPr>
            <w:fldChar w:fldCharType="separate"/>
          </w:r>
          <w:r>
            <w:rPr>
              <w:rFonts w:ascii="Times New Roman" w:hAnsi="Times New Roman"/>
              <w:color w:val="auto"/>
              <w:szCs w:val="21"/>
            </w:rPr>
            <w:t>1</w:t>
          </w:r>
          <w:r>
            <w:rPr>
              <w:rFonts w:ascii="Times New Roman" w:hAnsi="Times New Roman"/>
              <w:color w:val="auto"/>
              <w:szCs w:val="21"/>
            </w:rPr>
            <w:fldChar w:fldCharType="end"/>
          </w:r>
          <w:r>
            <w:rPr>
              <w:rFonts w:ascii="Times New Roman" w:hAnsi="Times New Roman"/>
              <w:color w:val="auto"/>
              <w:szCs w:val="21"/>
            </w:rPr>
            <w:fldChar w:fldCharType="end"/>
          </w:r>
        </w:p>
        <w:p w14:paraId="300C9873">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"_Toc26888" </w:instrText>
          </w:r>
          <w:r>
            <w:rPr>
              <w:color w:val="auto"/>
            </w:rPr>
            <w:fldChar w:fldCharType="separate"/>
          </w:r>
          <w:r>
            <w:rPr>
              <w:rFonts w:ascii="Times New Roman" w:hAnsi="Times New Roman"/>
              <w:color w:val="auto"/>
              <w:szCs w:val="21"/>
            </w:rPr>
            <w:t>2总则</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_Toc26888 \h </w:instrText>
          </w:r>
          <w:r>
            <w:rPr>
              <w:rFonts w:ascii="Times New Roman" w:hAnsi="Times New Roman"/>
              <w:color w:val="auto"/>
              <w:szCs w:val="21"/>
            </w:rPr>
            <w:fldChar w:fldCharType="separate"/>
          </w:r>
          <w:r>
            <w:rPr>
              <w:rFonts w:ascii="Times New Roman" w:hAnsi="Times New Roman"/>
              <w:color w:val="auto"/>
              <w:szCs w:val="21"/>
            </w:rPr>
            <w:t>2</w:t>
          </w:r>
          <w:r>
            <w:rPr>
              <w:rFonts w:ascii="Times New Roman" w:hAnsi="Times New Roman"/>
              <w:color w:val="auto"/>
              <w:szCs w:val="21"/>
            </w:rPr>
            <w:fldChar w:fldCharType="end"/>
          </w:r>
          <w:r>
            <w:rPr>
              <w:rFonts w:ascii="Times New Roman" w:hAnsi="Times New Roman"/>
              <w:color w:val="auto"/>
              <w:szCs w:val="21"/>
            </w:rPr>
            <w:fldChar w:fldCharType="end"/>
          </w:r>
        </w:p>
        <w:p w14:paraId="29A9D6CB">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"_Toc32146" </w:instrText>
          </w:r>
          <w:r>
            <w:rPr>
              <w:color w:val="auto"/>
            </w:rPr>
            <w:fldChar w:fldCharType="separate"/>
          </w:r>
          <w:r>
            <w:rPr>
              <w:rFonts w:ascii="Times New Roman" w:hAnsi="Times New Roman"/>
              <w:b w:val="0"/>
              <w:color w:val="auto"/>
              <w:sz w:val="21"/>
              <w:szCs w:val="21"/>
            </w:rPr>
            <w:t>2.1 编制依据</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_Toc32146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2</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4ACF1A71">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"_Toc1871" </w:instrText>
          </w:r>
          <w:r>
            <w:rPr>
              <w:color w:val="auto"/>
            </w:rPr>
            <w:fldChar w:fldCharType="separate"/>
          </w:r>
          <w:r>
            <w:rPr>
              <w:rFonts w:ascii="Times New Roman" w:hAnsi="Times New Roman"/>
              <w:color w:val="auto"/>
              <w:szCs w:val="21"/>
            </w:rPr>
            <w:t>2.1.1 环境保护法规、条例</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_Toc1871 \h </w:instrText>
          </w:r>
          <w:r>
            <w:rPr>
              <w:rFonts w:ascii="Times New Roman" w:hAnsi="Times New Roman"/>
              <w:color w:val="auto"/>
              <w:szCs w:val="21"/>
            </w:rPr>
            <w:fldChar w:fldCharType="separate"/>
          </w:r>
          <w:r>
            <w:rPr>
              <w:rFonts w:ascii="Times New Roman" w:hAnsi="Times New Roman"/>
              <w:color w:val="auto"/>
              <w:szCs w:val="21"/>
            </w:rPr>
            <w:t>2</w:t>
          </w:r>
          <w:r>
            <w:rPr>
              <w:rFonts w:ascii="Times New Roman" w:hAnsi="Times New Roman"/>
              <w:color w:val="auto"/>
              <w:szCs w:val="21"/>
            </w:rPr>
            <w:fldChar w:fldCharType="end"/>
          </w:r>
          <w:r>
            <w:rPr>
              <w:rFonts w:ascii="Times New Roman" w:hAnsi="Times New Roman"/>
              <w:color w:val="auto"/>
              <w:szCs w:val="21"/>
            </w:rPr>
            <w:fldChar w:fldCharType="end"/>
          </w:r>
        </w:p>
        <w:p w14:paraId="462086E5">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"_Toc21051" </w:instrText>
          </w:r>
          <w:r>
            <w:rPr>
              <w:color w:val="auto"/>
            </w:rPr>
            <w:fldChar w:fldCharType="separate"/>
          </w:r>
          <w:r>
            <w:rPr>
              <w:rFonts w:ascii="Times New Roman" w:hAnsi="Times New Roman"/>
              <w:color w:val="auto"/>
              <w:szCs w:val="21"/>
            </w:rPr>
            <w:t>2.1.2 相关的标准和技术导则</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_Toc21051 \h </w:instrText>
          </w:r>
          <w:r>
            <w:rPr>
              <w:rFonts w:ascii="Times New Roman" w:hAnsi="Times New Roman"/>
              <w:color w:val="auto"/>
              <w:szCs w:val="21"/>
            </w:rPr>
            <w:fldChar w:fldCharType="separate"/>
          </w:r>
          <w:r>
            <w:rPr>
              <w:rFonts w:ascii="Times New Roman" w:hAnsi="Times New Roman"/>
              <w:color w:val="auto"/>
              <w:szCs w:val="21"/>
            </w:rPr>
            <w:t>2</w:t>
          </w:r>
          <w:r>
            <w:rPr>
              <w:rFonts w:ascii="Times New Roman" w:hAnsi="Times New Roman"/>
              <w:color w:val="auto"/>
              <w:szCs w:val="21"/>
            </w:rPr>
            <w:fldChar w:fldCharType="end"/>
          </w:r>
          <w:r>
            <w:rPr>
              <w:rFonts w:ascii="Times New Roman" w:hAnsi="Times New Roman"/>
              <w:color w:val="auto"/>
              <w:szCs w:val="21"/>
            </w:rPr>
            <w:fldChar w:fldCharType="end"/>
          </w:r>
        </w:p>
        <w:p w14:paraId="2689DDC1">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"_Toc16000" </w:instrText>
          </w:r>
          <w:r>
            <w:rPr>
              <w:color w:val="auto"/>
            </w:rPr>
            <w:fldChar w:fldCharType="separate"/>
          </w:r>
          <w:r>
            <w:rPr>
              <w:rFonts w:ascii="Times New Roman" w:hAnsi="Times New Roman"/>
              <w:b w:val="0"/>
              <w:color w:val="auto"/>
              <w:sz w:val="21"/>
              <w:szCs w:val="21"/>
            </w:rPr>
            <w:t>2.2 环境影响评价因子与评价标准</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_Toc16000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2</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3C968573">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"_Toc16966" </w:instrText>
          </w:r>
          <w:r>
            <w:rPr>
              <w:color w:val="auto"/>
            </w:rPr>
            <w:fldChar w:fldCharType="separate"/>
          </w:r>
          <w:r>
            <w:rPr>
              <w:rFonts w:ascii="Times New Roman" w:hAnsi="Times New Roman"/>
              <w:color w:val="auto"/>
              <w:szCs w:val="21"/>
            </w:rPr>
            <w:t>2.2.1 评价因子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_Toc16966 \h </w:instrText>
          </w:r>
          <w:r>
            <w:rPr>
              <w:rFonts w:ascii="Times New Roman" w:hAnsi="Times New Roman"/>
              <w:color w:val="auto"/>
              <w:szCs w:val="21"/>
            </w:rPr>
            <w:fldChar w:fldCharType="separate"/>
          </w:r>
          <w:r>
            <w:rPr>
              <w:rFonts w:ascii="Times New Roman" w:hAnsi="Times New Roman"/>
              <w:color w:val="auto"/>
              <w:szCs w:val="21"/>
            </w:rPr>
            <w:t>2</w:t>
          </w:r>
          <w:r>
            <w:rPr>
              <w:rFonts w:ascii="Times New Roman" w:hAnsi="Times New Roman"/>
              <w:color w:val="auto"/>
              <w:szCs w:val="21"/>
            </w:rPr>
            <w:fldChar w:fldCharType="end"/>
          </w:r>
          <w:r>
            <w:rPr>
              <w:rFonts w:ascii="Times New Roman" w:hAnsi="Times New Roman"/>
              <w:color w:val="auto"/>
              <w:szCs w:val="21"/>
            </w:rPr>
            <w:fldChar w:fldCharType="end"/>
          </w:r>
        </w:p>
        <w:p w14:paraId="4826C477">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"_Toc3614" </w:instrText>
          </w:r>
          <w:r>
            <w:rPr>
              <w:color w:val="auto"/>
            </w:rPr>
            <w:fldChar w:fldCharType="separate"/>
          </w:r>
          <w:r>
            <w:rPr>
              <w:rFonts w:ascii="Times New Roman" w:hAnsi="Times New Roman"/>
              <w:color w:val="auto"/>
              <w:szCs w:val="21"/>
            </w:rPr>
            <w:t>2.2.2 评价标准</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_Toc3614 \h </w:instrText>
          </w:r>
          <w:r>
            <w:rPr>
              <w:rFonts w:ascii="Times New Roman" w:hAnsi="Times New Roman"/>
              <w:color w:val="auto"/>
              <w:szCs w:val="21"/>
            </w:rPr>
            <w:fldChar w:fldCharType="separate"/>
          </w:r>
          <w:r>
            <w:rPr>
              <w:rFonts w:ascii="Times New Roman" w:hAnsi="Times New Roman"/>
              <w:color w:val="auto"/>
              <w:szCs w:val="21"/>
            </w:rPr>
            <w:t>2</w:t>
          </w:r>
          <w:r>
            <w:rPr>
              <w:rFonts w:ascii="Times New Roman" w:hAnsi="Times New Roman"/>
              <w:color w:val="auto"/>
              <w:szCs w:val="21"/>
            </w:rPr>
            <w:fldChar w:fldCharType="end"/>
          </w:r>
          <w:r>
            <w:rPr>
              <w:rFonts w:ascii="Times New Roman" w:hAnsi="Times New Roman"/>
              <w:color w:val="auto"/>
              <w:szCs w:val="21"/>
            </w:rPr>
            <w:fldChar w:fldCharType="end"/>
          </w:r>
        </w:p>
        <w:p w14:paraId="55E21E66">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"_Toc21065" </w:instrText>
          </w:r>
          <w:r>
            <w:rPr>
              <w:color w:val="auto"/>
            </w:rPr>
            <w:fldChar w:fldCharType="separate"/>
          </w:r>
          <w:r>
            <w:rPr>
              <w:rFonts w:ascii="Times New Roman" w:hAnsi="Times New Roman"/>
              <w:b w:val="0"/>
              <w:color w:val="auto"/>
              <w:sz w:val="21"/>
              <w:szCs w:val="21"/>
            </w:rPr>
            <w:t>2.3 环境影响评价工作等级</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_Toc21065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3</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11B0F3BF">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"_Toc18207" </w:instrText>
          </w:r>
          <w:r>
            <w:rPr>
              <w:color w:val="auto"/>
            </w:rPr>
            <w:fldChar w:fldCharType="separate"/>
          </w:r>
          <w:r>
            <w:rPr>
              <w:rFonts w:ascii="Times New Roman" w:hAnsi="Times New Roman"/>
              <w:b w:val="0"/>
              <w:color w:val="auto"/>
              <w:sz w:val="21"/>
              <w:szCs w:val="21"/>
            </w:rPr>
            <w:t>2.4 评价范围</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_Toc18207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3</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752154DA">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"_Toc15179" </w:instrText>
          </w:r>
          <w:r>
            <w:rPr>
              <w:color w:val="auto"/>
            </w:rPr>
            <w:fldChar w:fldCharType="separate"/>
          </w:r>
          <w:r>
            <w:rPr>
              <w:rFonts w:ascii="Times New Roman" w:hAnsi="Times New Roman"/>
              <w:b w:val="0"/>
              <w:color w:val="auto"/>
              <w:sz w:val="21"/>
              <w:szCs w:val="21"/>
            </w:rPr>
            <w:t>2.5 环境敏感目标</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_Toc15179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3</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2B1D94C8">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"_Toc25260" </w:instrText>
          </w:r>
          <w:r>
            <w:rPr>
              <w:color w:val="auto"/>
            </w:rPr>
            <w:fldChar w:fldCharType="separate"/>
          </w:r>
          <w:r>
            <w:rPr>
              <w:rFonts w:ascii="Times New Roman" w:hAnsi="Times New Roman"/>
              <w:b w:val="0"/>
              <w:color w:val="auto"/>
              <w:sz w:val="21"/>
              <w:szCs w:val="21"/>
            </w:rPr>
            <w:t>2.6 评价重点</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_Toc25260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6</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3DDBD6B5">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"_Toc11530" </w:instrText>
          </w:r>
          <w:r>
            <w:rPr>
              <w:color w:val="auto"/>
            </w:rPr>
            <w:fldChar w:fldCharType="separate"/>
          </w:r>
          <w:r>
            <w:rPr>
              <w:rFonts w:ascii="Times New Roman" w:hAnsi="Times New Roman"/>
              <w:color w:val="auto"/>
              <w:szCs w:val="21"/>
            </w:rPr>
            <w:t>3 工程概况</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_Toc11530 \h </w:instrText>
          </w:r>
          <w:r>
            <w:rPr>
              <w:rFonts w:ascii="Times New Roman" w:hAnsi="Times New Roman"/>
              <w:color w:val="auto"/>
              <w:szCs w:val="21"/>
            </w:rPr>
            <w:fldChar w:fldCharType="separate"/>
          </w:r>
          <w:r>
            <w:rPr>
              <w:rFonts w:ascii="Times New Roman" w:hAnsi="Times New Roman"/>
              <w:color w:val="auto"/>
              <w:szCs w:val="21"/>
            </w:rPr>
            <w:t>7</w:t>
          </w:r>
          <w:r>
            <w:rPr>
              <w:rFonts w:ascii="Times New Roman" w:hAnsi="Times New Roman"/>
              <w:color w:val="auto"/>
              <w:szCs w:val="21"/>
            </w:rPr>
            <w:fldChar w:fldCharType="end"/>
          </w:r>
          <w:r>
            <w:rPr>
              <w:rFonts w:ascii="Times New Roman" w:hAnsi="Times New Roman"/>
              <w:color w:val="auto"/>
              <w:szCs w:val="21"/>
            </w:rPr>
            <w:fldChar w:fldCharType="end"/>
          </w:r>
        </w:p>
        <w:p w14:paraId="26B43D9A">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"_Toc26591" </w:instrText>
          </w:r>
          <w:r>
            <w:rPr>
              <w:color w:val="auto"/>
            </w:rPr>
            <w:fldChar w:fldCharType="separate"/>
          </w:r>
          <w:r>
            <w:rPr>
              <w:rFonts w:ascii="Times New Roman" w:hAnsi="Times New Roman"/>
              <w:b w:val="0"/>
              <w:color w:val="auto"/>
              <w:sz w:val="21"/>
              <w:szCs w:val="21"/>
            </w:rPr>
            <w:t>3.1项目组成及规模</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_Toc26591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7</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3EB312C6">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"_Toc5955" </w:instrText>
          </w:r>
          <w:r>
            <w:rPr>
              <w:color w:val="auto"/>
            </w:rPr>
            <w:fldChar w:fldCharType="separate"/>
          </w:r>
          <w:r>
            <w:rPr>
              <w:rFonts w:ascii="Times New Roman" w:hAnsi="Times New Roman"/>
              <w:b w:val="0"/>
              <w:color w:val="auto"/>
              <w:sz w:val="21"/>
              <w:szCs w:val="21"/>
            </w:rPr>
            <w:t>3.2 电磁环境影响因素识别</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_Toc5955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12</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6EAD3DD0">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"_Toc8291" </w:instrText>
          </w:r>
          <w:r>
            <w:rPr>
              <w:color w:val="auto"/>
            </w:rPr>
            <w:fldChar w:fldCharType="separate"/>
          </w:r>
          <w:r>
            <w:rPr>
              <w:rFonts w:ascii="Times New Roman" w:hAnsi="Times New Roman"/>
              <w:color w:val="auto"/>
              <w:szCs w:val="21"/>
            </w:rPr>
            <w:t>3.2.1施工期</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_Toc8291 \h </w:instrText>
          </w:r>
          <w:r>
            <w:rPr>
              <w:rFonts w:ascii="Times New Roman" w:hAnsi="Times New Roman"/>
              <w:color w:val="auto"/>
              <w:szCs w:val="21"/>
            </w:rPr>
            <w:fldChar w:fldCharType="separate"/>
          </w:r>
          <w:r>
            <w:rPr>
              <w:rFonts w:ascii="Times New Roman" w:hAnsi="Times New Roman"/>
              <w:color w:val="auto"/>
              <w:szCs w:val="21"/>
            </w:rPr>
            <w:t>12</w:t>
          </w:r>
          <w:r>
            <w:rPr>
              <w:rFonts w:ascii="Times New Roman" w:hAnsi="Times New Roman"/>
              <w:color w:val="auto"/>
              <w:szCs w:val="21"/>
            </w:rPr>
            <w:fldChar w:fldCharType="end"/>
          </w:r>
          <w:r>
            <w:rPr>
              <w:rFonts w:ascii="Times New Roman" w:hAnsi="Times New Roman"/>
              <w:color w:val="auto"/>
              <w:szCs w:val="21"/>
            </w:rPr>
            <w:fldChar w:fldCharType="end"/>
          </w:r>
        </w:p>
        <w:p w14:paraId="528C286B">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"_Toc23117" </w:instrText>
          </w:r>
          <w:r>
            <w:rPr>
              <w:color w:val="auto"/>
            </w:rPr>
            <w:fldChar w:fldCharType="separate"/>
          </w:r>
          <w:r>
            <w:rPr>
              <w:rFonts w:ascii="Times New Roman" w:hAnsi="Times New Roman"/>
              <w:color w:val="auto"/>
              <w:szCs w:val="21"/>
            </w:rPr>
            <w:t>3.2.2运行期</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_Toc23117 \h </w:instrText>
          </w:r>
          <w:r>
            <w:rPr>
              <w:rFonts w:ascii="Times New Roman" w:hAnsi="Times New Roman"/>
              <w:color w:val="auto"/>
              <w:szCs w:val="21"/>
            </w:rPr>
            <w:fldChar w:fldCharType="separate"/>
          </w:r>
          <w:r>
            <w:rPr>
              <w:rFonts w:ascii="Times New Roman" w:hAnsi="Times New Roman"/>
              <w:color w:val="auto"/>
              <w:szCs w:val="21"/>
            </w:rPr>
            <w:t>12</w:t>
          </w:r>
          <w:r>
            <w:rPr>
              <w:rFonts w:ascii="Times New Roman" w:hAnsi="Times New Roman"/>
              <w:color w:val="auto"/>
              <w:szCs w:val="21"/>
            </w:rPr>
            <w:fldChar w:fldCharType="end"/>
          </w:r>
          <w:r>
            <w:rPr>
              <w:rFonts w:ascii="Times New Roman" w:hAnsi="Times New Roman"/>
              <w:color w:val="auto"/>
              <w:szCs w:val="21"/>
            </w:rPr>
            <w:fldChar w:fldCharType="end"/>
          </w:r>
        </w:p>
        <w:p w14:paraId="08FF2AA9">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"_Toc6948" </w:instrText>
          </w:r>
          <w:r>
            <w:rPr>
              <w:color w:val="auto"/>
            </w:rPr>
            <w:fldChar w:fldCharType="separate"/>
          </w:r>
          <w:r>
            <w:rPr>
              <w:rFonts w:ascii="Times New Roman" w:hAnsi="Times New Roman"/>
              <w:color w:val="auto"/>
              <w:szCs w:val="21"/>
            </w:rPr>
            <w:t>4 电磁环境质量现状</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_Toc6948 \h </w:instrText>
          </w:r>
          <w:r>
            <w:rPr>
              <w:rFonts w:ascii="Times New Roman" w:hAnsi="Times New Roman"/>
              <w:color w:val="auto"/>
              <w:szCs w:val="21"/>
            </w:rPr>
            <w:fldChar w:fldCharType="separate"/>
          </w:r>
          <w:r>
            <w:rPr>
              <w:rFonts w:ascii="Times New Roman" w:hAnsi="Times New Roman"/>
              <w:color w:val="auto"/>
              <w:szCs w:val="21"/>
            </w:rPr>
            <w:t>13</w:t>
          </w:r>
          <w:r>
            <w:rPr>
              <w:rFonts w:ascii="Times New Roman" w:hAnsi="Times New Roman"/>
              <w:color w:val="auto"/>
              <w:szCs w:val="21"/>
            </w:rPr>
            <w:fldChar w:fldCharType="end"/>
          </w:r>
          <w:r>
            <w:rPr>
              <w:rFonts w:ascii="Times New Roman" w:hAnsi="Times New Roman"/>
              <w:color w:val="auto"/>
              <w:szCs w:val="21"/>
            </w:rPr>
            <w:fldChar w:fldCharType="end"/>
          </w:r>
        </w:p>
        <w:p w14:paraId="67282836">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"_Toc397" </w:instrText>
          </w:r>
          <w:r>
            <w:rPr>
              <w:color w:val="auto"/>
            </w:rPr>
            <w:fldChar w:fldCharType="separate"/>
          </w:r>
          <w:r>
            <w:rPr>
              <w:rFonts w:ascii="Times New Roman" w:hAnsi="Times New Roman"/>
              <w:b w:val="0"/>
              <w:color w:val="auto"/>
              <w:sz w:val="21"/>
              <w:szCs w:val="21"/>
            </w:rPr>
            <w:t>4.1监测因子及监测频次</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_Toc397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13</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69B01206">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"_Toc13683" </w:instrText>
          </w:r>
          <w:r>
            <w:rPr>
              <w:color w:val="auto"/>
            </w:rPr>
            <w:fldChar w:fldCharType="separate"/>
          </w:r>
          <w:r>
            <w:rPr>
              <w:rFonts w:ascii="Times New Roman" w:hAnsi="Times New Roman"/>
              <w:b w:val="0"/>
              <w:color w:val="auto"/>
              <w:sz w:val="21"/>
              <w:szCs w:val="21"/>
            </w:rPr>
            <w:t>4.2监测点位及布点方法</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_Toc13683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13</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70A6029B">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"_Toc32398" </w:instrText>
          </w:r>
          <w:r>
            <w:rPr>
              <w:color w:val="auto"/>
            </w:rPr>
            <w:fldChar w:fldCharType="separate"/>
          </w:r>
          <w:r>
            <w:rPr>
              <w:rFonts w:ascii="Times New Roman" w:hAnsi="Times New Roman"/>
              <w:b w:val="0"/>
              <w:color w:val="auto"/>
              <w:sz w:val="21"/>
              <w:szCs w:val="21"/>
            </w:rPr>
            <w:t>4.3监测时间及气象条件</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_Toc32398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14</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4098DB09">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"_Toc26181" </w:instrText>
          </w:r>
          <w:r>
            <w:rPr>
              <w:color w:val="auto"/>
            </w:rPr>
            <w:fldChar w:fldCharType="separate"/>
          </w:r>
          <w:r>
            <w:rPr>
              <w:rFonts w:ascii="Times New Roman" w:hAnsi="Times New Roman"/>
              <w:b w:val="0"/>
              <w:color w:val="auto"/>
              <w:sz w:val="21"/>
              <w:szCs w:val="21"/>
            </w:rPr>
            <w:t>4.4质量保证</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_Toc26181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14</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5978C494">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"_Toc20924" </w:instrText>
          </w:r>
          <w:r>
            <w:rPr>
              <w:color w:val="auto"/>
            </w:rPr>
            <w:fldChar w:fldCharType="separate"/>
          </w:r>
          <w:r>
            <w:rPr>
              <w:rFonts w:ascii="Times New Roman" w:hAnsi="Times New Roman"/>
              <w:b w:val="0"/>
              <w:color w:val="auto"/>
              <w:sz w:val="21"/>
              <w:szCs w:val="21"/>
            </w:rPr>
            <w:t>4.5质量控制</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_Toc20924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14</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1F045240">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"_Toc9336" </w:instrText>
          </w:r>
          <w:r>
            <w:rPr>
              <w:color w:val="auto"/>
            </w:rPr>
            <w:fldChar w:fldCharType="separate"/>
          </w:r>
          <w:r>
            <w:rPr>
              <w:rFonts w:ascii="Times New Roman" w:hAnsi="Times New Roman"/>
              <w:b w:val="0"/>
              <w:color w:val="auto"/>
              <w:sz w:val="21"/>
              <w:szCs w:val="21"/>
            </w:rPr>
            <w:t>4.6监测结果及分析</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_Toc9336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14</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46D54D34">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"_Toc13842" </w:instrText>
          </w:r>
          <w:r>
            <w:rPr>
              <w:color w:val="auto"/>
            </w:rPr>
            <w:fldChar w:fldCharType="separate"/>
          </w:r>
          <w:r>
            <w:rPr>
              <w:rFonts w:ascii="Times New Roman" w:hAnsi="Times New Roman"/>
              <w:color w:val="auto"/>
              <w:szCs w:val="21"/>
            </w:rPr>
            <w:t>5 电磁环境影响预测及分析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_Toc13842 \h </w:instrText>
          </w:r>
          <w:r>
            <w:rPr>
              <w:rFonts w:ascii="Times New Roman" w:hAnsi="Times New Roman"/>
              <w:color w:val="auto"/>
              <w:szCs w:val="21"/>
            </w:rPr>
            <w:fldChar w:fldCharType="separate"/>
          </w:r>
          <w:r>
            <w:rPr>
              <w:rFonts w:ascii="Times New Roman" w:hAnsi="Times New Roman"/>
              <w:color w:val="auto"/>
              <w:szCs w:val="21"/>
            </w:rPr>
            <w:t>18</w:t>
          </w:r>
          <w:r>
            <w:rPr>
              <w:rFonts w:ascii="Times New Roman" w:hAnsi="Times New Roman"/>
              <w:color w:val="auto"/>
              <w:szCs w:val="21"/>
            </w:rPr>
            <w:fldChar w:fldCharType="end"/>
          </w:r>
          <w:r>
            <w:rPr>
              <w:rFonts w:ascii="Times New Roman" w:hAnsi="Times New Roman"/>
              <w:color w:val="auto"/>
              <w:szCs w:val="21"/>
            </w:rPr>
            <w:fldChar w:fldCharType="end"/>
          </w:r>
        </w:p>
        <w:p w14:paraId="6AB7543B">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"_Toc18504" </w:instrText>
          </w:r>
          <w:r>
            <w:rPr>
              <w:color w:val="auto"/>
            </w:rPr>
            <w:fldChar w:fldCharType="separate"/>
          </w:r>
          <w:r>
            <w:rPr>
              <w:rFonts w:ascii="Times New Roman" w:hAnsi="Times New Roman"/>
              <w:b w:val="0"/>
              <w:color w:val="auto"/>
              <w:sz w:val="21"/>
              <w:szCs w:val="21"/>
            </w:rPr>
            <w:t>5.1架空输电线路电磁环境影响预测及分析</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_Toc18504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18</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44373873">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"_Toc20295" </w:instrText>
          </w:r>
          <w:r>
            <w:rPr>
              <w:color w:val="auto"/>
            </w:rPr>
            <w:fldChar w:fldCharType="separate"/>
          </w:r>
          <w:r>
            <w:rPr>
              <w:rFonts w:ascii="Times New Roman" w:hAnsi="Times New Roman"/>
              <w:color w:val="auto"/>
              <w:szCs w:val="21"/>
            </w:rPr>
            <w:t>5.1.1架空输电线路工频电场预测模型</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_Toc20295 \h </w:instrText>
          </w:r>
          <w:r>
            <w:rPr>
              <w:rFonts w:ascii="Times New Roman" w:hAnsi="Times New Roman"/>
              <w:color w:val="auto"/>
              <w:szCs w:val="21"/>
            </w:rPr>
            <w:fldChar w:fldCharType="separate"/>
          </w:r>
          <w:r>
            <w:rPr>
              <w:rFonts w:ascii="Times New Roman" w:hAnsi="Times New Roman"/>
              <w:color w:val="auto"/>
              <w:szCs w:val="21"/>
            </w:rPr>
            <w:t>18</w:t>
          </w:r>
          <w:r>
            <w:rPr>
              <w:rFonts w:ascii="Times New Roman" w:hAnsi="Times New Roman"/>
              <w:color w:val="auto"/>
              <w:szCs w:val="21"/>
            </w:rPr>
            <w:fldChar w:fldCharType="end"/>
          </w:r>
          <w:r>
            <w:rPr>
              <w:rFonts w:ascii="Times New Roman" w:hAnsi="Times New Roman"/>
              <w:color w:val="auto"/>
              <w:szCs w:val="21"/>
            </w:rPr>
            <w:fldChar w:fldCharType="end"/>
          </w:r>
        </w:p>
        <w:p w14:paraId="60380901">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"_Toc2391" </w:instrText>
          </w:r>
          <w:r>
            <w:rPr>
              <w:color w:val="auto"/>
            </w:rPr>
            <w:fldChar w:fldCharType="separate"/>
          </w:r>
          <w:r>
            <w:rPr>
              <w:rFonts w:ascii="Times New Roman" w:hAnsi="Times New Roman"/>
              <w:color w:val="auto"/>
              <w:szCs w:val="21"/>
            </w:rPr>
            <w:t>5.1.2计算参数选取说明</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_Toc2391 \h </w:instrText>
          </w:r>
          <w:r>
            <w:rPr>
              <w:rFonts w:ascii="Times New Roman" w:hAnsi="Times New Roman"/>
              <w:color w:val="auto"/>
              <w:szCs w:val="21"/>
            </w:rPr>
            <w:fldChar w:fldCharType="separate"/>
          </w:r>
          <w:r>
            <w:rPr>
              <w:rFonts w:ascii="Times New Roman" w:hAnsi="Times New Roman"/>
              <w:color w:val="auto"/>
              <w:szCs w:val="21"/>
            </w:rPr>
            <w:t>22</w:t>
          </w:r>
          <w:r>
            <w:rPr>
              <w:rFonts w:ascii="Times New Roman" w:hAnsi="Times New Roman"/>
              <w:color w:val="auto"/>
              <w:szCs w:val="21"/>
            </w:rPr>
            <w:fldChar w:fldCharType="end"/>
          </w:r>
          <w:r>
            <w:rPr>
              <w:rFonts w:ascii="Times New Roman" w:hAnsi="Times New Roman"/>
              <w:color w:val="auto"/>
              <w:szCs w:val="21"/>
            </w:rPr>
            <w:fldChar w:fldCharType="end"/>
          </w:r>
        </w:p>
        <w:p w14:paraId="29A665D0">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"_Toc5683" </w:instrText>
          </w:r>
          <w:r>
            <w:rPr>
              <w:color w:val="auto"/>
            </w:rPr>
            <w:fldChar w:fldCharType="separate"/>
          </w:r>
          <w:r>
            <w:rPr>
              <w:rFonts w:ascii="Times New Roman" w:hAnsi="Times New Roman"/>
              <w:color w:val="auto"/>
              <w:szCs w:val="21"/>
            </w:rPr>
            <w:t>5.1.3</w:t>
          </w:r>
          <w:r>
            <w:rPr>
              <w:rFonts w:hint="eastAsia" w:ascii="Times New Roman" w:hAnsi="Times New Roman"/>
              <w:color w:val="auto"/>
              <w:szCs w:val="21"/>
              <w:lang w:eastAsia="zh-CN"/>
            </w:rPr>
            <w:t>其他地区</w:t>
          </w:r>
          <w:r>
            <w:rPr>
              <w:rFonts w:ascii="Times New Roman" w:hAnsi="Times New Roman"/>
              <w:color w:val="auto"/>
              <w:szCs w:val="21"/>
            </w:rPr>
            <w:t>预测与分析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_Toc5683 \h </w:instrText>
          </w:r>
          <w:r>
            <w:rPr>
              <w:rFonts w:ascii="Times New Roman" w:hAnsi="Times New Roman"/>
              <w:color w:val="auto"/>
              <w:szCs w:val="21"/>
            </w:rPr>
            <w:fldChar w:fldCharType="separate"/>
          </w:r>
          <w:r>
            <w:rPr>
              <w:rFonts w:ascii="Times New Roman" w:hAnsi="Times New Roman"/>
              <w:color w:val="auto"/>
              <w:szCs w:val="21"/>
            </w:rPr>
            <w:t>26</w:t>
          </w:r>
          <w:r>
            <w:rPr>
              <w:rFonts w:ascii="Times New Roman" w:hAnsi="Times New Roman"/>
              <w:color w:val="auto"/>
              <w:szCs w:val="21"/>
            </w:rPr>
            <w:fldChar w:fldCharType="end"/>
          </w:r>
          <w:r>
            <w:rPr>
              <w:rFonts w:ascii="Times New Roman" w:hAnsi="Times New Roman"/>
              <w:color w:val="auto"/>
              <w:szCs w:val="21"/>
            </w:rPr>
            <w:fldChar w:fldCharType="end"/>
          </w:r>
        </w:p>
        <w:p w14:paraId="1970D7CF">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"_Toc1517" </w:instrText>
          </w:r>
          <w:r>
            <w:rPr>
              <w:color w:val="auto"/>
            </w:rPr>
            <w:fldChar w:fldCharType="separate"/>
          </w:r>
          <w:r>
            <w:rPr>
              <w:rFonts w:ascii="Times New Roman" w:hAnsi="Times New Roman"/>
              <w:color w:val="auto"/>
              <w:szCs w:val="21"/>
            </w:rPr>
            <w:t>5.1.4居民区预测与分析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_Toc1517 \h </w:instrText>
          </w:r>
          <w:r>
            <w:rPr>
              <w:rFonts w:ascii="Times New Roman" w:hAnsi="Times New Roman"/>
              <w:color w:val="auto"/>
              <w:szCs w:val="21"/>
            </w:rPr>
            <w:fldChar w:fldCharType="separate"/>
          </w:r>
          <w:r>
            <w:rPr>
              <w:rFonts w:ascii="Times New Roman" w:hAnsi="Times New Roman"/>
              <w:color w:val="auto"/>
              <w:szCs w:val="21"/>
            </w:rPr>
            <w:t>34</w:t>
          </w:r>
          <w:r>
            <w:rPr>
              <w:rFonts w:ascii="Times New Roman" w:hAnsi="Times New Roman"/>
              <w:color w:val="auto"/>
              <w:szCs w:val="21"/>
            </w:rPr>
            <w:fldChar w:fldCharType="end"/>
          </w:r>
          <w:r>
            <w:rPr>
              <w:rFonts w:ascii="Times New Roman" w:hAnsi="Times New Roman"/>
              <w:color w:val="auto"/>
              <w:szCs w:val="21"/>
            </w:rPr>
            <w:fldChar w:fldCharType="end"/>
          </w:r>
        </w:p>
        <w:p w14:paraId="26E5E918">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"_Toc23937" </w:instrText>
          </w:r>
          <w:r>
            <w:rPr>
              <w:color w:val="auto"/>
            </w:rPr>
            <w:fldChar w:fldCharType="separate"/>
          </w:r>
          <w:r>
            <w:rPr>
              <w:rFonts w:ascii="Times New Roman" w:hAnsi="Times New Roman"/>
              <w:color w:val="auto"/>
              <w:szCs w:val="21"/>
            </w:rPr>
            <w:t>5.1.5对敏感点的电磁环境影响分析</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_Toc23937 \h </w:instrText>
          </w:r>
          <w:r>
            <w:rPr>
              <w:rFonts w:ascii="Times New Roman" w:hAnsi="Times New Roman"/>
              <w:color w:val="auto"/>
              <w:szCs w:val="21"/>
            </w:rPr>
            <w:fldChar w:fldCharType="separate"/>
          </w:r>
          <w:r>
            <w:rPr>
              <w:rFonts w:ascii="Times New Roman" w:hAnsi="Times New Roman"/>
              <w:color w:val="auto"/>
              <w:szCs w:val="21"/>
            </w:rPr>
            <w:t>48</w:t>
          </w:r>
          <w:r>
            <w:rPr>
              <w:rFonts w:ascii="Times New Roman" w:hAnsi="Times New Roman"/>
              <w:color w:val="auto"/>
              <w:szCs w:val="21"/>
            </w:rPr>
            <w:fldChar w:fldCharType="end"/>
          </w:r>
          <w:r>
            <w:rPr>
              <w:rFonts w:ascii="Times New Roman" w:hAnsi="Times New Roman"/>
              <w:color w:val="auto"/>
              <w:szCs w:val="21"/>
            </w:rPr>
            <w:fldChar w:fldCharType="end"/>
          </w:r>
        </w:p>
        <w:p w14:paraId="4C78879E">
          <w:pPr>
            <w:pStyle w:val="14"/>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"_Toc25960" </w:instrText>
          </w:r>
          <w:r>
            <w:rPr>
              <w:color w:val="auto"/>
            </w:rPr>
            <w:fldChar w:fldCharType="separate"/>
          </w:r>
          <w:r>
            <w:rPr>
              <w:rFonts w:ascii="Times New Roman" w:hAnsi="Times New Roman"/>
              <w:color w:val="auto"/>
              <w:szCs w:val="21"/>
            </w:rPr>
            <w:t>5.1.6架空线路工频电场控制措施</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_Toc25960 \h </w:instrText>
          </w:r>
          <w:r>
            <w:rPr>
              <w:rFonts w:ascii="Times New Roman" w:hAnsi="Times New Roman"/>
              <w:color w:val="auto"/>
              <w:szCs w:val="21"/>
            </w:rPr>
            <w:fldChar w:fldCharType="separate"/>
          </w:r>
          <w:r>
            <w:rPr>
              <w:rFonts w:ascii="Times New Roman" w:hAnsi="Times New Roman"/>
              <w:color w:val="auto"/>
              <w:szCs w:val="21"/>
            </w:rPr>
            <w:t>50</w:t>
          </w:r>
          <w:r>
            <w:rPr>
              <w:rFonts w:ascii="Times New Roman" w:hAnsi="Times New Roman"/>
              <w:color w:val="auto"/>
              <w:szCs w:val="21"/>
            </w:rPr>
            <w:fldChar w:fldCharType="end"/>
          </w:r>
          <w:r>
            <w:rPr>
              <w:rFonts w:ascii="Times New Roman" w:hAnsi="Times New Roman"/>
              <w:color w:val="auto"/>
              <w:szCs w:val="21"/>
            </w:rPr>
            <w:fldChar w:fldCharType="end"/>
          </w:r>
        </w:p>
        <w:p w14:paraId="6B96F868">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"_Toc22776" </w:instrText>
          </w:r>
          <w:r>
            <w:rPr>
              <w:color w:val="auto"/>
            </w:rPr>
            <w:fldChar w:fldCharType="separate"/>
          </w:r>
          <w:r>
            <w:rPr>
              <w:rFonts w:ascii="Times New Roman" w:hAnsi="Times New Roman"/>
              <w:b w:val="0"/>
              <w:color w:val="auto"/>
              <w:sz w:val="21"/>
              <w:szCs w:val="21"/>
            </w:rPr>
            <w:t>5.2 并行线路及交叉跨越电磁环境影响分析</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_Toc22776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50</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25180489">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"_Toc30447" </w:instrText>
          </w:r>
          <w:r>
            <w:rPr>
              <w:color w:val="auto"/>
            </w:rPr>
            <w:fldChar w:fldCharType="separate"/>
          </w:r>
          <w:r>
            <w:rPr>
              <w:rFonts w:ascii="Times New Roman" w:hAnsi="Times New Roman"/>
              <w:b w:val="0"/>
              <w:color w:val="auto"/>
              <w:sz w:val="21"/>
              <w:szCs w:val="21"/>
            </w:rPr>
            <w:t>5.3运行期电磁环境影响预测评价</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_Toc30447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50</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28FE2C20">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"_Toc9164" </w:instrText>
          </w:r>
          <w:r>
            <w:rPr>
              <w:color w:val="auto"/>
            </w:rPr>
            <w:fldChar w:fldCharType="separate"/>
          </w:r>
          <w:r>
            <w:rPr>
              <w:rFonts w:ascii="Times New Roman" w:hAnsi="Times New Roman"/>
              <w:b w:val="0"/>
              <w:color w:val="auto"/>
              <w:sz w:val="21"/>
              <w:szCs w:val="21"/>
            </w:rPr>
            <w:t>5.4 电磁环境达标控制要求</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_Toc9164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51</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7C2D55F9">
          <w:pPr>
            <w:pStyle w:val="19"/>
            <w:tabs>
              <w:tab w:val="right" w:leader="dot" w:pos="8959"/>
            </w:tabs>
            <w:adjustRightInd w:val="0"/>
            <w:snapToGrid w:val="0"/>
            <w:spacing w:line="320" w:lineRule="exact"/>
            <w:rPr>
              <w:rFonts w:ascii="Times New Roman" w:hAnsi="Times New Roman"/>
              <w:color w:val="auto"/>
              <w:szCs w:val="21"/>
            </w:rPr>
          </w:pPr>
          <w:r>
            <w:rPr>
              <w:color w:val="auto"/>
            </w:rPr>
            <w:fldChar w:fldCharType="begin"/>
          </w:r>
          <w:r>
            <w:rPr>
              <w:color w:val="auto"/>
            </w:rPr>
            <w:instrText xml:space="preserve"> HYPERLINK \l "_Toc30427" </w:instrText>
          </w:r>
          <w:r>
            <w:rPr>
              <w:color w:val="auto"/>
            </w:rPr>
            <w:fldChar w:fldCharType="separate"/>
          </w:r>
          <w:r>
            <w:rPr>
              <w:rFonts w:ascii="Times New Roman" w:hAnsi="Times New Roman"/>
              <w:color w:val="auto"/>
              <w:szCs w:val="21"/>
            </w:rPr>
            <w:t>6 电磁环境保护设施、措施分析及论证</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_Toc30427 \h </w:instrText>
          </w:r>
          <w:r>
            <w:rPr>
              <w:rFonts w:ascii="Times New Roman" w:hAnsi="Times New Roman"/>
              <w:color w:val="auto"/>
              <w:szCs w:val="21"/>
            </w:rPr>
            <w:fldChar w:fldCharType="separate"/>
          </w:r>
          <w:r>
            <w:rPr>
              <w:rFonts w:ascii="Times New Roman" w:hAnsi="Times New Roman"/>
              <w:color w:val="auto"/>
              <w:szCs w:val="21"/>
            </w:rPr>
            <w:t>52</w:t>
          </w:r>
          <w:r>
            <w:rPr>
              <w:rFonts w:ascii="Times New Roman" w:hAnsi="Times New Roman"/>
              <w:color w:val="auto"/>
              <w:szCs w:val="21"/>
            </w:rPr>
            <w:fldChar w:fldCharType="end"/>
          </w:r>
          <w:r>
            <w:rPr>
              <w:rFonts w:ascii="Times New Roman" w:hAnsi="Times New Roman"/>
              <w:color w:val="auto"/>
              <w:szCs w:val="21"/>
            </w:rPr>
            <w:fldChar w:fldCharType="end"/>
          </w:r>
        </w:p>
        <w:p w14:paraId="267BC399">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"_Toc26344" </w:instrText>
          </w:r>
          <w:r>
            <w:rPr>
              <w:color w:val="auto"/>
            </w:rPr>
            <w:fldChar w:fldCharType="separate"/>
          </w:r>
          <w:r>
            <w:rPr>
              <w:rFonts w:ascii="Times New Roman" w:hAnsi="Times New Roman"/>
              <w:b w:val="0"/>
              <w:color w:val="auto"/>
              <w:sz w:val="21"/>
              <w:szCs w:val="21"/>
            </w:rPr>
            <w:t>6.1电磁防护措施</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_Toc26344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52</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11DCBC76">
          <w:pPr>
            <w:pStyle w:val="20"/>
            <w:tabs>
              <w:tab w:val="right" w:leader="dot" w:pos="8959"/>
            </w:tabs>
            <w:adjustRightInd w:val="0"/>
            <w:snapToGrid w:val="0"/>
            <w:spacing w:line="320" w:lineRule="exact"/>
            <w:rPr>
              <w:rFonts w:ascii="Times New Roman" w:hAnsi="Times New Roman"/>
              <w:b w:val="0"/>
              <w:color w:val="auto"/>
              <w:sz w:val="21"/>
              <w:szCs w:val="21"/>
            </w:rPr>
          </w:pPr>
          <w:r>
            <w:rPr>
              <w:color w:val="auto"/>
            </w:rPr>
            <w:fldChar w:fldCharType="begin"/>
          </w:r>
          <w:r>
            <w:rPr>
              <w:color w:val="auto"/>
            </w:rPr>
            <w:instrText xml:space="preserve"> HYPERLINK \l "_Toc14470" </w:instrText>
          </w:r>
          <w:r>
            <w:rPr>
              <w:color w:val="auto"/>
            </w:rPr>
            <w:fldChar w:fldCharType="separate"/>
          </w:r>
          <w:r>
            <w:rPr>
              <w:rFonts w:ascii="Times New Roman" w:hAnsi="Times New Roman"/>
              <w:b w:val="0"/>
              <w:color w:val="auto"/>
              <w:sz w:val="21"/>
              <w:szCs w:val="21"/>
            </w:rPr>
            <w:t>6.2电磁环境监测计划</w:t>
          </w:r>
          <w:r>
            <w:rPr>
              <w:rFonts w:ascii="Times New Roman" w:hAnsi="Times New Roman"/>
              <w:b w:val="0"/>
              <w:color w:val="auto"/>
              <w:sz w:val="21"/>
              <w:szCs w:val="21"/>
            </w:rPr>
            <w:tab/>
          </w:r>
          <w:r>
            <w:rPr>
              <w:rFonts w:ascii="Times New Roman" w:hAnsi="Times New Roman"/>
              <w:b w:val="0"/>
              <w:color w:val="auto"/>
              <w:sz w:val="21"/>
              <w:szCs w:val="21"/>
            </w:rPr>
            <w:fldChar w:fldCharType="begin"/>
          </w:r>
          <w:r>
            <w:rPr>
              <w:rFonts w:ascii="Times New Roman" w:hAnsi="Times New Roman"/>
              <w:b w:val="0"/>
              <w:color w:val="auto"/>
              <w:sz w:val="21"/>
              <w:szCs w:val="21"/>
            </w:rPr>
            <w:instrText xml:space="preserve"> PAGEREF _Toc14470 \h </w:instrText>
          </w:r>
          <w:r>
            <w:rPr>
              <w:rFonts w:ascii="Times New Roman" w:hAnsi="Times New Roman"/>
              <w:b w:val="0"/>
              <w:color w:val="auto"/>
              <w:sz w:val="21"/>
              <w:szCs w:val="21"/>
            </w:rPr>
            <w:fldChar w:fldCharType="separate"/>
          </w:r>
          <w:r>
            <w:rPr>
              <w:rFonts w:ascii="Times New Roman" w:hAnsi="Times New Roman"/>
              <w:b w:val="0"/>
              <w:color w:val="auto"/>
              <w:sz w:val="21"/>
              <w:szCs w:val="21"/>
            </w:rPr>
            <w:t>52</w:t>
          </w:r>
          <w:r>
            <w:rPr>
              <w:rFonts w:ascii="Times New Roman" w:hAnsi="Times New Roman"/>
              <w:b w:val="0"/>
              <w:color w:val="auto"/>
              <w:sz w:val="21"/>
              <w:szCs w:val="21"/>
            </w:rPr>
            <w:fldChar w:fldCharType="end"/>
          </w:r>
          <w:r>
            <w:rPr>
              <w:rFonts w:ascii="Times New Roman" w:hAnsi="Times New Roman"/>
              <w:b w:val="0"/>
              <w:color w:val="auto"/>
              <w:sz w:val="21"/>
              <w:szCs w:val="21"/>
            </w:rPr>
            <w:fldChar w:fldCharType="end"/>
          </w:r>
        </w:p>
        <w:p w14:paraId="0451F6E5">
          <w:pPr>
            <w:pStyle w:val="19"/>
            <w:tabs>
              <w:tab w:val="right" w:leader="dot" w:pos="8959"/>
            </w:tabs>
            <w:adjustRightInd w:val="0"/>
            <w:snapToGrid w:val="0"/>
            <w:spacing w:line="320" w:lineRule="exact"/>
            <w:rPr>
              <w:color w:val="auto"/>
              <w:szCs w:val="21"/>
            </w:rPr>
          </w:pPr>
          <w:r>
            <w:rPr>
              <w:color w:val="auto"/>
            </w:rPr>
            <w:fldChar w:fldCharType="begin"/>
          </w:r>
          <w:r>
            <w:rPr>
              <w:color w:val="auto"/>
            </w:rPr>
            <w:instrText xml:space="preserve"> HYPERLINK \l "_Toc1546" </w:instrText>
          </w:r>
          <w:r>
            <w:rPr>
              <w:color w:val="auto"/>
            </w:rPr>
            <w:fldChar w:fldCharType="separate"/>
          </w:r>
          <w:r>
            <w:rPr>
              <w:rFonts w:ascii="Times New Roman" w:hAnsi="Times New Roman"/>
              <w:color w:val="auto"/>
              <w:szCs w:val="21"/>
            </w:rPr>
            <w:t>7 电磁环境专题小结</w:t>
          </w:r>
          <w:r>
            <w:rPr>
              <w:rFonts w:ascii="Times New Roman" w:hAnsi="Times New Roman"/>
              <w:color w:val="auto"/>
              <w:szCs w:val="21"/>
            </w:rPr>
            <w:tab/>
          </w:r>
          <w:r>
            <w:rPr>
              <w:rFonts w:ascii="Times New Roman" w:hAnsi="Times New Roman"/>
              <w:color w:val="auto"/>
              <w:szCs w:val="21"/>
            </w:rPr>
            <w:fldChar w:fldCharType="begin"/>
          </w:r>
          <w:r>
            <w:rPr>
              <w:rFonts w:ascii="Times New Roman" w:hAnsi="Times New Roman"/>
              <w:color w:val="auto"/>
              <w:szCs w:val="21"/>
            </w:rPr>
            <w:instrText xml:space="preserve"> PAGEREF _Toc1546 \h </w:instrText>
          </w:r>
          <w:r>
            <w:rPr>
              <w:rFonts w:ascii="Times New Roman" w:hAnsi="Times New Roman"/>
              <w:color w:val="auto"/>
              <w:szCs w:val="21"/>
            </w:rPr>
            <w:fldChar w:fldCharType="separate"/>
          </w:r>
          <w:r>
            <w:rPr>
              <w:rFonts w:ascii="Times New Roman" w:hAnsi="Times New Roman"/>
              <w:color w:val="auto"/>
              <w:szCs w:val="21"/>
            </w:rPr>
            <w:t>53</w:t>
          </w:r>
          <w:r>
            <w:rPr>
              <w:rFonts w:ascii="Times New Roman" w:hAnsi="Times New Roman"/>
              <w:color w:val="auto"/>
              <w:szCs w:val="21"/>
            </w:rPr>
            <w:fldChar w:fldCharType="end"/>
          </w:r>
          <w:r>
            <w:rPr>
              <w:rFonts w:ascii="Times New Roman" w:hAnsi="Times New Roman"/>
              <w:color w:val="auto"/>
              <w:szCs w:val="21"/>
            </w:rPr>
            <w:fldChar w:fldCharType="end"/>
          </w:r>
        </w:p>
        <w:p w14:paraId="4F28737A">
          <w:pPr>
            <w:adjustRightInd w:val="0"/>
            <w:snapToGrid w:val="0"/>
            <w:spacing w:line="440" w:lineRule="exact"/>
            <w:jc w:val="center"/>
            <w:rPr>
              <w:rFonts w:hint="eastAsia" w:ascii="Times New Roman" w:hAnsi="Times New Roman" w:cs="Times New Roman"/>
              <w:color w:val="auto"/>
            </w:rPr>
            <w:sectPr>
              <w:pgSz w:w="11907" w:h="16839"/>
              <w:pgMar w:top="1418" w:right="1474" w:bottom="1418" w:left="1474" w:header="794" w:footer="90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color w:val="auto"/>
              <w:szCs w:val="21"/>
            </w:rPr>
            <w:fldChar w:fldCharType="end"/>
          </w:r>
        </w:p>
      </w:sdtContent>
    </w:sdt>
    <w:p w14:paraId="4B4CD8A4">
      <w:pPr>
        <w:pStyle w:val="3"/>
        <w:adjustRightInd w:val="0"/>
        <w:snapToGrid w:val="0"/>
        <w:spacing w:line="440" w:lineRule="exact"/>
        <w:jc w:val="both"/>
        <w:rPr>
          <w:rFonts w:hint="eastAsia" w:ascii="Times New Roman" w:hAnsi="Times New Roman" w:cs="Times New Roman"/>
          <w:color w:val="auto"/>
        </w:rPr>
      </w:pPr>
      <w:bookmarkStart w:id="113" w:name="_Toc6381"/>
      <w:bookmarkStart w:id="114" w:name="_Toc74062920"/>
      <w:r>
        <w:rPr>
          <w:rFonts w:ascii="Times New Roman" w:hAnsi="Times New Roman" w:cs="Times New Roman"/>
          <w:color w:val="auto"/>
        </w:rPr>
        <w:t>1 前言</w:t>
      </w:r>
      <w:bookmarkEnd w:id="113"/>
    </w:p>
    <w:p w14:paraId="74C63F5D">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“十四五”期间，随着云南高载能用户的大量投产，云南的电力市场需求大幅增加，曲靖市负荷发展速度较快，需要新能源缓解云南的供需矛盾；曲靖市“十四五”负荷发展速度较快，尤其是</w:t>
      </w:r>
      <w:r>
        <w:rPr>
          <w:rFonts w:hint="eastAsia" w:ascii="Times New Roman" w:hAnsi="Times New Roman"/>
          <w:color w:val="auto"/>
          <w:sz w:val="24"/>
          <w:szCs w:val="24"/>
          <w:lang w:eastAsia="zh-CN"/>
        </w:rPr>
        <w:t>随着</w:t>
      </w:r>
      <w:r>
        <w:rPr>
          <w:rFonts w:ascii="Times New Roman" w:hAnsi="Times New Roman"/>
          <w:color w:val="auto"/>
          <w:sz w:val="24"/>
          <w:szCs w:val="24"/>
        </w:rPr>
        <w:t>电解硅、钢铁、电池等项目的陆续投</w:t>
      </w:r>
      <w:r>
        <w:rPr>
          <w:rFonts w:hint="eastAsia" w:ascii="Times New Roman" w:hAnsi="Times New Roman"/>
          <w:color w:val="auto"/>
          <w:sz w:val="24"/>
          <w:szCs w:val="24"/>
          <w:lang w:eastAsia="zh-CN"/>
        </w:rPr>
        <w:t>产和</w:t>
      </w:r>
      <w:r>
        <w:rPr>
          <w:rFonts w:ascii="Times New Roman" w:hAnsi="Times New Roman"/>
          <w:color w:val="auto"/>
          <w:sz w:val="24"/>
          <w:szCs w:val="24"/>
        </w:rPr>
        <w:t>负荷需求突增，位于曲靖</w:t>
      </w:r>
      <w:r>
        <w:rPr>
          <w:rFonts w:hint="eastAsia" w:ascii="Times New Roman" w:hAnsi="Times New Roman"/>
          <w:color w:val="auto"/>
          <w:sz w:val="24"/>
          <w:szCs w:val="24"/>
        </w:rPr>
        <w:t>南</w:t>
      </w:r>
      <w:r>
        <w:rPr>
          <w:rFonts w:ascii="Times New Roman" w:hAnsi="Times New Roman"/>
          <w:color w:val="auto"/>
          <w:sz w:val="24"/>
          <w:szCs w:val="24"/>
        </w:rPr>
        <w:t>部的</w:t>
      </w:r>
      <w:r>
        <w:rPr>
          <w:rFonts w:hint="eastAsia" w:ascii="Times New Roman" w:hAnsi="Times New Roman"/>
          <w:color w:val="auto"/>
          <w:sz w:val="24"/>
          <w:szCs w:val="24"/>
          <w:lang w:eastAsia="zh-CN"/>
        </w:rPr>
        <w:t>会泽县</w:t>
      </w:r>
      <w:r>
        <w:rPr>
          <w:rFonts w:ascii="Times New Roman" w:hAnsi="Times New Roman"/>
          <w:color w:val="auto"/>
          <w:sz w:val="24"/>
          <w:szCs w:val="24"/>
        </w:rPr>
        <w:t>为曲靖电网的末端，供电范围较大，配电网网架较为薄弱，受地理条件影响高压配电网项目建设推进难度较大，从缓解现有曲靖电网供电压力、提高</w:t>
      </w:r>
      <w:r>
        <w:rPr>
          <w:rFonts w:hint="eastAsia" w:ascii="Times New Roman" w:hAnsi="Times New Roman"/>
          <w:color w:val="auto"/>
          <w:sz w:val="24"/>
          <w:szCs w:val="24"/>
        </w:rPr>
        <w:t>罗平</w:t>
      </w:r>
      <w:r>
        <w:rPr>
          <w:rFonts w:ascii="Times New Roman" w:hAnsi="Times New Roman"/>
          <w:color w:val="auto"/>
          <w:sz w:val="24"/>
          <w:szCs w:val="24"/>
        </w:rPr>
        <w:t>配电网供电可靠性、满足负荷发展的角度来看，新能源的并网对</w:t>
      </w:r>
      <w:r>
        <w:rPr>
          <w:rFonts w:hint="eastAsia" w:ascii="Times New Roman" w:hAnsi="Times New Roman"/>
          <w:color w:val="auto"/>
          <w:sz w:val="24"/>
          <w:szCs w:val="24"/>
        </w:rPr>
        <w:t>罗平</w:t>
      </w:r>
      <w:r>
        <w:rPr>
          <w:rFonts w:ascii="Times New Roman" w:hAnsi="Times New Roman"/>
          <w:color w:val="auto"/>
          <w:sz w:val="24"/>
          <w:szCs w:val="24"/>
        </w:rPr>
        <w:t>电网是有必要的；光伏作为一种高效清洁的能源技术，几乎不产生污染，具有很高的环境价值，项目建成后，可以代替燃煤电厂，减少废气、废渣的排放。</w:t>
      </w:r>
    </w:p>
    <w:p w14:paraId="01AD8831">
      <w:pPr>
        <w:adjustRightInd w:val="0"/>
        <w:snapToGrid w:val="0"/>
        <w:spacing w:line="440" w:lineRule="exact"/>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项目位于曲靖市会泽县乐业镇，</w:t>
      </w:r>
      <w:r>
        <w:rPr>
          <w:rFonts w:hint="eastAsia" w:ascii="Times New Roman" w:hAnsi="Times New Roman" w:cs="Times New Roman"/>
          <w:color w:val="auto"/>
          <w:sz w:val="24"/>
          <w:szCs w:val="24"/>
          <w:lang w:val="en-US" w:eastAsia="zh-CN"/>
        </w:rPr>
        <w:t>六合一</w:t>
      </w:r>
      <w:r>
        <w:rPr>
          <w:rFonts w:hint="default" w:ascii="Times New Roman" w:hAnsi="Times New Roman" w:cs="Times New Roman"/>
          <w:color w:val="auto"/>
          <w:sz w:val="24"/>
          <w:szCs w:val="24"/>
          <w:lang w:val="en-US" w:eastAsia="zh-CN"/>
        </w:rPr>
        <w:t>光伏电站装机容量</w:t>
      </w:r>
      <w:r>
        <w:rPr>
          <w:rFonts w:hint="eastAsia" w:ascii="Times New Roman" w:hAnsi="Times New Roman" w:cs="Times New Roman"/>
          <w:color w:val="auto"/>
          <w:sz w:val="24"/>
          <w:szCs w:val="24"/>
          <w:lang w:val="en-US" w:eastAsia="zh-CN"/>
        </w:rPr>
        <w:t>148</w:t>
      </w:r>
      <w:r>
        <w:rPr>
          <w:rFonts w:hint="default" w:ascii="Times New Roman" w:hAnsi="Times New Roman" w:cs="Times New Roman"/>
          <w:color w:val="auto"/>
          <w:sz w:val="24"/>
          <w:szCs w:val="24"/>
          <w:lang w:val="en-US" w:eastAsia="zh-CN"/>
        </w:rPr>
        <w:t>MW，</w:t>
      </w:r>
      <w:r>
        <w:rPr>
          <w:rFonts w:hint="eastAsia" w:ascii="Times New Roman" w:hAnsi="Times New Roman" w:cs="Times New Roman"/>
          <w:color w:val="auto"/>
          <w:sz w:val="24"/>
          <w:szCs w:val="24"/>
          <w:lang w:val="en-US" w:eastAsia="zh-CN"/>
        </w:rPr>
        <w:t>项目的</w:t>
      </w:r>
      <w:r>
        <w:rPr>
          <w:rFonts w:hint="default" w:ascii="Times New Roman" w:hAnsi="Times New Roman" w:cs="Times New Roman"/>
          <w:color w:val="auto"/>
          <w:sz w:val="24"/>
          <w:szCs w:val="24"/>
          <w:lang w:val="en-US" w:eastAsia="zh-CN"/>
        </w:rPr>
        <w:t>建设能够优化曲靖市会泽县的能源结构，有助于节能减排</w:t>
      </w:r>
      <w:r>
        <w:rPr>
          <w:rFonts w:hint="eastAsia" w:ascii="Times New Roman" w:hAnsi="Times New Roman" w:cs="Times New Roman"/>
          <w:color w:val="auto"/>
          <w:sz w:val="24"/>
          <w:szCs w:val="24"/>
          <w:lang w:val="en-US" w:eastAsia="zh-CN"/>
        </w:rPr>
        <w:t>，具</w:t>
      </w:r>
      <w:r>
        <w:rPr>
          <w:rFonts w:hint="default" w:ascii="Times New Roman" w:hAnsi="Times New Roman" w:cs="Times New Roman"/>
          <w:color w:val="auto"/>
          <w:sz w:val="24"/>
          <w:szCs w:val="24"/>
          <w:lang w:val="en-US" w:eastAsia="zh-CN"/>
        </w:rPr>
        <w:t>有良好的环境效益，符合当地经济发展的需求，具有较好的社会效益和经济效益。为优化会泽县电网网架结构，有必要建设</w:t>
      </w:r>
      <w:r>
        <w:rPr>
          <w:rFonts w:hint="eastAsia" w:ascii="Times New Roman" w:hAnsi="Times New Roman" w:cs="Times New Roman"/>
          <w:color w:val="auto"/>
          <w:sz w:val="24"/>
          <w:szCs w:val="24"/>
          <w:lang w:val="en-US" w:eastAsia="zh-CN"/>
        </w:rPr>
        <w:t>六合一至乐业变220kV送出线路工程</w:t>
      </w:r>
      <w:r>
        <w:rPr>
          <w:rFonts w:hint="default" w:ascii="Times New Roman" w:hAnsi="Times New Roman" w:cs="Times New Roman"/>
          <w:color w:val="auto"/>
          <w:sz w:val="24"/>
          <w:szCs w:val="24"/>
          <w:lang w:val="en-US" w:eastAsia="zh-CN"/>
        </w:rPr>
        <w:t>。</w:t>
      </w:r>
    </w:p>
    <w:p w14:paraId="0B82E458">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highlight w:val="none"/>
        </w:rPr>
        <w:t>20</w:t>
      </w:r>
      <w:r>
        <w:rPr>
          <w:rFonts w:hint="eastAsia" w:ascii="Times New Roman" w:hAnsi="Times New Roman" w:cs="Times New Roman"/>
          <w:color w:val="auto"/>
          <w:sz w:val="24"/>
          <w:szCs w:val="24"/>
          <w:highlight w:val="none"/>
        </w:rPr>
        <w:t>2</w:t>
      </w:r>
      <w:r>
        <w:rPr>
          <w:rFonts w:hint="eastAsia" w:ascii="Times New Roman" w:hAnsi="Times New Roman" w:cs="Times New Roman"/>
          <w:color w:val="auto"/>
          <w:sz w:val="24"/>
          <w:szCs w:val="24"/>
          <w:highlight w:val="none"/>
          <w:lang w:val="en-US" w:eastAsia="zh-CN"/>
        </w:rPr>
        <w:t>5</w:t>
      </w:r>
      <w:r>
        <w:rPr>
          <w:rFonts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10</w:t>
      </w:r>
      <w:r>
        <w:rPr>
          <w:rFonts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10</w:t>
      </w:r>
      <w:r>
        <w:rPr>
          <w:rFonts w:ascii="Times New Roman" w:hAnsi="Times New Roman" w:cs="Times New Roman"/>
          <w:color w:val="auto"/>
          <w:sz w:val="24"/>
          <w:szCs w:val="24"/>
          <w:highlight w:val="none"/>
        </w:rPr>
        <w:t>日，</w:t>
      </w:r>
      <w:r>
        <w:rPr>
          <w:rFonts w:hint="eastAsia" w:ascii="Times New Roman" w:hAnsi="Times New Roman" w:cs="Times New Roman"/>
          <w:color w:val="auto"/>
          <w:sz w:val="24"/>
          <w:szCs w:val="24"/>
          <w:lang w:eastAsia="zh-CN"/>
        </w:rPr>
        <w:t>会泽华电道成清洁能源开发有限公司</w:t>
      </w:r>
      <w:r>
        <w:rPr>
          <w:rFonts w:ascii="Times New Roman" w:hAnsi="Times New Roman" w:cs="Times New Roman"/>
          <w:color w:val="auto"/>
          <w:sz w:val="24"/>
          <w:szCs w:val="24"/>
        </w:rPr>
        <w:t>委托</w:t>
      </w:r>
      <w:r>
        <w:rPr>
          <w:rFonts w:hint="eastAsia" w:ascii="Times New Roman" w:hAnsi="Times New Roman" w:cs="Times New Roman"/>
          <w:color w:val="auto"/>
          <w:sz w:val="24"/>
          <w:szCs w:val="24"/>
        </w:rPr>
        <w:t>云南江楚环保</w:t>
      </w:r>
      <w:r>
        <w:rPr>
          <w:rFonts w:ascii="Times New Roman" w:hAnsi="Times New Roman" w:cs="Times New Roman"/>
          <w:color w:val="auto"/>
          <w:sz w:val="24"/>
          <w:szCs w:val="24"/>
        </w:rPr>
        <w:t>科技有限公司承担本项目的环境影响评价工作。接受评价任务后，评价人员首先对项目设计资料进行了研究分析，初步掌握了项目的工程特性以及项目所在地区的地形地貌、气象水文、地质情况等自然环境状况，在此基础上明确了本项目环境影响评价重点，对下一步评价工作做出了安排，并进行了组织分工。</w:t>
      </w:r>
    </w:p>
    <w:p w14:paraId="794AACD5">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202</w:t>
      </w: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t>年</w:t>
      </w: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月，评价人员对项目工程区域及评价范围进行了现场踏勘和资料收集，委托</w:t>
      </w:r>
      <w:r>
        <w:rPr>
          <w:rFonts w:hint="eastAsia" w:ascii="Times New Roman" w:hAnsi="Times New Roman" w:cs="Times New Roman"/>
          <w:color w:val="auto"/>
          <w:sz w:val="24"/>
          <w:szCs w:val="24"/>
          <w:lang w:eastAsia="zh-CN"/>
        </w:rPr>
        <w:t>贵州元烁环境检测技术有限公司</w:t>
      </w:r>
      <w:r>
        <w:rPr>
          <w:rFonts w:ascii="Times New Roman" w:hAnsi="Times New Roman" w:cs="Times New Roman"/>
          <w:color w:val="auto"/>
          <w:sz w:val="24"/>
          <w:szCs w:val="24"/>
        </w:rPr>
        <w:t>对项目区域处的工频电场强度、工频磁感应强度</w:t>
      </w:r>
      <w:r>
        <w:rPr>
          <w:rFonts w:hint="eastAsia" w:ascii="Times New Roman" w:hAnsi="Times New Roman" w:cs="Times New Roman"/>
          <w:color w:val="auto"/>
          <w:sz w:val="24"/>
          <w:szCs w:val="24"/>
        </w:rPr>
        <w:t>及噪声</w:t>
      </w:r>
      <w:r>
        <w:rPr>
          <w:rFonts w:ascii="Times New Roman" w:hAnsi="Times New Roman" w:cs="Times New Roman"/>
          <w:color w:val="auto"/>
          <w:sz w:val="24"/>
          <w:szCs w:val="24"/>
        </w:rPr>
        <w:t>现状进行了监测。</w:t>
      </w:r>
    </w:p>
    <w:p w14:paraId="775D5A85">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评价人员在掌握了充分的第一手资料，并对资料和数据进行了细致的分析研究后</w:t>
      </w:r>
      <w:r>
        <w:rPr>
          <w:rFonts w:hint="eastAsia" w:ascii="Times New Roman" w:hAnsi="Times New Roman" w:cs="Times New Roman"/>
          <w:color w:val="auto"/>
          <w:sz w:val="24"/>
          <w:szCs w:val="24"/>
        </w:rPr>
        <w:t>，</w:t>
      </w:r>
      <w:r>
        <w:rPr>
          <w:rFonts w:ascii="Times New Roman" w:hAnsi="Times New Roman" w:cs="Times New Roman"/>
          <w:color w:val="auto"/>
          <w:sz w:val="24"/>
          <w:szCs w:val="24"/>
        </w:rPr>
        <w:t>对工程建成运营后产生的工频电场、工频磁场等污染因素对环境的影响进行了预测评价，根据项目特点提出了相应的环境保护措施。在此基础上，从环保角度论证了本项目的可行性，于202</w:t>
      </w: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t>年</w:t>
      </w:r>
      <w:r>
        <w:rPr>
          <w:rFonts w:hint="eastAsia" w:ascii="Times New Roman" w:hAnsi="Times New Roman" w:cs="Times New Roman"/>
          <w:color w:val="auto"/>
          <w:sz w:val="24"/>
          <w:szCs w:val="24"/>
          <w:lang w:val="en-US" w:eastAsia="zh-CN"/>
        </w:rPr>
        <w:t>9</w:t>
      </w:r>
      <w:r>
        <w:rPr>
          <w:rFonts w:ascii="Times New Roman" w:hAnsi="Times New Roman" w:cs="Times New Roman"/>
          <w:color w:val="auto"/>
          <w:sz w:val="24"/>
          <w:szCs w:val="24"/>
        </w:rPr>
        <w:t>月编制完成了《</w:t>
      </w:r>
      <w:r>
        <w:rPr>
          <w:rFonts w:hint="eastAsia" w:ascii="Times New Roman" w:hAnsi="Times New Roman" w:cs="Times New Roman"/>
          <w:color w:val="auto"/>
          <w:sz w:val="24"/>
          <w:szCs w:val="24"/>
          <w:lang w:eastAsia="zh-CN"/>
        </w:rPr>
        <w:t>六合一至乐业变220kV送出线路工程</w:t>
      </w:r>
      <w:r>
        <w:rPr>
          <w:rFonts w:ascii="Times New Roman" w:hAnsi="Times New Roman" w:cs="Times New Roman"/>
          <w:color w:val="auto"/>
          <w:sz w:val="24"/>
          <w:szCs w:val="24"/>
        </w:rPr>
        <w:t>电磁环境影响专项评价》。</w:t>
      </w:r>
    </w:p>
    <w:p w14:paraId="0A49D5A2">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本专项对项目所在区域的工频电场强度、工频磁感应强度现状进行了实测，本次评价采用理论计算预测进行分析评价本项目建成后产生的工频电场强度、工频磁感应强度对环境的影响，从电磁环境影响角度论证了本项目建设的可行性，提出预防措施。</w:t>
      </w:r>
    </w:p>
    <w:p w14:paraId="3238A1B6">
      <w:pPr>
        <w:pStyle w:val="3"/>
        <w:adjustRightInd w:val="0"/>
        <w:snapToGrid w:val="0"/>
        <w:spacing w:line="440" w:lineRule="exact"/>
        <w:jc w:val="both"/>
        <w:rPr>
          <w:rFonts w:hint="eastAsia" w:ascii="Times New Roman" w:hAnsi="Times New Roman" w:cs="Times New Roman"/>
          <w:color w:val="auto"/>
        </w:rPr>
        <w:sectPr>
          <w:footerReference r:id="rId10" w:type="default"/>
          <w:pgSz w:w="11907" w:h="16839"/>
          <w:pgMar w:top="1418" w:right="1587" w:bottom="1418" w:left="1587" w:header="794" w:footer="1020" w:gutter="0"/>
          <w:pgBorders>
            <w:top w:val="none" w:sz="0" w:space="0"/>
            <w:left w:val="none" w:sz="0" w:space="0"/>
            <w:bottom w:val="none" w:sz="0" w:space="0"/>
            <w:right w:val="none" w:sz="0" w:space="0"/>
          </w:pgBorders>
          <w:pgNumType w:start="1"/>
          <w:cols w:space="425" w:num="1"/>
          <w:docGrid w:type="lines" w:linePitch="312" w:charSpace="0"/>
        </w:sectPr>
      </w:pPr>
      <w:bookmarkStart w:id="115" w:name="_Toc11796"/>
      <w:bookmarkStart w:id="116" w:name="_Toc24291"/>
    </w:p>
    <w:p w14:paraId="3B4ED51D">
      <w:pPr>
        <w:pStyle w:val="3"/>
        <w:adjustRightInd w:val="0"/>
        <w:snapToGrid w:val="0"/>
        <w:spacing w:line="440" w:lineRule="exact"/>
        <w:jc w:val="both"/>
        <w:rPr>
          <w:rFonts w:hint="eastAsia" w:ascii="Times New Roman" w:hAnsi="Times New Roman" w:cs="Times New Roman"/>
          <w:color w:val="auto"/>
        </w:rPr>
      </w:pPr>
      <w:bookmarkStart w:id="117" w:name="_Toc26888"/>
      <w:r>
        <w:rPr>
          <w:rFonts w:ascii="Times New Roman" w:hAnsi="Times New Roman" w:cs="Times New Roman"/>
          <w:color w:val="auto"/>
        </w:rPr>
        <w:t>2总则</w:t>
      </w:r>
      <w:bookmarkEnd w:id="115"/>
      <w:bookmarkEnd w:id="116"/>
      <w:bookmarkEnd w:id="117"/>
    </w:p>
    <w:p w14:paraId="6ACC8503">
      <w:pPr>
        <w:pStyle w:val="4"/>
        <w:adjustRightInd w:val="0"/>
        <w:snapToGrid w:val="0"/>
        <w:spacing w:line="440" w:lineRule="exact"/>
        <w:rPr>
          <w:rFonts w:hint="eastAsia" w:ascii="Times New Roman" w:hAnsi="Times New Roman" w:cs="Times New Roman"/>
          <w:color w:val="auto"/>
          <w:szCs w:val="24"/>
        </w:rPr>
      </w:pPr>
      <w:bookmarkStart w:id="118" w:name="_Toc28771"/>
      <w:bookmarkStart w:id="119" w:name="_Toc32754"/>
      <w:bookmarkStart w:id="120" w:name="_Toc32146"/>
      <w:r>
        <w:rPr>
          <w:rFonts w:ascii="Times New Roman" w:hAnsi="Times New Roman" w:cs="Times New Roman"/>
          <w:color w:val="auto"/>
          <w:szCs w:val="24"/>
        </w:rPr>
        <w:t>2.1 编制依据</w:t>
      </w:r>
      <w:bookmarkEnd w:id="118"/>
      <w:bookmarkEnd w:id="119"/>
      <w:bookmarkEnd w:id="120"/>
    </w:p>
    <w:p w14:paraId="3E30C960">
      <w:pPr>
        <w:pStyle w:val="5"/>
        <w:adjustRightInd w:val="0"/>
        <w:snapToGrid w:val="0"/>
        <w:spacing w:line="440" w:lineRule="exact"/>
        <w:rPr>
          <w:rFonts w:hint="eastAsia" w:ascii="Times New Roman" w:hAnsi="Times New Roman" w:cs="Times New Roman"/>
          <w:color w:val="auto"/>
        </w:rPr>
      </w:pPr>
      <w:bookmarkStart w:id="121" w:name="_Toc1871"/>
      <w:bookmarkStart w:id="122" w:name="_Toc19419"/>
      <w:bookmarkStart w:id="123" w:name="_Toc26439"/>
      <w:r>
        <w:rPr>
          <w:rFonts w:ascii="Times New Roman" w:hAnsi="Times New Roman" w:cs="Times New Roman"/>
          <w:color w:val="auto"/>
        </w:rPr>
        <w:t>2.1.1 环境保护法规、条例</w:t>
      </w:r>
      <w:bookmarkEnd w:id="121"/>
      <w:bookmarkEnd w:id="122"/>
      <w:bookmarkEnd w:id="123"/>
    </w:p>
    <w:p w14:paraId="14EEAD52">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1）</w:t>
      </w:r>
      <w:r>
        <w:rPr>
          <w:rFonts w:hint="eastAsia" w:ascii="Times New Roman" w:hAnsi="Times New Roman" w:cs="Times New Roman"/>
          <w:color w:val="auto"/>
          <w:sz w:val="24"/>
          <w:szCs w:val="24"/>
          <w:lang w:val="en-US" w:eastAsia="zh-CN"/>
        </w:rPr>
        <w:t>《中华人民共和国生态环境法典》（</w:t>
      </w:r>
      <w:r>
        <w:rPr>
          <w:rFonts w:hint="eastAsia" w:ascii="Times New Roman" w:hAnsi="Times New Roman" w:cs="Times New Roman"/>
          <w:color w:val="auto"/>
          <w:sz w:val="24"/>
          <w:szCs w:val="24"/>
        </w:rPr>
        <w:t>主席令第七十号</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2026年3月12日通过，2026年8月15日施行</w:t>
      </w:r>
      <w:r>
        <w:rPr>
          <w:rFonts w:ascii="Times New Roman" w:hAnsi="Times New Roman" w:cs="Times New Roman"/>
          <w:color w:val="auto"/>
          <w:sz w:val="24"/>
          <w:szCs w:val="24"/>
        </w:rPr>
        <w:t>）；</w:t>
      </w:r>
    </w:p>
    <w:p w14:paraId="798D29BE">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2）《中华人民共和国电力法》（根据2018年12月29日第十三届全国人民代表大会常务委员会第七次会议《关于修改〈中华人民共和国电力法〉等四部法律的决定》第三次修正）；</w:t>
      </w:r>
    </w:p>
    <w:p w14:paraId="2565E872">
      <w:pPr>
        <w:adjustRightInd w:val="0"/>
        <w:snapToGrid w:val="0"/>
        <w:spacing w:line="440" w:lineRule="exact"/>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3</w:t>
      </w:r>
      <w:r>
        <w:rPr>
          <w:rFonts w:ascii="Times New Roman" w:hAnsi="Times New Roman" w:cs="Times New Roman"/>
          <w:color w:val="auto"/>
          <w:sz w:val="24"/>
          <w:szCs w:val="24"/>
        </w:rPr>
        <w:t>）《建设项目环境保护管理条例》（2017年10月1日起施行）；</w:t>
      </w:r>
    </w:p>
    <w:p w14:paraId="1BACFA87">
      <w:pPr>
        <w:adjustRightInd w:val="0"/>
        <w:snapToGrid w:val="0"/>
        <w:spacing w:line="440" w:lineRule="exact"/>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4</w:t>
      </w:r>
      <w:r>
        <w:rPr>
          <w:rFonts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《电力设施保护条例实施细则》（2024年修订，2024年3月1日起施行）</w:t>
      </w:r>
      <w:r>
        <w:rPr>
          <w:rFonts w:ascii="Times New Roman" w:hAnsi="Times New Roman" w:cs="Times New Roman"/>
          <w:color w:val="auto"/>
          <w:sz w:val="24"/>
          <w:szCs w:val="24"/>
        </w:rPr>
        <w:t>；</w:t>
      </w:r>
    </w:p>
    <w:p w14:paraId="399DDC15">
      <w:pPr>
        <w:adjustRightInd w:val="0"/>
        <w:snapToGrid w:val="0"/>
        <w:spacing w:line="440" w:lineRule="exact"/>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）《电力设施保护条例》（根据2011年1月8日《国务院关于废止和修改部分行政法规的决定》第二次修订）；</w:t>
      </w:r>
    </w:p>
    <w:p w14:paraId="7295EDEB">
      <w:pPr>
        <w:adjustRightInd w:val="0"/>
        <w:snapToGrid w:val="0"/>
        <w:spacing w:line="440" w:lineRule="exact"/>
        <w:ind w:firstLine="480" w:firstLineChars="200"/>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t>）《建设项目环境影响评价分类管理名录》（2021版）</w:t>
      </w:r>
      <w:r>
        <w:rPr>
          <w:rFonts w:hint="eastAsia" w:ascii="Times New Roman" w:hAnsi="Times New Roman" w:cs="Times New Roman"/>
          <w:color w:val="auto"/>
          <w:sz w:val="24"/>
          <w:szCs w:val="24"/>
          <w:lang w:eastAsia="zh-CN"/>
        </w:rPr>
        <w:t>；</w:t>
      </w:r>
    </w:p>
    <w:p w14:paraId="198934E9">
      <w:pPr>
        <w:adjustRightInd w:val="0"/>
        <w:snapToGrid w:val="0"/>
        <w:spacing w:line="440" w:lineRule="exact"/>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7）《云南省电力设施保护条例》（2024年第二次修正版）》（2024年11月28日实施）</w:t>
      </w:r>
      <w:r>
        <w:rPr>
          <w:rFonts w:ascii="Times New Roman" w:hAnsi="Times New Roman" w:cs="Times New Roman"/>
          <w:color w:val="auto"/>
          <w:sz w:val="24"/>
          <w:szCs w:val="24"/>
        </w:rPr>
        <w:t>。</w:t>
      </w:r>
    </w:p>
    <w:p w14:paraId="115AA689">
      <w:pPr>
        <w:pStyle w:val="5"/>
        <w:adjustRightInd w:val="0"/>
        <w:snapToGrid w:val="0"/>
        <w:spacing w:line="440" w:lineRule="exact"/>
        <w:rPr>
          <w:rFonts w:hint="eastAsia" w:ascii="Times New Roman" w:hAnsi="Times New Roman" w:cs="Times New Roman"/>
          <w:color w:val="auto"/>
        </w:rPr>
      </w:pPr>
      <w:bookmarkStart w:id="124" w:name="_Toc21051"/>
      <w:bookmarkStart w:id="125" w:name="_Toc27175"/>
      <w:bookmarkStart w:id="126" w:name="_Toc24374"/>
      <w:r>
        <w:rPr>
          <w:rFonts w:ascii="Times New Roman" w:hAnsi="Times New Roman" w:cs="Times New Roman"/>
          <w:color w:val="auto"/>
        </w:rPr>
        <w:t>2.1.2 相关的标准和技术导则</w:t>
      </w:r>
      <w:bookmarkEnd w:id="124"/>
      <w:bookmarkEnd w:id="125"/>
      <w:bookmarkEnd w:id="126"/>
    </w:p>
    <w:p w14:paraId="29F40649">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1）《交流输变电工程电磁环境监测方法（试行）》（HJ681-2013）；</w:t>
      </w:r>
    </w:p>
    <w:p w14:paraId="59263E10">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2）《电磁环境控制限值》（GB8702-2014）；</w:t>
      </w:r>
    </w:p>
    <w:p w14:paraId="05C7DC09">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 xml:space="preserve">3）《环境影响评价技术导则 </w:t>
      </w:r>
      <w:r>
        <w:rPr>
          <w:rFonts w:hint="eastAsia" w:ascii="Times New Roman" w:hAnsi="Times New Roman" w:cs="Times New Roman"/>
          <w:color w:val="auto"/>
          <w:sz w:val="24"/>
          <w:szCs w:val="24"/>
        </w:rPr>
        <w:t xml:space="preserve"> </w:t>
      </w:r>
      <w:r>
        <w:rPr>
          <w:rFonts w:ascii="Times New Roman" w:hAnsi="Times New Roman" w:cs="Times New Roman"/>
          <w:color w:val="auto"/>
          <w:sz w:val="24"/>
          <w:szCs w:val="24"/>
        </w:rPr>
        <w:t>输变电》（HJ24-2020）；</w:t>
      </w:r>
    </w:p>
    <w:p w14:paraId="655C6D85">
      <w:pPr>
        <w:adjustRightInd w:val="0"/>
        <w:snapToGrid w:val="0"/>
        <w:spacing w:line="440" w:lineRule="exact"/>
        <w:ind w:firstLine="480" w:firstLineChars="200"/>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rPr>
        <w:t>4）《输变电建设项目环境保护技术要求》（2020年4月1日起实施）</w:t>
      </w:r>
      <w:r>
        <w:rPr>
          <w:rFonts w:hint="eastAsia" w:ascii="Times New Roman" w:hAnsi="Times New Roman" w:cs="Times New Roman"/>
          <w:color w:val="auto"/>
          <w:sz w:val="24"/>
          <w:szCs w:val="24"/>
          <w:lang w:eastAsia="zh-CN"/>
        </w:rPr>
        <w:t>；</w:t>
      </w:r>
    </w:p>
    <w:p w14:paraId="5697FDE3">
      <w:pPr>
        <w:adjustRightInd w:val="0"/>
        <w:snapToGrid w:val="0"/>
        <w:spacing w:line="440" w:lineRule="exact"/>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《建设项目竣工环境保护验收技术规范 输变电》</w:t>
      </w:r>
      <w:r>
        <w:rPr>
          <w:rFonts w:hint="eastAsia" w:ascii="Times New Roman" w:hAnsi="Times New Roman" w:cs="Times New Roman"/>
          <w:color w:val="auto"/>
          <w:sz w:val="24"/>
          <w:szCs w:val="24"/>
          <w:lang w:eastAsia="zh-CN"/>
        </w:rPr>
        <w:t>（HJ705-2020）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2021年3月1日起实施</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p>
    <w:p w14:paraId="13F08BDA">
      <w:pPr>
        <w:adjustRightInd w:val="0"/>
        <w:snapToGrid w:val="0"/>
        <w:spacing w:line="440" w:lineRule="exact"/>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t>《建设项目竣工环境保护验收暂行办法》</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国环规评〔2017〕4号</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w:t>
      </w:r>
    </w:p>
    <w:p w14:paraId="3848FF67">
      <w:pPr>
        <w:pStyle w:val="4"/>
        <w:adjustRightInd w:val="0"/>
        <w:snapToGrid w:val="0"/>
        <w:spacing w:line="440" w:lineRule="exact"/>
        <w:rPr>
          <w:rFonts w:hint="eastAsia" w:ascii="Times New Roman" w:hAnsi="Times New Roman" w:eastAsia="宋体" w:cs="Times New Roman"/>
          <w:color w:val="auto"/>
          <w:szCs w:val="24"/>
        </w:rPr>
      </w:pPr>
      <w:bookmarkStart w:id="127" w:name="_Toc16000"/>
      <w:bookmarkStart w:id="128" w:name="_Toc2010"/>
      <w:bookmarkStart w:id="129" w:name="_Toc29390"/>
      <w:r>
        <w:rPr>
          <w:rFonts w:ascii="Times New Roman" w:hAnsi="Times New Roman" w:eastAsia="宋体" w:cs="Times New Roman"/>
          <w:color w:val="auto"/>
          <w:szCs w:val="24"/>
        </w:rPr>
        <w:t>2.2 环境影响评价因子与评价标准</w:t>
      </w:r>
      <w:bookmarkEnd w:id="127"/>
      <w:bookmarkEnd w:id="128"/>
      <w:bookmarkEnd w:id="129"/>
    </w:p>
    <w:p w14:paraId="50CBEEAB">
      <w:pPr>
        <w:pStyle w:val="5"/>
        <w:adjustRightInd w:val="0"/>
        <w:snapToGrid w:val="0"/>
        <w:spacing w:line="440" w:lineRule="exact"/>
        <w:rPr>
          <w:rFonts w:hint="eastAsia" w:ascii="Times New Roman" w:hAnsi="Times New Roman" w:cs="Times New Roman"/>
          <w:color w:val="auto"/>
        </w:rPr>
      </w:pPr>
      <w:bookmarkStart w:id="130" w:name="_Toc16966"/>
      <w:bookmarkStart w:id="131" w:name="_Toc21056"/>
      <w:bookmarkStart w:id="132" w:name="_Toc2300"/>
      <w:r>
        <w:rPr>
          <w:rFonts w:ascii="Times New Roman" w:hAnsi="Times New Roman" w:cs="Times New Roman"/>
          <w:color w:val="auto"/>
        </w:rPr>
        <w:t>2.2.1 评价因子</w:t>
      </w:r>
      <w:bookmarkEnd w:id="130"/>
      <w:bookmarkEnd w:id="131"/>
      <w:bookmarkEnd w:id="132"/>
    </w:p>
    <w:p w14:paraId="50DC702B">
      <w:pPr>
        <w:spacing w:line="360" w:lineRule="auto"/>
        <w:ind w:firstLine="480" w:firstLineChars="200"/>
        <w:jc w:val="left"/>
        <w:rPr>
          <w:rFonts w:hint="eastAsia" w:ascii="Times New Roman" w:hAnsi="Times New Roman" w:cs="Times New Roman"/>
          <w:color w:val="auto"/>
          <w:sz w:val="24"/>
          <w:szCs w:val="24"/>
        </w:rPr>
      </w:pPr>
      <w:r>
        <w:rPr>
          <w:rFonts w:ascii="Times New Roman" w:hAnsi="Times New Roman" w:cs="Times New Roman"/>
          <w:color w:val="auto"/>
          <w:sz w:val="24"/>
          <w:szCs w:val="24"/>
        </w:rPr>
        <w:t>本项目主要环境影响评价因子见表2-1。</w:t>
      </w:r>
    </w:p>
    <w:p w14:paraId="1D645C2B">
      <w:pPr>
        <w:jc w:val="center"/>
        <w:rPr>
          <w:rFonts w:hint="eastAsia" w:ascii="Times New Roman" w:hAnsi="Times New Roman" w:cs="Times New Roman"/>
          <w:color w:val="auto"/>
          <w:sz w:val="24"/>
          <w:szCs w:val="24"/>
        </w:rPr>
      </w:pPr>
      <w:r>
        <w:rPr>
          <w:rFonts w:ascii="Times New Roman" w:hAnsi="Times New Roman" w:cs="Times New Roman"/>
          <w:b/>
          <w:color w:val="auto"/>
          <w:sz w:val="24"/>
          <w:szCs w:val="24"/>
        </w:rPr>
        <w:t>表</w:t>
      </w:r>
      <w:r>
        <w:rPr>
          <w:rFonts w:hint="eastAsia" w:ascii="Times New Roman" w:hAnsi="Times New Roman" w:cs="Times New Roman"/>
          <w:b/>
          <w:color w:val="auto"/>
          <w:sz w:val="24"/>
          <w:szCs w:val="24"/>
        </w:rPr>
        <w:t>2</w:t>
      </w:r>
      <w:r>
        <w:rPr>
          <w:rFonts w:ascii="Times New Roman" w:hAnsi="Times New Roman" w:cs="Times New Roman"/>
          <w:b/>
          <w:color w:val="auto"/>
          <w:sz w:val="24"/>
          <w:szCs w:val="24"/>
        </w:rPr>
        <w:t xml:space="preserve">-1 </w:t>
      </w:r>
      <w:r>
        <w:rPr>
          <w:rFonts w:hint="eastAsia" w:ascii="Times New Roman" w:hAnsi="Times New Roman" w:cs="Times New Roman"/>
          <w:b/>
          <w:color w:val="auto"/>
          <w:sz w:val="24"/>
          <w:szCs w:val="24"/>
        </w:rPr>
        <w:t xml:space="preserve"> </w:t>
      </w:r>
      <w:r>
        <w:rPr>
          <w:rFonts w:ascii="Times New Roman" w:hAnsi="Times New Roman" w:cs="Times New Roman"/>
          <w:b/>
          <w:color w:val="auto"/>
          <w:sz w:val="24"/>
          <w:szCs w:val="24"/>
        </w:rPr>
        <w:t>环境影响评价因子</w:t>
      </w:r>
    </w:p>
    <w:tbl>
      <w:tblPr>
        <w:tblStyle w:val="27"/>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276"/>
        <w:gridCol w:w="2835"/>
        <w:gridCol w:w="2733"/>
        <w:gridCol w:w="816"/>
      </w:tblGrid>
      <w:tr w14:paraId="6D335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6" w:type="dxa"/>
            <w:noWrap/>
            <w:vAlign w:val="center"/>
          </w:tcPr>
          <w:p w14:paraId="336D8F0A">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评价阶段</w:t>
            </w:r>
          </w:p>
        </w:tc>
        <w:tc>
          <w:tcPr>
            <w:tcW w:w="1276" w:type="dxa"/>
            <w:noWrap/>
            <w:vAlign w:val="center"/>
          </w:tcPr>
          <w:p w14:paraId="0E165319">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评价项目</w:t>
            </w:r>
          </w:p>
        </w:tc>
        <w:tc>
          <w:tcPr>
            <w:tcW w:w="2835" w:type="dxa"/>
            <w:noWrap/>
            <w:vAlign w:val="center"/>
          </w:tcPr>
          <w:p w14:paraId="153A1409">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现状评价因子</w:t>
            </w:r>
          </w:p>
        </w:tc>
        <w:tc>
          <w:tcPr>
            <w:tcW w:w="2733" w:type="dxa"/>
            <w:noWrap/>
            <w:vAlign w:val="center"/>
          </w:tcPr>
          <w:p w14:paraId="52AE86EA">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预测评价因子</w:t>
            </w:r>
          </w:p>
        </w:tc>
        <w:tc>
          <w:tcPr>
            <w:tcW w:w="816" w:type="dxa"/>
            <w:noWrap/>
            <w:vAlign w:val="center"/>
          </w:tcPr>
          <w:p w14:paraId="0FDA2F56">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单位</w:t>
            </w:r>
          </w:p>
        </w:tc>
      </w:tr>
      <w:tr w14:paraId="39C92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6" w:type="dxa"/>
            <w:vMerge w:val="restart"/>
            <w:noWrap/>
            <w:vAlign w:val="center"/>
          </w:tcPr>
          <w:p w14:paraId="3BE4B171">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运行期</w:t>
            </w:r>
          </w:p>
        </w:tc>
        <w:tc>
          <w:tcPr>
            <w:tcW w:w="1276" w:type="dxa"/>
            <w:vMerge w:val="restart"/>
            <w:noWrap/>
            <w:vAlign w:val="center"/>
          </w:tcPr>
          <w:p w14:paraId="3B213A4D">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电磁环境</w:t>
            </w:r>
          </w:p>
        </w:tc>
        <w:tc>
          <w:tcPr>
            <w:tcW w:w="2835" w:type="dxa"/>
            <w:noWrap/>
            <w:vAlign w:val="center"/>
          </w:tcPr>
          <w:p w14:paraId="0DC9F878">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工频电场</w:t>
            </w:r>
          </w:p>
        </w:tc>
        <w:tc>
          <w:tcPr>
            <w:tcW w:w="2733" w:type="dxa"/>
            <w:noWrap/>
            <w:vAlign w:val="center"/>
          </w:tcPr>
          <w:p w14:paraId="3A8D48B1">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工频电场</w:t>
            </w:r>
          </w:p>
        </w:tc>
        <w:tc>
          <w:tcPr>
            <w:tcW w:w="816" w:type="dxa"/>
            <w:noWrap/>
            <w:vAlign w:val="center"/>
          </w:tcPr>
          <w:p w14:paraId="5C7411F1">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kV/m</w:t>
            </w:r>
          </w:p>
        </w:tc>
      </w:tr>
      <w:tr w14:paraId="1DC35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6" w:type="dxa"/>
            <w:vMerge w:val="continue"/>
            <w:noWrap/>
            <w:vAlign w:val="center"/>
          </w:tcPr>
          <w:p w14:paraId="6D60F6F7">
            <w:pPr>
              <w:widowControl/>
              <w:jc w:val="left"/>
              <w:rPr>
                <w:rFonts w:hint="eastAsia" w:ascii="Times New Roman" w:hAnsi="Times New Roman" w:cs="Times New Roman"/>
                <w:color w:val="auto"/>
                <w:kern w:val="0"/>
                <w:szCs w:val="21"/>
              </w:rPr>
            </w:pPr>
          </w:p>
        </w:tc>
        <w:tc>
          <w:tcPr>
            <w:tcW w:w="1276" w:type="dxa"/>
            <w:vMerge w:val="continue"/>
            <w:noWrap/>
            <w:vAlign w:val="center"/>
          </w:tcPr>
          <w:p w14:paraId="506BBBAA">
            <w:pPr>
              <w:widowControl/>
              <w:jc w:val="left"/>
              <w:rPr>
                <w:rFonts w:hint="eastAsia" w:ascii="Times New Roman" w:hAnsi="Times New Roman" w:cs="Times New Roman"/>
                <w:color w:val="auto"/>
                <w:kern w:val="0"/>
                <w:szCs w:val="21"/>
              </w:rPr>
            </w:pPr>
          </w:p>
        </w:tc>
        <w:tc>
          <w:tcPr>
            <w:tcW w:w="2835" w:type="dxa"/>
            <w:noWrap/>
            <w:vAlign w:val="center"/>
          </w:tcPr>
          <w:p w14:paraId="7A992E91">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工频磁场</w:t>
            </w:r>
          </w:p>
        </w:tc>
        <w:tc>
          <w:tcPr>
            <w:tcW w:w="2733" w:type="dxa"/>
            <w:noWrap/>
            <w:vAlign w:val="center"/>
          </w:tcPr>
          <w:p w14:paraId="6CE6D6E0">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工频磁场</w:t>
            </w:r>
          </w:p>
        </w:tc>
        <w:tc>
          <w:tcPr>
            <w:tcW w:w="816" w:type="dxa"/>
            <w:noWrap/>
            <w:vAlign w:val="center"/>
          </w:tcPr>
          <w:p w14:paraId="2071BEC1">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μT</w:t>
            </w:r>
          </w:p>
        </w:tc>
      </w:tr>
    </w:tbl>
    <w:p w14:paraId="0E612DA6">
      <w:pPr>
        <w:pStyle w:val="5"/>
        <w:adjustRightInd w:val="0"/>
        <w:snapToGrid w:val="0"/>
        <w:spacing w:line="440" w:lineRule="exact"/>
        <w:rPr>
          <w:rFonts w:hint="eastAsia" w:ascii="Times New Roman" w:hAnsi="Times New Roman" w:cs="Times New Roman"/>
          <w:color w:val="auto"/>
        </w:rPr>
      </w:pPr>
      <w:bookmarkStart w:id="133" w:name="_Toc3614"/>
      <w:bookmarkStart w:id="134" w:name="_Toc7081"/>
      <w:bookmarkStart w:id="135" w:name="_Toc20309"/>
      <w:r>
        <w:rPr>
          <w:rFonts w:ascii="Times New Roman" w:hAnsi="Times New Roman" w:cs="Times New Roman"/>
          <w:color w:val="auto"/>
        </w:rPr>
        <w:t>2.2.2 评价标准</w:t>
      </w:r>
      <w:bookmarkEnd w:id="133"/>
      <w:bookmarkEnd w:id="134"/>
      <w:bookmarkEnd w:id="135"/>
    </w:p>
    <w:p w14:paraId="4DA2CD53">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项目工频电场强度、工频磁感应强度公众曝露控制限值按照《电磁环境控制限值》（GB8702-2014）执行，项目220kV线路工程交流电频率为50Hz（f=0.05kHz），标准值见表2-2。</w:t>
      </w:r>
    </w:p>
    <w:p w14:paraId="4B7EA14B">
      <w:pPr>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表2-2  电磁环境公众曝露控制限值</w:t>
      </w:r>
    </w:p>
    <w:tbl>
      <w:tblPr>
        <w:tblStyle w:val="27"/>
        <w:tblW w:w="0" w:type="auto"/>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36"/>
        <w:gridCol w:w="2655"/>
        <w:gridCol w:w="2952"/>
      </w:tblGrid>
      <w:tr w14:paraId="5D5608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236" w:type="dxa"/>
            <w:noWrap/>
          </w:tcPr>
          <w:p w14:paraId="386A9415">
            <w:pPr>
              <w:pStyle w:val="51"/>
              <w:adjustRightInd w:val="0"/>
              <w:snapToGrid w:val="0"/>
              <w:rPr>
                <w:rFonts w:hint="eastAsia" w:ascii="Times New Roman" w:hAnsi="Times New Roman" w:cs="Times New Roman"/>
                <w:b/>
                <w:color w:val="auto"/>
                <w:sz w:val="21"/>
                <w:szCs w:val="21"/>
              </w:rPr>
            </w:pPr>
            <w:r>
              <w:rPr>
                <w:rFonts w:ascii="Times New Roman" w:hAnsi="Times New Roman" w:cs="Times New Roman"/>
                <w:b/>
                <w:color w:val="auto"/>
                <w:sz w:val="21"/>
                <w:szCs w:val="21"/>
              </w:rPr>
              <w:t>频率范围</w:t>
            </w:r>
          </w:p>
        </w:tc>
        <w:tc>
          <w:tcPr>
            <w:tcW w:w="2655" w:type="dxa"/>
            <w:noWrap/>
          </w:tcPr>
          <w:p w14:paraId="24BCAFE2">
            <w:pPr>
              <w:pStyle w:val="51"/>
              <w:adjustRightInd w:val="0"/>
              <w:snapToGrid w:val="0"/>
              <w:rPr>
                <w:rFonts w:hint="eastAsia" w:ascii="Times New Roman" w:hAnsi="Times New Roman" w:cs="Times New Roman"/>
                <w:b/>
                <w:color w:val="auto"/>
                <w:sz w:val="21"/>
                <w:szCs w:val="21"/>
              </w:rPr>
            </w:pPr>
            <w:r>
              <w:rPr>
                <w:rFonts w:ascii="Times New Roman" w:hAnsi="Times New Roman" w:cs="Times New Roman"/>
                <w:b/>
                <w:color w:val="auto"/>
                <w:sz w:val="21"/>
                <w:szCs w:val="21"/>
              </w:rPr>
              <w:t>电场强度E（V/m）</w:t>
            </w:r>
          </w:p>
        </w:tc>
        <w:tc>
          <w:tcPr>
            <w:tcW w:w="2952" w:type="dxa"/>
            <w:noWrap/>
          </w:tcPr>
          <w:p w14:paraId="2F124FEC">
            <w:pPr>
              <w:pStyle w:val="51"/>
              <w:adjustRightInd w:val="0"/>
              <w:snapToGrid w:val="0"/>
              <w:rPr>
                <w:rFonts w:hint="eastAsia" w:ascii="Times New Roman" w:hAnsi="Times New Roman" w:cs="Times New Roman"/>
                <w:b/>
                <w:color w:val="auto"/>
                <w:sz w:val="21"/>
                <w:szCs w:val="21"/>
              </w:rPr>
            </w:pPr>
            <w:r>
              <w:rPr>
                <w:rFonts w:ascii="Times New Roman" w:hAnsi="Times New Roman" w:cs="Times New Roman"/>
                <w:b/>
                <w:color w:val="auto"/>
                <w:sz w:val="21"/>
                <w:szCs w:val="21"/>
              </w:rPr>
              <w:t>磁感应强度B（μT）</w:t>
            </w:r>
          </w:p>
        </w:tc>
      </w:tr>
      <w:tr w14:paraId="0CF822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3236" w:type="dxa"/>
            <w:noWrap/>
          </w:tcPr>
          <w:p w14:paraId="73286AF7">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0.025kHz~1.2kHz</w:t>
            </w:r>
          </w:p>
        </w:tc>
        <w:tc>
          <w:tcPr>
            <w:tcW w:w="2655" w:type="dxa"/>
            <w:noWrap/>
          </w:tcPr>
          <w:p w14:paraId="1728C7DD">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200/f</w:t>
            </w:r>
          </w:p>
        </w:tc>
        <w:tc>
          <w:tcPr>
            <w:tcW w:w="2952" w:type="dxa"/>
            <w:noWrap/>
          </w:tcPr>
          <w:p w14:paraId="75953BDF">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5/f</w:t>
            </w:r>
          </w:p>
        </w:tc>
      </w:tr>
      <w:tr w14:paraId="20D426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3236" w:type="dxa"/>
            <w:noWrap/>
          </w:tcPr>
          <w:p w14:paraId="7901E379">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输电线路工作频率（0.05kHz）</w:t>
            </w:r>
          </w:p>
        </w:tc>
        <w:tc>
          <w:tcPr>
            <w:tcW w:w="2655" w:type="dxa"/>
            <w:noWrap/>
          </w:tcPr>
          <w:p w14:paraId="711FA243">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4000V/m（4kV/m）</w:t>
            </w:r>
          </w:p>
        </w:tc>
        <w:tc>
          <w:tcPr>
            <w:tcW w:w="2952" w:type="dxa"/>
            <w:noWrap/>
          </w:tcPr>
          <w:p w14:paraId="10E2A02E">
            <w:pPr>
              <w:pStyle w:val="51"/>
              <w:adjustRightInd w:val="0"/>
              <w:snapToGrid w:val="0"/>
              <w:rPr>
                <w:rFonts w:hint="eastAsia" w:ascii="Times New Roman" w:hAnsi="Times New Roman" w:cs="Times New Roman"/>
                <w:color w:val="auto"/>
                <w:sz w:val="21"/>
                <w:szCs w:val="21"/>
              </w:rPr>
            </w:pPr>
            <w:r>
              <w:rPr>
                <w:rFonts w:ascii="Times New Roman" w:hAnsi="Times New Roman" w:cs="Times New Roman"/>
                <w:color w:val="auto"/>
                <w:sz w:val="21"/>
                <w:szCs w:val="21"/>
              </w:rPr>
              <w:t>100μT（0.1mT）</w:t>
            </w:r>
          </w:p>
        </w:tc>
      </w:tr>
      <w:tr w14:paraId="336198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8843" w:type="dxa"/>
            <w:gridSpan w:val="3"/>
            <w:noWrap/>
          </w:tcPr>
          <w:p w14:paraId="47920711">
            <w:pPr>
              <w:pStyle w:val="51"/>
              <w:adjustRightInd w:val="0"/>
              <w:snapToGrid w:val="0"/>
              <w:jc w:val="left"/>
              <w:rPr>
                <w:rFonts w:hint="eastAsia" w:ascii="Times New Roman" w:hAnsi="Times New Roman" w:cs="Times New Roman"/>
                <w:color w:val="auto"/>
                <w:sz w:val="21"/>
                <w:szCs w:val="21"/>
              </w:rPr>
            </w:pPr>
            <w:r>
              <w:rPr>
                <w:rFonts w:ascii="Times New Roman" w:hAnsi="Times New Roman" w:cs="Times New Roman"/>
                <w:color w:val="auto"/>
                <w:sz w:val="21"/>
                <w:szCs w:val="21"/>
              </w:rPr>
              <w:t>注：1、频率f的取值为0.05kHz。</w:t>
            </w:r>
          </w:p>
          <w:p w14:paraId="2F716812">
            <w:pPr>
              <w:pStyle w:val="51"/>
              <w:adjustRightInd w:val="0"/>
              <w:snapToGrid w:val="0"/>
              <w:jc w:val="left"/>
              <w:rPr>
                <w:rFonts w:hint="eastAsia" w:ascii="Times New Roman" w:hAnsi="Times New Roman" w:cs="Times New Roman"/>
                <w:color w:val="auto"/>
                <w:sz w:val="21"/>
                <w:szCs w:val="21"/>
              </w:rPr>
            </w:pPr>
            <w:r>
              <w:rPr>
                <w:rFonts w:ascii="Times New Roman" w:hAnsi="Times New Roman" w:cs="Times New Roman"/>
                <w:color w:val="auto"/>
                <w:sz w:val="21"/>
                <w:szCs w:val="21"/>
              </w:rPr>
              <w:t>2、架空输电线路线下的耕地、园地、牧草地、畜禽饲养地、养殖水面、道路等场所，其频率50Hz 的电场强度控制限值为10kV/m，且应给出警示和防护指示标志。</w:t>
            </w:r>
          </w:p>
        </w:tc>
      </w:tr>
    </w:tbl>
    <w:p w14:paraId="40198FE0">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①工频电场：以4000V/m作为工频电场强度公众曝露控制限值。</w:t>
      </w:r>
    </w:p>
    <w:p w14:paraId="4DC8B714">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②工频磁场：以100μT作为工频磁感应强度公众曝露控制限值。</w:t>
      </w:r>
    </w:p>
    <w:p w14:paraId="64E7A94B">
      <w:pPr>
        <w:pStyle w:val="4"/>
        <w:adjustRightInd w:val="0"/>
        <w:snapToGrid w:val="0"/>
        <w:spacing w:line="440" w:lineRule="exact"/>
        <w:rPr>
          <w:rFonts w:hint="eastAsia" w:ascii="Times New Roman" w:hAnsi="Times New Roman" w:eastAsia="宋体" w:cs="Times New Roman"/>
          <w:color w:val="auto"/>
          <w:szCs w:val="24"/>
        </w:rPr>
      </w:pPr>
      <w:bookmarkStart w:id="136" w:name="_Toc21065"/>
      <w:bookmarkStart w:id="137" w:name="_Toc9440"/>
      <w:bookmarkStart w:id="138" w:name="_Toc21952"/>
      <w:r>
        <w:rPr>
          <w:rFonts w:ascii="Times New Roman" w:hAnsi="Times New Roman" w:eastAsia="宋体" w:cs="Times New Roman"/>
          <w:color w:val="auto"/>
          <w:szCs w:val="24"/>
        </w:rPr>
        <w:t>2.3 环境影响评价工作等级</w:t>
      </w:r>
      <w:bookmarkEnd w:id="136"/>
      <w:bookmarkEnd w:id="137"/>
      <w:bookmarkEnd w:id="138"/>
    </w:p>
    <w:p w14:paraId="41F608CF">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项目电磁环境要素评价等级具体见表2-3。</w:t>
      </w:r>
    </w:p>
    <w:p w14:paraId="5B0F7E62">
      <w:pPr>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表2-3  环境影响评价工作等级</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49"/>
        <w:gridCol w:w="2863"/>
        <w:gridCol w:w="2202"/>
        <w:gridCol w:w="1687"/>
      </w:tblGrid>
      <w:tr w14:paraId="1AEB81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78" w:type="pct"/>
            <w:gridSpan w:val="2"/>
            <w:shd w:val="clear" w:color="auto" w:fill="auto"/>
            <w:noWrap/>
            <w:vAlign w:val="center"/>
          </w:tcPr>
          <w:p w14:paraId="23B63C85">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评价类别</w:t>
            </w:r>
          </w:p>
        </w:tc>
        <w:tc>
          <w:tcPr>
            <w:tcW w:w="1620" w:type="pct"/>
            <w:vAlign w:val="center"/>
          </w:tcPr>
          <w:p w14:paraId="6D65CE82">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评定条件</w:t>
            </w:r>
          </w:p>
        </w:tc>
        <w:tc>
          <w:tcPr>
            <w:tcW w:w="1246" w:type="pct"/>
            <w:shd w:val="clear" w:color="auto" w:fill="auto"/>
            <w:noWrap/>
            <w:vAlign w:val="center"/>
          </w:tcPr>
          <w:p w14:paraId="7D3AC44F">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本工程内容</w:t>
            </w:r>
          </w:p>
        </w:tc>
        <w:tc>
          <w:tcPr>
            <w:tcW w:w="954" w:type="pct"/>
            <w:shd w:val="clear" w:color="auto" w:fill="auto"/>
            <w:noWrap/>
            <w:vAlign w:val="center"/>
          </w:tcPr>
          <w:p w14:paraId="6D3B7B94">
            <w:pPr>
              <w:widowControl/>
              <w:jc w:val="center"/>
              <w:rPr>
                <w:rFonts w:hint="eastAsia" w:ascii="Times New Roman" w:hAnsi="Times New Roman" w:cs="Times New Roman"/>
                <w:b/>
                <w:color w:val="auto"/>
                <w:kern w:val="0"/>
                <w:szCs w:val="21"/>
              </w:rPr>
            </w:pPr>
            <w:r>
              <w:rPr>
                <w:rFonts w:ascii="Times New Roman" w:hAnsi="Times New Roman" w:cs="Times New Roman"/>
                <w:b/>
                <w:color w:val="auto"/>
                <w:kern w:val="0"/>
                <w:szCs w:val="21"/>
              </w:rPr>
              <w:t>评价工作等级</w:t>
            </w:r>
          </w:p>
        </w:tc>
      </w:tr>
      <w:tr w14:paraId="024E54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41" w:type="pct"/>
            <w:shd w:val="clear" w:color="auto" w:fill="auto"/>
            <w:noWrap/>
            <w:vAlign w:val="center"/>
          </w:tcPr>
          <w:p w14:paraId="2D9F8B10">
            <w:pPr>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电磁环影响</w:t>
            </w:r>
          </w:p>
        </w:tc>
        <w:tc>
          <w:tcPr>
            <w:tcW w:w="537" w:type="pct"/>
            <w:shd w:val="clear" w:color="auto" w:fill="auto"/>
            <w:noWrap/>
            <w:vAlign w:val="center"/>
          </w:tcPr>
          <w:p w14:paraId="4F9A39B0">
            <w:pPr>
              <w:widowControl/>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输电线路</w:t>
            </w:r>
          </w:p>
        </w:tc>
        <w:tc>
          <w:tcPr>
            <w:tcW w:w="1620" w:type="pct"/>
            <w:shd w:val="clear" w:color="auto" w:fill="auto"/>
            <w:vAlign w:val="center"/>
          </w:tcPr>
          <w:p w14:paraId="2DF57F9A">
            <w:pPr>
              <w:widowControl/>
              <w:adjustRightInd w:val="0"/>
              <w:snapToGrid w:val="0"/>
              <w:jc w:val="center"/>
              <w:rPr>
                <w:rFonts w:hint="eastAsia" w:ascii="Times New Roman" w:hAnsi="Times New Roman" w:cs="Times New Roman"/>
                <w:color w:val="auto"/>
                <w:kern w:val="0"/>
                <w:szCs w:val="21"/>
              </w:rPr>
            </w:pPr>
            <w:r>
              <w:rPr>
                <w:rFonts w:ascii="Times New Roman" w:hAnsi="Times New Roman" w:cs="Times New Roman"/>
                <w:color w:val="auto"/>
                <w:kern w:val="0"/>
                <w:szCs w:val="21"/>
                <w:highlight w:val="none"/>
              </w:rPr>
              <w:t>架空线路边导线地面投影外两侧15m范围内</w:t>
            </w:r>
            <w:r>
              <w:rPr>
                <w:rFonts w:hint="eastAsia" w:ascii="Times New Roman" w:hAnsi="Times New Roman" w:cs="Times New Roman"/>
                <w:color w:val="auto"/>
                <w:kern w:val="0"/>
                <w:szCs w:val="21"/>
                <w:highlight w:val="none"/>
                <w:lang w:val="en-US" w:eastAsia="zh-CN"/>
              </w:rPr>
              <w:t>有</w:t>
            </w:r>
            <w:r>
              <w:rPr>
                <w:rFonts w:ascii="Times New Roman" w:hAnsi="Times New Roman" w:cs="Times New Roman"/>
                <w:color w:val="auto"/>
                <w:kern w:val="0"/>
                <w:szCs w:val="21"/>
                <w:highlight w:val="none"/>
              </w:rPr>
              <w:t>电磁环境敏感目标划分为</w:t>
            </w:r>
            <w:r>
              <w:rPr>
                <w:rFonts w:hint="eastAsia" w:ascii="Times New Roman" w:hAnsi="Times New Roman" w:cs="Times New Roman"/>
                <w:color w:val="auto"/>
                <w:kern w:val="0"/>
                <w:szCs w:val="21"/>
                <w:highlight w:val="none"/>
                <w:lang w:val="en-US" w:eastAsia="zh-CN"/>
              </w:rPr>
              <w:t>二</w:t>
            </w:r>
            <w:r>
              <w:rPr>
                <w:rFonts w:ascii="Times New Roman" w:hAnsi="Times New Roman" w:cs="Times New Roman"/>
                <w:color w:val="auto"/>
                <w:kern w:val="0"/>
                <w:szCs w:val="21"/>
                <w:highlight w:val="none"/>
              </w:rPr>
              <w:t>级</w:t>
            </w:r>
          </w:p>
        </w:tc>
        <w:tc>
          <w:tcPr>
            <w:tcW w:w="1246" w:type="pct"/>
            <w:shd w:val="clear" w:color="auto" w:fill="auto"/>
            <w:noWrap/>
            <w:vAlign w:val="center"/>
          </w:tcPr>
          <w:p w14:paraId="079509E7">
            <w:pPr>
              <w:widowControl/>
              <w:adjustRightInd w:val="0"/>
              <w:snapToGrid w:val="0"/>
              <w:jc w:val="center"/>
              <w:rPr>
                <w:rFonts w:hint="eastAsia" w:ascii="Times New Roman" w:hAnsi="Times New Roman" w:cs="Times New Roman"/>
                <w:color w:val="auto"/>
                <w:kern w:val="0"/>
                <w:szCs w:val="21"/>
              </w:rPr>
            </w:pPr>
            <w:r>
              <w:rPr>
                <w:rFonts w:ascii="Times New Roman" w:hAnsi="Times New Roman" w:cs="Times New Roman"/>
                <w:color w:val="auto"/>
                <w:kern w:val="0"/>
                <w:szCs w:val="21"/>
              </w:rPr>
              <w:t>本项目边导线地面投影外1</w:t>
            </w:r>
            <w:r>
              <w:rPr>
                <w:rFonts w:hint="eastAsia" w:ascii="Times New Roman" w:hAnsi="Times New Roman" w:cs="Times New Roman"/>
                <w:color w:val="auto"/>
                <w:kern w:val="0"/>
                <w:szCs w:val="21"/>
                <w:lang w:val="en-US" w:eastAsia="zh-CN"/>
              </w:rPr>
              <w:t>5</w:t>
            </w:r>
            <w:r>
              <w:rPr>
                <w:rFonts w:ascii="Times New Roman" w:hAnsi="Times New Roman" w:cs="Times New Roman"/>
                <w:color w:val="auto"/>
                <w:kern w:val="0"/>
                <w:szCs w:val="21"/>
              </w:rPr>
              <w:t>m范围</w:t>
            </w:r>
            <w:r>
              <w:rPr>
                <w:rFonts w:hint="eastAsia" w:ascii="Times New Roman" w:hAnsi="Times New Roman" w:cs="Times New Roman"/>
                <w:color w:val="auto"/>
                <w:kern w:val="0"/>
                <w:szCs w:val="21"/>
                <w:lang w:val="en-US" w:eastAsia="zh-CN"/>
              </w:rPr>
              <w:t>内有</w:t>
            </w:r>
            <w:r>
              <w:rPr>
                <w:rFonts w:ascii="Times New Roman" w:hAnsi="Times New Roman" w:cs="Times New Roman"/>
                <w:color w:val="auto"/>
                <w:kern w:val="0"/>
                <w:szCs w:val="21"/>
              </w:rPr>
              <w:t>电磁环境敏感目标</w:t>
            </w:r>
          </w:p>
        </w:tc>
        <w:tc>
          <w:tcPr>
            <w:tcW w:w="954" w:type="pct"/>
            <w:shd w:val="clear" w:color="auto" w:fill="auto"/>
            <w:noWrap/>
            <w:vAlign w:val="center"/>
          </w:tcPr>
          <w:p w14:paraId="4B6A4236">
            <w:pPr>
              <w:widowControl/>
              <w:jc w:val="center"/>
              <w:rPr>
                <w:rFonts w:hint="eastAsia" w:ascii="Times New Roman" w:hAnsi="Times New Roman" w:cs="Times New Roman"/>
                <w:color w:val="auto"/>
                <w:kern w:val="0"/>
                <w:szCs w:val="21"/>
              </w:rPr>
            </w:pPr>
            <w:r>
              <w:rPr>
                <w:rFonts w:hint="eastAsia" w:ascii="Times New Roman" w:hAnsi="Times New Roman" w:cs="Times New Roman"/>
                <w:color w:val="auto"/>
                <w:kern w:val="0"/>
                <w:szCs w:val="21"/>
                <w:lang w:val="en-US" w:eastAsia="zh-CN"/>
              </w:rPr>
              <w:t>二</w:t>
            </w:r>
            <w:r>
              <w:rPr>
                <w:rFonts w:ascii="Times New Roman" w:hAnsi="Times New Roman" w:cs="Times New Roman"/>
                <w:color w:val="auto"/>
                <w:kern w:val="0"/>
                <w:szCs w:val="21"/>
              </w:rPr>
              <w:t>级</w:t>
            </w:r>
          </w:p>
        </w:tc>
      </w:tr>
    </w:tbl>
    <w:p w14:paraId="2A201951">
      <w:pPr>
        <w:pStyle w:val="4"/>
        <w:adjustRightInd w:val="0"/>
        <w:snapToGrid w:val="0"/>
        <w:spacing w:line="440" w:lineRule="exact"/>
        <w:rPr>
          <w:rFonts w:hint="eastAsia" w:ascii="Times New Roman" w:hAnsi="Times New Roman" w:eastAsia="宋体" w:cs="Times New Roman"/>
          <w:color w:val="auto"/>
          <w:szCs w:val="24"/>
        </w:rPr>
      </w:pPr>
      <w:bookmarkStart w:id="139" w:name="_Toc18207"/>
      <w:bookmarkStart w:id="140" w:name="_Toc17109"/>
      <w:bookmarkStart w:id="141" w:name="_Toc21004"/>
      <w:r>
        <w:rPr>
          <w:rFonts w:ascii="Times New Roman" w:hAnsi="Times New Roman" w:eastAsia="宋体" w:cs="Times New Roman"/>
          <w:color w:val="auto"/>
          <w:szCs w:val="24"/>
        </w:rPr>
        <w:t>2.4 评价范围</w:t>
      </w:r>
      <w:bookmarkEnd w:id="139"/>
      <w:bookmarkEnd w:id="140"/>
      <w:bookmarkEnd w:id="141"/>
    </w:p>
    <w:p w14:paraId="5B5E36F1">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项目各环境要素评价范围具体见表2-4。</w:t>
      </w:r>
    </w:p>
    <w:p w14:paraId="541C843A">
      <w:pPr>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表2-4  环境影响评价范围</w:t>
      </w:r>
    </w:p>
    <w:tbl>
      <w:tblPr>
        <w:tblStyle w:val="28"/>
        <w:tblW w:w="928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418"/>
        <w:gridCol w:w="1559"/>
        <w:gridCol w:w="1975"/>
        <w:gridCol w:w="3092"/>
      </w:tblGrid>
      <w:tr w14:paraId="1874A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3979939">
            <w:pPr>
              <w:jc w:val="center"/>
              <w:rPr>
                <w:rFonts w:hint="eastAsia" w:ascii="Times New Roman" w:hAnsi="Times New Roman" w:cs="Times New Roman"/>
                <w:b/>
                <w:color w:val="auto"/>
                <w:szCs w:val="21"/>
              </w:rPr>
            </w:pPr>
            <w:r>
              <w:rPr>
                <w:rFonts w:ascii="Times New Roman" w:hAnsi="Times New Roman" w:cs="Times New Roman"/>
                <w:b/>
                <w:color w:val="auto"/>
                <w:szCs w:val="21"/>
              </w:rPr>
              <w:t>分类</w:t>
            </w:r>
          </w:p>
        </w:tc>
        <w:tc>
          <w:tcPr>
            <w:tcW w:w="1418" w:type="dxa"/>
            <w:vAlign w:val="center"/>
          </w:tcPr>
          <w:p w14:paraId="1C1E140F">
            <w:pPr>
              <w:jc w:val="center"/>
              <w:rPr>
                <w:rFonts w:hint="eastAsia" w:ascii="Times New Roman" w:hAnsi="Times New Roman" w:cs="Times New Roman"/>
                <w:b/>
                <w:color w:val="auto"/>
                <w:szCs w:val="21"/>
              </w:rPr>
            </w:pPr>
            <w:r>
              <w:rPr>
                <w:rFonts w:ascii="Times New Roman" w:hAnsi="Times New Roman" w:cs="Times New Roman"/>
                <w:b/>
                <w:color w:val="auto"/>
                <w:szCs w:val="21"/>
              </w:rPr>
              <w:t>电压等级</w:t>
            </w:r>
          </w:p>
        </w:tc>
        <w:tc>
          <w:tcPr>
            <w:tcW w:w="3534" w:type="dxa"/>
            <w:gridSpan w:val="2"/>
            <w:vAlign w:val="center"/>
          </w:tcPr>
          <w:p w14:paraId="21A0FE22">
            <w:pPr>
              <w:jc w:val="center"/>
              <w:rPr>
                <w:rFonts w:hint="eastAsia" w:ascii="Times New Roman" w:hAnsi="Times New Roman" w:cs="Times New Roman"/>
                <w:b/>
                <w:color w:val="auto"/>
                <w:szCs w:val="21"/>
              </w:rPr>
            </w:pPr>
            <w:r>
              <w:rPr>
                <w:rFonts w:ascii="Times New Roman" w:hAnsi="Times New Roman" w:cs="Times New Roman"/>
                <w:b/>
                <w:color w:val="auto"/>
                <w:szCs w:val="21"/>
              </w:rPr>
              <w:t>工程</w:t>
            </w:r>
          </w:p>
        </w:tc>
        <w:tc>
          <w:tcPr>
            <w:tcW w:w="3092" w:type="dxa"/>
            <w:vAlign w:val="center"/>
          </w:tcPr>
          <w:p w14:paraId="1221A935">
            <w:pPr>
              <w:jc w:val="center"/>
              <w:rPr>
                <w:rFonts w:hint="eastAsia" w:ascii="Times New Roman" w:hAnsi="Times New Roman" w:cs="Times New Roman"/>
                <w:b/>
                <w:color w:val="auto"/>
                <w:szCs w:val="21"/>
              </w:rPr>
            </w:pPr>
            <w:r>
              <w:rPr>
                <w:rFonts w:ascii="Times New Roman" w:hAnsi="Times New Roman" w:cs="Times New Roman"/>
                <w:b/>
                <w:color w:val="auto"/>
                <w:szCs w:val="21"/>
              </w:rPr>
              <w:t>评价范围</w:t>
            </w:r>
          </w:p>
        </w:tc>
      </w:tr>
      <w:tr w14:paraId="01228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BD05486">
            <w:pPr>
              <w:jc w:val="center"/>
              <w:rPr>
                <w:rFonts w:hint="eastAsia" w:ascii="Times New Roman" w:hAnsi="Times New Roman" w:cs="Times New Roman"/>
                <w:color w:val="auto"/>
                <w:szCs w:val="21"/>
              </w:rPr>
            </w:pPr>
            <w:r>
              <w:rPr>
                <w:rFonts w:ascii="Times New Roman" w:hAnsi="Times New Roman" w:cs="Times New Roman"/>
                <w:color w:val="auto"/>
                <w:szCs w:val="21"/>
              </w:rPr>
              <w:t>交流</w:t>
            </w:r>
          </w:p>
        </w:tc>
        <w:tc>
          <w:tcPr>
            <w:tcW w:w="1418" w:type="dxa"/>
            <w:vAlign w:val="center"/>
          </w:tcPr>
          <w:p w14:paraId="4122E6A9">
            <w:pPr>
              <w:jc w:val="center"/>
              <w:rPr>
                <w:rFonts w:hint="eastAsia" w:ascii="Times New Roman" w:hAnsi="Times New Roman" w:eastAsia="宋体" w:cs="Times New Roman"/>
                <w:color w:val="auto"/>
                <w:szCs w:val="21"/>
                <w:lang w:val="en-US" w:eastAsia="zh-CN"/>
              </w:rPr>
            </w:pPr>
            <w:r>
              <w:rPr>
                <w:rFonts w:ascii="Times New Roman" w:hAnsi="Times New Roman" w:cs="Times New Roman"/>
                <w:color w:val="auto"/>
                <w:szCs w:val="21"/>
              </w:rPr>
              <w:t>220k</w:t>
            </w:r>
            <w:r>
              <w:rPr>
                <w:rFonts w:hint="eastAsia" w:ascii="Times New Roman" w:hAnsi="Times New Roman" w:cs="Times New Roman"/>
                <w:color w:val="auto"/>
                <w:szCs w:val="21"/>
                <w:lang w:val="en-US" w:eastAsia="zh-CN"/>
              </w:rPr>
              <w:t>V</w:t>
            </w:r>
          </w:p>
        </w:tc>
        <w:tc>
          <w:tcPr>
            <w:tcW w:w="1559" w:type="dxa"/>
            <w:vAlign w:val="center"/>
          </w:tcPr>
          <w:p w14:paraId="7C266AC9">
            <w:pPr>
              <w:widowControl/>
              <w:jc w:val="center"/>
              <w:rPr>
                <w:rFonts w:hint="eastAsia" w:ascii="Times New Roman" w:hAnsi="Times New Roman" w:cs="Times New Roman"/>
                <w:color w:val="auto"/>
                <w:szCs w:val="21"/>
              </w:rPr>
            </w:pPr>
            <w:r>
              <w:rPr>
                <w:rFonts w:ascii="Times New Roman" w:hAnsi="Times New Roman" w:cs="Times New Roman"/>
                <w:color w:val="auto"/>
                <w:kern w:val="0"/>
                <w:szCs w:val="21"/>
              </w:rPr>
              <w:t>电磁环境影响</w:t>
            </w:r>
          </w:p>
        </w:tc>
        <w:tc>
          <w:tcPr>
            <w:tcW w:w="1975" w:type="dxa"/>
            <w:vAlign w:val="center"/>
          </w:tcPr>
          <w:p w14:paraId="7571A39C">
            <w:pPr>
              <w:widowControl/>
              <w:jc w:val="center"/>
              <w:rPr>
                <w:rFonts w:hint="eastAsia" w:ascii="Times New Roman" w:hAnsi="Times New Roman" w:cs="Times New Roman"/>
                <w:color w:val="auto"/>
                <w:szCs w:val="21"/>
              </w:rPr>
            </w:pPr>
            <w:r>
              <w:rPr>
                <w:rFonts w:ascii="Times New Roman" w:hAnsi="Times New Roman" w:cs="Times New Roman"/>
                <w:color w:val="auto"/>
                <w:kern w:val="0"/>
                <w:szCs w:val="21"/>
              </w:rPr>
              <w:t>架空线路</w:t>
            </w:r>
          </w:p>
        </w:tc>
        <w:tc>
          <w:tcPr>
            <w:tcW w:w="3092" w:type="dxa"/>
            <w:vAlign w:val="center"/>
          </w:tcPr>
          <w:p w14:paraId="31058976">
            <w:pPr>
              <w:widowControl/>
              <w:jc w:val="left"/>
              <w:rPr>
                <w:rFonts w:hint="eastAsia" w:ascii="Times New Roman" w:hAnsi="Times New Roman" w:cs="Times New Roman"/>
                <w:color w:val="auto"/>
                <w:szCs w:val="21"/>
              </w:rPr>
            </w:pPr>
            <w:r>
              <w:rPr>
                <w:rFonts w:ascii="Times New Roman" w:hAnsi="Times New Roman" w:cs="Times New Roman"/>
                <w:color w:val="auto"/>
                <w:kern w:val="0"/>
                <w:szCs w:val="21"/>
              </w:rPr>
              <w:t>边导线地面投影外两侧各40m</w:t>
            </w:r>
          </w:p>
        </w:tc>
      </w:tr>
    </w:tbl>
    <w:p w14:paraId="262E6F39">
      <w:pPr>
        <w:pStyle w:val="4"/>
        <w:adjustRightInd w:val="0"/>
        <w:snapToGrid w:val="0"/>
        <w:spacing w:line="440" w:lineRule="exact"/>
        <w:rPr>
          <w:rFonts w:hint="eastAsia" w:ascii="Times New Roman" w:hAnsi="Times New Roman" w:eastAsia="宋体" w:cs="Times New Roman"/>
          <w:color w:val="auto"/>
          <w:szCs w:val="24"/>
        </w:rPr>
      </w:pPr>
      <w:bookmarkStart w:id="142" w:name="_Toc6832"/>
      <w:bookmarkStart w:id="143" w:name="_Toc15179"/>
      <w:bookmarkStart w:id="144" w:name="_Toc15957"/>
      <w:r>
        <w:rPr>
          <w:rFonts w:ascii="Times New Roman" w:hAnsi="Times New Roman" w:eastAsia="宋体" w:cs="Times New Roman"/>
          <w:color w:val="auto"/>
          <w:szCs w:val="24"/>
        </w:rPr>
        <w:t>2.5 环境敏感目标</w:t>
      </w:r>
      <w:bookmarkEnd w:id="142"/>
      <w:bookmarkEnd w:id="143"/>
      <w:bookmarkEnd w:id="144"/>
    </w:p>
    <w:p w14:paraId="335C9FE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szCs w:val="24"/>
        </w:rPr>
      </w:pPr>
      <w:r>
        <w:rPr>
          <w:rFonts w:ascii="Times New Roman" w:hAnsi="Times New Roman" w:cs="Times New Roman"/>
          <w:color w:val="auto"/>
          <w:sz w:val="24"/>
          <w:szCs w:val="24"/>
        </w:rPr>
        <w:t>依据设计等资料并进行现场踏勘，本评价工程各评价因子重点评价范围，确定工程评价范围内的环境保护目标。具体见表2-5。</w:t>
      </w:r>
    </w:p>
    <w:p w14:paraId="5026242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color w:val="auto"/>
          <w:sz w:val="24"/>
          <w:szCs w:val="24"/>
        </w:rPr>
      </w:pPr>
      <w:r>
        <w:rPr>
          <w:rFonts w:ascii="Times New Roman" w:hAnsi="Times New Roman"/>
          <w:color w:val="auto"/>
          <w:sz w:val="24"/>
          <w:szCs w:val="24"/>
        </w:rPr>
        <w:t>根据现场调查，架空线路两侧40m范围内</w:t>
      </w:r>
      <w:r>
        <w:rPr>
          <w:rFonts w:hint="eastAsia" w:ascii="Times New Roman" w:hAnsi="Times New Roman"/>
          <w:color w:val="auto"/>
          <w:sz w:val="24"/>
          <w:szCs w:val="24"/>
          <w:lang w:val="en-US" w:eastAsia="zh-CN"/>
        </w:rPr>
        <w:t>分布7处</w:t>
      </w:r>
      <w:r>
        <w:rPr>
          <w:rFonts w:ascii="Times New Roman" w:hAnsi="Times New Roman"/>
          <w:color w:val="auto"/>
          <w:sz w:val="24"/>
          <w:szCs w:val="24"/>
        </w:rPr>
        <w:t>电磁环境保护目标。</w:t>
      </w:r>
    </w:p>
    <w:p w14:paraId="3646C460">
      <w:pPr>
        <w:adjustRightInd w:val="0"/>
        <w:snapToGrid w:val="0"/>
        <w:jc w:val="center"/>
        <w:rPr>
          <w:rFonts w:ascii="Times New Roman" w:hAnsi="Times New Roman" w:cs="Times New Roman"/>
          <w:b/>
          <w:color w:val="auto"/>
          <w:sz w:val="24"/>
          <w:szCs w:val="24"/>
        </w:rPr>
        <w:sectPr>
          <w:pgSz w:w="11907" w:h="16839"/>
          <w:pgMar w:top="1418" w:right="1644" w:bottom="1418" w:left="1644" w:header="737" w:footer="1020" w:gutter="0"/>
          <w:pgBorders>
            <w:top w:val="none" w:sz="0" w:space="0"/>
            <w:left w:val="none" w:sz="0" w:space="0"/>
            <w:bottom w:val="none" w:sz="0" w:space="0"/>
            <w:right w:val="none" w:sz="0" w:space="0"/>
          </w:pgBorders>
          <w:cols w:space="425" w:num="1"/>
          <w:docGrid w:type="lines" w:linePitch="312" w:charSpace="0"/>
        </w:sectPr>
      </w:pPr>
    </w:p>
    <w:p w14:paraId="2E5D29F5">
      <w:pPr>
        <w:adjustRightInd w:val="0"/>
        <w:snapToGrid w:val="0"/>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表2-5  项目环境保护目标一览表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8"/>
        <w:gridCol w:w="378"/>
        <w:gridCol w:w="697"/>
        <w:gridCol w:w="537"/>
        <w:gridCol w:w="3418"/>
        <w:gridCol w:w="1399"/>
        <w:gridCol w:w="1040"/>
        <w:gridCol w:w="929"/>
        <w:gridCol w:w="817"/>
        <w:gridCol w:w="681"/>
        <w:gridCol w:w="1100"/>
        <w:gridCol w:w="2845"/>
      </w:tblGrid>
      <w:tr w14:paraId="4874E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771CE6F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cs="Times New Roman"/>
                <w:b/>
                <w:bCs/>
                <w:color w:val="auto"/>
                <w:kern w:val="0"/>
                <w:szCs w:val="21"/>
                <w:lang w:val="en-US" w:eastAsia="zh-CN"/>
              </w:rPr>
              <w:t>序号</w:t>
            </w:r>
          </w:p>
        </w:tc>
        <w:tc>
          <w:tcPr>
            <w:tcW w:w="132" w:type="pct"/>
            <w:noWrap/>
            <w:vAlign w:val="center"/>
          </w:tcPr>
          <w:p w14:paraId="7E7048E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类别</w:t>
            </w:r>
          </w:p>
        </w:tc>
        <w:tc>
          <w:tcPr>
            <w:tcW w:w="244" w:type="pct"/>
            <w:noWrap/>
            <w:vAlign w:val="center"/>
          </w:tcPr>
          <w:p w14:paraId="38B6B27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区域</w:t>
            </w:r>
          </w:p>
        </w:tc>
        <w:tc>
          <w:tcPr>
            <w:tcW w:w="188" w:type="pct"/>
            <w:noWrap/>
            <w:vAlign w:val="center"/>
          </w:tcPr>
          <w:p w14:paraId="4718CD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名称</w:t>
            </w:r>
          </w:p>
        </w:tc>
        <w:tc>
          <w:tcPr>
            <w:tcW w:w="1201" w:type="pct"/>
            <w:noWrap/>
            <w:vAlign w:val="center"/>
          </w:tcPr>
          <w:p w14:paraId="2E97DA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cs="Times New Roman"/>
                <w:b/>
                <w:bCs/>
                <w:color w:val="auto"/>
                <w:kern w:val="0"/>
                <w:szCs w:val="21"/>
              </w:rPr>
              <w:t>最近</w:t>
            </w:r>
            <w:r>
              <w:rPr>
                <w:rFonts w:hint="default" w:ascii="Times New Roman" w:hAnsi="Times New Roman" w:cs="Times New Roman"/>
                <w:b/>
                <w:bCs/>
                <w:color w:val="auto"/>
                <w:kern w:val="0"/>
                <w:szCs w:val="21"/>
                <w:lang w:val="en-US" w:eastAsia="zh-CN"/>
              </w:rPr>
              <w:t>保护</w:t>
            </w:r>
            <w:r>
              <w:rPr>
                <w:rFonts w:hint="default" w:ascii="Times New Roman" w:hAnsi="Times New Roman" w:cs="Times New Roman"/>
                <w:b/>
                <w:bCs/>
                <w:color w:val="auto"/>
                <w:kern w:val="0"/>
                <w:szCs w:val="21"/>
              </w:rPr>
              <w:t>目标相对方位</w:t>
            </w:r>
            <w:r>
              <w:rPr>
                <w:rFonts w:hint="default" w:ascii="Times New Roman" w:hAnsi="Times New Roman" w:cs="Times New Roman"/>
                <w:b/>
                <w:bCs/>
                <w:color w:val="auto"/>
                <w:kern w:val="0"/>
                <w:szCs w:val="21"/>
                <w:lang w:val="en-US" w:eastAsia="zh-CN"/>
              </w:rPr>
              <w:t>及距离</w:t>
            </w:r>
            <w:r>
              <w:rPr>
                <w:rFonts w:hint="eastAsia" w:ascii="Times New Roman" w:hAnsi="Times New Roman" w:cs="Times New Roman"/>
                <w:b/>
                <w:bCs/>
                <w:color w:val="auto"/>
                <w:kern w:val="0"/>
                <w:szCs w:val="21"/>
                <w:lang w:val="en-US" w:eastAsia="zh-CN"/>
              </w:rPr>
              <w:t>（</w:t>
            </w:r>
            <w:r>
              <w:rPr>
                <w:rFonts w:hint="default" w:ascii="Times New Roman" w:hAnsi="Times New Roman" w:cs="Times New Roman"/>
                <w:b/>
                <w:bCs/>
                <w:color w:val="auto"/>
                <w:kern w:val="0"/>
                <w:szCs w:val="21"/>
              </w:rPr>
              <w:t>m</w:t>
            </w:r>
            <w:r>
              <w:rPr>
                <w:rFonts w:hint="eastAsia" w:ascii="Times New Roman" w:hAnsi="Times New Roman" w:cs="Times New Roman"/>
                <w:b/>
                <w:bCs/>
                <w:color w:val="auto"/>
                <w:kern w:val="0"/>
                <w:szCs w:val="21"/>
                <w:lang w:eastAsia="zh-CN"/>
              </w:rPr>
              <w:t>）</w:t>
            </w:r>
          </w:p>
        </w:tc>
        <w:tc>
          <w:tcPr>
            <w:tcW w:w="492" w:type="pct"/>
            <w:noWrap/>
            <w:vAlign w:val="center"/>
          </w:tcPr>
          <w:p w14:paraId="47A3B2E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cs="Times New Roman"/>
                <w:b/>
                <w:bCs/>
                <w:color w:val="auto"/>
                <w:kern w:val="0"/>
                <w:szCs w:val="21"/>
                <w:highlight w:val="none"/>
                <w:lang w:val="en-US" w:eastAsia="zh-CN"/>
              </w:rPr>
              <w:t>保护</w:t>
            </w:r>
            <w:r>
              <w:rPr>
                <w:rFonts w:hint="default" w:ascii="Times New Roman" w:hAnsi="Times New Roman" w:cs="Times New Roman"/>
                <w:b/>
                <w:bCs/>
                <w:color w:val="auto"/>
                <w:kern w:val="0"/>
                <w:szCs w:val="21"/>
                <w:highlight w:val="none"/>
              </w:rPr>
              <w:t>目标</w:t>
            </w:r>
            <w:r>
              <w:rPr>
                <w:rFonts w:hint="eastAsia" w:ascii="Times New Roman" w:hAnsi="Times New Roman" w:cs="Times New Roman"/>
                <w:b/>
                <w:bCs/>
                <w:color w:val="auto"/>
                <w:kern w:val="0"/>
                <w:szCs w:val="21"/>
                <w:highlight w:val="none"/>
                <w:lang w:val="en-US" w:eastAsia="zh-CN"/>
              </w:rPr>
              <w:t>处导线</w:t>
            </w:r>
            <w:r>
              <w:rPr>
                <w:rFonts w:hint="default" w:ascii="Times New Roman" w:hAnsi="Times New Roman" w:cs="Times New Roman"/>
                <w:b/>
                <w:bCs/>
                <w:color w:val="auto"/>
                <w:kern w:val="0"/>
                <w:szCs w:val="21"/>
                <w:highlight w:val="none"/>
                <w:lang w:val="en-US" w:eastAsia="zh-CN"/>
              </w:rPr>
              <w:t>对地高度（m）</w:t>
            </w:r>
          </w:p>
        </w:tc>
        <w:tc>
          <w:tcPr>
            <w:tcW w:w="365" w:type="pct"/>
            <w:noWrap/>
            <w:vAlign w:val="center"/>
          </w:tcPr>
          <w:p w14:paraId="2D69730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房屋层数及结构</w:t>
            </w:r>
          </w:p>
        </w:tc>
        <w:tc>
          <w:tcPr>
            <w:tcW w:w="326" w:type="pct"/>
            <w:noWrap/>
            <w:vAlign w:val="center"/>
          </w:tcPr>
          <w:p w14:paraId="6D7DF21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房屋高度</w:t>
            </w:r>
            <w:r>
              <w:rPr>
                <w:rFonts w:hint="eastAsia" w:ascii="Times New Roman" w:hAnsi="Times New Roman" w:cs="Times New Roman"/>
                <w:b/>
                <w:bCs/>
                <w:color w:val="auto"/>
                <w:kern w:val="0"/>
                <w:szCs w:val="21"/>
                <w:lang w:eastAsia="zh-CN"/>
              </w:rPr>
              <w:t>（</w:t>
            </w:r>
            <w:r>
              <w:rPr>
                <w:rFonts w:hint="default" w:ascii="Times New Roman" w:hAnsi="Times New Roman" w:cs="Times New Roman"/>
                <w:b/>
                <w:bCs/>
                <w:color w:val="auto"/>
                <w:kern w:val="0"/>
                <w:szCs w:val="21"/>
              </w:rPr>
              <w:t>m</w:t>
            </w:r>
            <w:r>
              <w:rPr>
                <w:rFonts w:hint="eastAsia" w:ascii="Times New Roman" w:hAnsi="Times New Roman" w:cs="Times New Roman"/>
                <w:b/>
                <w:bCs/>
                <w:color w:val="auto"/>
                <w:kern w:val="0"/>
                <w:szCs w:val="21"/>
                <w:lang w:eastAsia="zh-CN"/>
              </w:rPr>
              <w:t>）</w:t>
            </w:r>
          </w:p>
        </w:tc>
        <w:tc>
          <w:tcPr>
            <w:tcW w:w="287" w:type="pct"/>
            <w:noWrap/>
            <w:vAlign w:val="center"/>
          </w:tcPr>
          <w:p w14:paraId="44E6387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影响规模</w:t>
            </w:r>
          </w:p>
        </w:tc>
        <w:tc>
          <w:tcPr>
            <w:tcW w:w="239" w:type="pct"/>
            <w:noWrap/>
            <w:vAlign w:val="center"/>
          </w:tcPr>
          <w:p w14:paraId="63E5527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功能</w:t>
            </w:r>
          </w:p>
        </w:tc>
        <w:tc>
          <w:tcPr>
            <w:tcW w:w="386" w:type="pct"/>
            <w:noWrap/>
            <w:vAlign w:val="center"/>
          </w:tcPr>
          <w:p w14:paraId="41BC165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保护级别</w:t>
            </w:r>
          </w:p>
        </w:tc>
        <w:tc>
          <w:tcPr>
            <w:tcW w:w="1000" w:type="pct"/>
            <w:noWrap/>
            <w:vAlign w:val="center"/>
          </w:tcPr>
          <w:p w14:paraId="7A0D9A1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Cs w:val="21"/>
                <w:lang w:val="en-US" w:eastAsia="zh-CN"/>
              </w:rPr>
            </w:pPr>
            <w:r>
              <w:rPr>
                <w:rFonts w:hint="eastAsia" w:ascii="Times New Roman" w:hAnsi="Times New Roman" w:cs="Times New Roman"/>
                <w:b/>
                <w:bCs/>
                <w:color w:val="auto"/>
                <w:kern w:val="0"/>
                <w:szCs w:val="21"/>
                <w:lang w:val="en-US" w:eastAsia="zh-CN"/>
              </w:rPr>
              <w:t>照片</w:t>
            </w:r>
          </w:p>
        </w:tc>
      </w:tr>
      <w:tr w14:paraId="66D393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2"/>
            <w:noWrap/>
            <w:vAlign w:val="center"/>
          </w:tcPr>
          <w:p w14:paraId="5694A31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架空线路</w:t>
            </w:r>
          </w:p>
        </w:tc>
      </w:tr>
      <w:tr w14:paraId="11E70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146E106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1</w:t>
            </w:r>
          </w:p>
        </w:tc>
        <w:tc>
          <w:tcPr>
            <w:tcW w:w="132" w:type="pct"/>
            <w:vMerge w:val="restart"/>
            <w:noWrap/>
            <w:vAlign w:val="center"/>
          </w:tcPr>
          <w:p w14:paraId="27D1440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电磁</w:t>
            </w:r>
          </w:p>
        </w:tc>
        <w:tc>
          <w:tcPr>
            <w:tcW w:w="244" w:type="pct"/>
            <w:vMerge w:val="restart"/>
            <w:noWrap/>
            <w:vAlign w:val="center"/>
          </w:tcPr>
          <w:p w14:paraId="1F3512B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eastAsia" w:ascii="Times New Roman" w:hAnsi="Times New Roman" w:cs="Times New Roman"/>
                <w:color w:val="auto"/>
                <w:kern w:val="0"/>
                <w:szCs w:val="21"/>
                <w:lang w:eastAsia="zh-CN"/>
              </w:rPr>
              <w:t>会泽县</w:t>
            </w:r>
            <w:r>
              <w:rPr>
                <w:rFonts w:hint="eastAsia" w:ascii="Times New Roman" w:hAnsi="Times New Roman" w:cs="Times New Roman"/>
                <w:color w:val="auto"/>
                <w:kern w:val="0"/>
                <w:szCs w:val="21"/>
                <w:lang w:val="en-US" w:eastAsia="zh-CN"/>
              </w:rPr>
              <w:t>乐业镇</w:t>
            </w:r>
          </w:p>
        </w:tc>
        <w:tc>
          <w:tcPr>
            <w:tcW w:w="188" w:type="pct"/>
            <w:noWrap/>
            <w:vAlign w:val="center"/>
          </w:tcPr>
          <w:p w14:paraId="426B7B3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lang w:val="en-US" w:eastAsia="zh-CN"/>
              </w:rPr>
              <w:t>六合村</w:t>
            </w:r>
          </w:p>
        </w:tc>
        <w:tc>
          <w:tcPr>
            <w:tcW w:w="1201" w:type="pct"/>
            <w:noWrap/>
            <w:vAlign w:val="center"/>
          </w:tcPr>
          <w:p w14:paraId="33DE3E5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eastAsia="zh-CN"/>
              </w:rPr>
            </w:pPr>
            <w:r>
              <w:rPr>
                <w:rFonts w:hint="eastAsia" w:ascii="Times New Roman" w:hAnsi="Times New Roman" w:eastAsia="宋体" w:cs="Times New Roman"/>
                <w:color w:val="auto"/>
                <w:kern w:val="0"/>
                <w:szCs w:val="21"/>
                <w:highlight w:val="none"/>
                <w:lang w:val="en-US" w:eastAsia="zh-CN"/>
              </w:rPr>
              <w:t>线路</w:t>
            </w:r>
            <w:r>
              <w:rPr>
                <w:rFonts w:hint="default" w:ascii="Times New Roman" w:hAnsi="Times New Roman" w:eastAsia="宋体" w:cs="Times New Roman"/>
                <w:color w:val="auto"/>
                <w:kern w:val="0"/>
                <w:szCs w:val="21"/>
                <w:highlight w:val="none"/>
                <w:lang w:val="en-US" w:eastAsia="zh-CN"/>
              </w:rPr>
              <w:t>塔基N</w:t>
            </w:r>
            <w:r>
              <w:rPr>
                <w:rFonts w:hint="eastAsia" w:ascii="Times New Roman" w:hAnsi="Times New Roman" w:cs="Times New Roman"/>
                <w:color w:val="auto"/>
                <w:kern w:val="0"/>
                <w:szCs w:val="21"/>
                <w:highlight w:val="none"/>
                <w:lang w:val="en-US" w:eastAsia="zh-CN"/>
              </w:rPr>
              <w:t>1</w:t>
            </w:r>
            <w:r>
              <w:rPr>
                <w:rFonts w:hint="default" w:ascii="Times New Roman" w:hAnsi="Times New Roman" w:eastAsia="宋体" w:cs="Times New Roman"/>
                <w:color w:val="auto"/>
                <w:kern w:val="0"/>
                <w:szCs w:val="21"/>
                <w:highlight w:val="none"/>
                <w:lang w:val="en-US" w:eastAsia="zh-CN"/>
              </w:rPr>
              <w:t>~N</w:t>
            </w:r>
            <w:r>
              <w:rPr>
                <w:rFonts w:hint="eastAsia" w:ascii="Times New Roman" w:hAnsi="Times New Roman" w:cs="Times New Roman"/>
                <w:color w:val="auto"/>
                <w:kern w:val="0"/>
                <w:szCs w:val="21"/>
                <w:highlight w:val="none"/>
                <w:lang w:val="en-US" w:eastAsia="zh-CN"/>
              </w:rPr>
              <w:t>2</w:t>
            </w:r>
            <w:r>
              <w:rPr>
                <w:rFonts w:hint="default" w:ascii="Times New Roman" w:hAnsi="Times New Roman" w:eastAsia="宋体" w:cs="Times New Roman"/>
                <w:color w:val="auto"/>
                <w:kern w:val="0"/>
                <w:szCs w:val="21"/>
                <w:highlight w:val="none"/>
                <w:lang w:val="en-US" w:eastAsia="zh-CN"/>
              </w:rPr>
              <w:t>之间六合村2F</w:t>
            </w:r>
            <w:r>
              <w:rPr>
                <w:rFonts w:hint="eastAsia" w:ascii="Times New Roman" w:hAnsi="Times New Roman" w:cs="Times New Roman"/>
                <w:color w:val="auto"/>
                <w:kern w:val="0"/>
                <w:szCs w:val="21"/>
                <w:highlight w:val="none"/>
                <w:lang w:val="en-US" w:eastAsia="zh-CN"/>
              </w:rPr>
              <w:t>居民房</w:t>
            </w:r>
            <w:r>
              <w:rPr>
                <w:rFonts w:hint="eastAsia" w:ascii="Times New Roman" w:hAnsi="Times New Roman" w:eastAsia="宋体" w:cs="Times New Roman"/>
                <w:color w:val="auto"/>
                <w:kern w:val="0"/>
                <w:szCs w:val="21"/>
                <w:highlight w:val="none"/>
                <w:lang w:val="en-US" w:eastAsia="zh-CN"/>
              </w:rPr>
              <w:t>，</w:t>
            </w:r>
            <w:r>
              <w:rPr>
                <w:rFonts w:hint="eastAsia" w:ascii="Times New Roman" w:hAnsi="Times New Roman" w:cs="Times New Roman"/>
                <w:color w:val="auto"/>
                <w:kern w:val="0"/>
                <w:szCs w:val="21"/>
                <w:highlight w:val="none"/>
                <w:lang w:val="en-US" w:eastAsia="zh-CN"/>
              </w:rPr>
              <w:t>北</w:t>
            </w:r>
            <w:r>
              <w:rPr>
                <w:rFonts w:hint="eastAsia" w:ascii="Times New Roman" w:hAnsi="Times New Roman" w:eastAsia="宋体" w:cs="Times New Roman"/>
                <w:color w:val="auto"/>
                <w:kern w:val="0"/>
                <w:szCs w:val="21"/>
                <w:highlight w:val="none"/>
                <w:lang w:val="en-US" w:eastAsia="zh-CN"/>
              </w:rPr>
              <w:t>侧2</w:t>
            </w:r>
            <w:r>
              <w:rPr>
                <w:rFonts w:hint="eastAsia" w:ascii="Times New Roman" w:hAnsi="Times New Roman" w:cs="Times New Roman"/>
                <w:color w:val="auto"/>
                <w:kern w:val="0"/>
                <w:szCs w:val="21"/>
                <w:highlight w:val="none"/>
                <w:lang w:val="en-US" w:eastAsia="zh-CN"/>
              </w:rPr>
              <w:t>2</w:t>
            </w:r>
            <w:r>
              <w:rPr>
                <w:rFonts w:hint="eastAsia" w:ascii="Times New Roman" w:hAnsi="Times New Roman" w:eastAsia="宋体" w:cs="Times New Roman"/>
                <w:color w:val="auto"/>
                <w:kern w:val="0"/>
                <w:szCs w:val="21"/>
                <w:highlight w:val="none"/>
                <w:lang w:val="en-US" w:eastAsia="zh-CN"/>
              </w:rPr>
              <w:t>m</w:t>
            </w:r>
            <w:r>
              <w:rPr>
                <w:rFonts w:hint="eastAsia" w:ascii="Times New Roman" w:hAnsi="Times New Roman" w:cs="Times New Roman"/>
                <w:color w:val="auto"/>
                <w:kern w:val="0"/>
                <w:szCs w:val="21"/>
                <w:highlight w:val="none"/>
                <w:lang w:val="en-US" w:eastAsia="zh-CN"/>
              </w:rPr>
              <w:t>（与边导线地面投影水平距离为14m）</w:t>
            </w:r>
          </w:p>
        </w:tc>
        <w:tc>
          <w:tcPr>
            <w:tcW w:w="492" w:type="pct"/>
            <w:noWrap/>
            <w:vAlign w:val="center"/>
          </w:tcPr>
          <w:p w14:paraId="5783D24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13.8m</w:t>
            </w:r>
          </w:p>
        </w:tc>
        <w:tc>
          <w:tcPr>
            <w:tcW w:w="365" w:type="pct"/>
            <w:noWrap/>
            <w:vAlign w:val="center"/>
          </w:tcPr>
          <w:p w14:paraId="469A186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2</w:t>
            </w:r>
            <w:r>
              <w:rPr>
                <w:rFonts w:hint="default" w:ascii="Times New Roman" w:hAnsi="Times New Roman" w:cs="Times New Roman"/>
                <w:color w:val="auto"/>
                <w:kern w:val="0"/>
                <w:szCs w:val="21"/>
              </w:rPr>
              <w:t>F，</w:t>
            </w:r>
            <w:r>
              <w:rPr>
                <w:rFonts w:hint="eastAsia" w:ascii="Times New Roman" w:hAnsi="Times New Roman" w:cs="Times New Roman"/>
                <w:color w:val="auto"/>
                <w:kern w:val="0"/>
                <w:szCs w:val="21"/>
                <w:lang w:val="en-US" w:eastAsia="zh-CN"/>
              </w:rPr>
              <w:t>坡顶瓦房</w:t>
            </w:r>
          </w:p>
        </w:tc>
        <w:tc>
          <w:tcPr>
            <w:tcW w:w="326" w:type="pct"/>
            <w:noWrap/>
            <w:vAlign w:val="center"/>
          </w:tcPr>
          <w:p w14:paraId="70BDDD7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6</w:t>
            </w:r>
          </w:p>
        </w:tc>
        <w:tc>
          <w:tcPr>
            <w:tcW w:w="287" w:type="pct"/>
            <w:noWrap/>
            <w:vAlign w:val="center"/>
          </w:tcPr>
          <w:p w14:paraId="61B0C9C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eastAsia" w:ascii="Times New Roman" w:hAnsi="Times New Roman" w:cs="Times New Roman"/>
                <w:color w:val="auto"/>
                <w:kern w:val="0"/>
                <w:szCs w:val="21"/>
                <w:lang w:val="en-US" w:eastAsia="zh-CN"/>
              </w:rPr>
              <w:t>4</w:t>
            </w:r>
            <w:r>
              <w:rPr>
                <w:rFonts w:hint="default" w:ascii="Times New Roman" w:hAnsi="Times New Roman" w:cs="Times New Roman"/>
                <w:color w:val="auto"/>
                <w:kern w:val="0"/>
                <w:szCs w:val="21"/>
              </w:rPr>
              <w:t>户，</w:t>
            </w:r>
            <w:r>
              <w:rPr>
                <w:rFonts w:hint="eastAsia" w:ascii="Times New Roman" w:hAnsi="Times New Roman" w:cs="Times New Roman"/>
                <w:color w:val="auto"/>
                <w:kern w:val="0"/>
                <w:szCs w:val="21"/>
                <w:lang w:val="en-US" w:eastAsia="zh-CN"/>
              </w:rPr>
              <w:t>16</w:t>
            </w:r>
            <w:r>
              <w:rPr>
                <w:rFonts w:hint="default" w:ascii="Times New Roman" w:hAnsi="Times New Roman" w:cs="Times New Roman"/>
                <w:color w:val="auto"/>
                <w:kern w:val="0"/>
                <w:szCs w:val="21"/>
              </w:rPr>
              <w:t>人</w:t>
            </w:r>
          </w:p>
        </w:tc>
        <w:tc>
          <w:tcPr>
            <w:tcW w:w="239" w:type="pct"/>
            <w:noWrap/>
            <w:vAlign w:val="center"/>
          </w:tcPr>
          <w:p w14:paraId="230402C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restart"/>
            <w:noWrap/>
            <w:vAlign w:val="center"/>
          </w:tcPr>
          <w:p w14:paraId="12EA47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《电磁环境控制限值》（GB8702-2014）工频电场强度4000V/m和工频磁感应强度限值100μT；</w:t>
            </w:r>
          </w:p>
        </w:tc>
        <w:tc>
          <w:tcPr>
            <w:tcW w:w="1000" w:type="pct"/>
            <w:noWrap/>
            <w:vAlign w:val="center"/>
          </w:tcPr>
          <w:p w14:paraId="7442CC4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098550"/>
                  <wp:effectExtent l="0" t="0" r="8890" b="6350"/>
                  <wp:docPr id="44" name="图片 44" descr="IMG2026051116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20260511161421"/>
                          <pic:cNvPicPr>
                            <a:picLocks noChangeAspect="1"/>
                          </pic:cNvPicPr>
                        </pic:nvPicPr>
                        <pic:blipFill>
                          <a:blip r:embed="rId40"/>
                          <a:stretch>
                            <a:fillRect/>
                          </a:stretch>
                        </pic:blipFill>
                        <pic:spPr>
                          <a:xfrm>
                            <a:off x="0" y="0"/>
                            <a:ext cx="1629410" cy="1098550"/>
                          </a:xfrm>
                          <a:prstGeom prst="rect">
                            <a:avLst/>
                          </a:prstGeom>
                        </pic:spPr>
                      </pic:pic>
                    </a:graphicData>
                  </a:graphic>
                </wp:inline>
              </w:drawing>
            </w:r>
          </w:p>
        </w:tc>
      </w:tr>
      <w:tr w14:paraId="7DF2B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40C5F9F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w:t>
            </w:r>
          </w:p>
        </w:tc>
        <w:tc>
          <w:tcPr>
            <w:tcW w:w="132" w:type="pct"/>
            <w:vMerge w:val="continue"/>
            <w:noWrap/>
            <w:vAlign w:val="center"/>
          </w:tcPr>
          <w:p w14:paraId="6102350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5E8F19A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eastAsia="zh-CN"/>
              </w:rPr>
            </w:pPr>
          </w:p>
        </w:tc>
        <w:tc>
          <w:tcPr>
            <w:tcW w:w="188" w:type="pct"/>
            <w:noWrap/>
            <w:vAlign w:val="center"/>
          </w:tcPr>
          <w:p w14:paraId="589B41A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color w:val="auto"/>
                <w:kern w:val="0"/>
                <w:szCs w:val="21"/>
                <w:highlight w:val="none"/>
                <w:lang w:val="en-US" w:eastAsia="zh-CN"/>
              </w:rPr>
              <w:t>石灰窑</w:t>
            </w:r>
          </w:p>
        </w:tc>
        <w:tc>
          <w:tcPr>
            <w:tcW w:w="1201" w:type="pct"/>
            <w:shd w:val="clear" w:color="auto" w:fill="auto"/>
            <w:noWrap/>
            <w:vAlign w:val="center"/>
          </w:tcPr>
          <w:p w14:paraId="11888B3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塔基N11~N12之间石灰窑散户</w:t>
            </w:r>
            <w:r>
              <w:rPr>
                <w:rFonts w:hint="default" w:ascii="Times New Roman" w:hAnsi="Times New Roman" w:eastAsia="宋体" w:cs="Times New Roman"/>
                <w:color w:val="auto"/>
                <w:kern w:val="0"/>
                <w:szCs w:val="21"/>
                <w:highlight w:val="none"/>
                <w:lang w:val="en-US" w:eastAsia="zh-CN"/>
              </w:rPr>
              <w:t>2F</w:t>
            </w:r>
            <w:r>
              <w:rPr>
                <w:rFonts w:hint="eastAsia" w:ascii="Times New Roman" w:hAnsi="Times New Roman" w:cs="Times New Roman"/>
                <w:color w:val="auto"/>
                <w:kern w:val="0"/>
                <w:szCs w:val="21"/>
                <w:highlight w:val="none"/>
                <w:lang w:val="en-US" w:eastAsia="zh-CN"/>
              </w:rPr>
              <w:t>居民房</w:t>
            </w:r>
            <w:r>
              <w:rPr>
                <w:rFonts w:hint="eastAsia" w:ascii="Times New Roman" w:hAnsi="Times New Roman" w:eastAsia="宋体" w:cs="Times New Roman"/>
                <w:color w:val="auto"/>
                <w:kern w:val="0"/>
                <w:szCs w:val="21"/>
                <w:highlight w:val="none"/>
                <w:lang w:val="en-US" w:eastAsia="zh-CN"/>
              </w:rPr>
              <w:t>，</w:t>
            </w:r>
            <w:r>
              <w:rPr>
                <w:rFonts w:hint="eastAsia" w:ascii="Times New Roman" w:hAnsi="Times New Roman" w:cs="Times New Roman"/>
                <w:color w:val="auto"/>
                <w:kern w:val="0"/>
                <w:szCs w:val="21"/>
                <w:highlight w:val="none"/>
                <w:lang w:val="en-US" w:eastAsia="zh-CN"/>
              </w:rPr>
              <w:t>东</w:t>
            </w:r>
            <w:r>
              <w:rPr>
                <w:rFonts w:hint="eastAsia" w:ascii="Times New Roman" w:hAnsi="Times New Roman" w:eastAsia="宋体" w:cs="Times New Roman"/>
                <w:color w:val="auto"/>
                <w:kern w:val="0"/>
                <w:szCs w:val="21"/>
                <w:highlight w:val="none"/>
                <w:lang w:val="en-US" w:eastAsia="zh-CN"/>
              </w:rPr>
              <w:t>侧30m</w:t>
            </w:r>
            <w:r>
              <w:rPr>
                <w:rFonts w:hint="eastAsia" w:ascii="Times New Roman" w:hAnsi="Times New Roman" w:cs="Times New Roman"/>
                <w:color w:val="auto"/>
                <w:kern w:val="0"/>
                <w:szCs w:val="21"/>
                <w:highlight w:val="none"/>
                <w:lang w:val="en-US" w:eastAsia="zh-CN"/>
              </w:rPr>
              <w:t>（与边导线地面投影水平距离为22m）</w:t>
            </w:r>
          </w:p>
        </w:tc>
        <w:tc>
          <w:tcPr>
            <w:tcW w:w="492" w:type="pct"/>
            <w:noWrap/>
            <w:vAlign w:val="center"/>
          </w:tcPr>
          <w:p w14:paraId="4E9B5E9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43m</w:t>
            </w:r>
          </w:p>
        </w:tc>
        <w:tc>
          <w:tcPr>
            <w:tcW w:w="365" w:type="pct"/>
            <w:noWrap/>
            <w:vAlign w:val="center"/>
          </w:tcPr>
          <w:p w14:paraId="714651D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w:t>
            </w:r>
            <w:r>
              <w:rPr>
                <w:rFonts w:hint="default" w:ascii="Times New Roman" w:hAnsi="Times New Roman" w:cs="Times New Roman"/>
                <w:color w:val="auto"/>
                <w:kern w:val="0"/>
                <w:szCs w:val="21"/>
              </w:rPr>
              <w:t>F，</w:t>
            </w:r>
            <w:r>
              <w:rPr>
                <w:rFonts w:hint="eastAsia" w:ascii="Times New Roman" w:hAnsi="Times New Roman" w:cs="Times New Roman"/>
                <w:color w:val="auto"/>
                <w:kern w:val="0"/>
                <w:szCs w:val="21"/>
                <w:lang w:val="en-US" w:eastAsia="zh-CN"/>
              </w:rPr>
              <w:t>平顶砖混结构</w:t>
            </w:r>
          </w:p>
        </w:tc>
        <w:tc>
          <w:tcPr>
            <w:tcW w:w="326" w:type="pct"/>
            <w:noWrap/>
            <w:vAlign w:val="center"/>
          </w:tcPr>
          <w:p w14:paraId="6C4C5F9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w:t>
            </w:r>
          </w:p>
        </w:tc>
        <w:tc>
          <w:tcPr>
            <w:tcW w:w="287" w:type="pct"/>
            <w:noWrap/>
            <w:vAlign w:val="center"/>
          </w:tcPr>
          <w:p w14:paraId="34A645A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1户，</w:t>
            </w:r>
            <w:r>
              <w:rPr>
                <w:rFonts w:hint="eastAsia" w:ascii="Times New Roman" w:hAnsi="Times New Roman" w:cs="Times New Roman"/>
                <w:color w:val="auto"/>
                <w:kern w:val="0"/>
                <w:szCs w:val="21"/>
                <w:lang w:val="en-US" w:eastAsia="zh-CN"/>
              </w:rPr>
              <w:t>5</w:t>
            </w:r>
            <w:r>
              <w:rPr>
                <w:rFonts w:hint="default" w:ascii="Times New Roman" w:hAnsi="Times New Roman" w:cs="Times New Roman"/>
                <w:color w:val="auto"/>
                <w:kern w:val="0"/>
                <w:szCs w:val="21"/>
              </w:rPr>
              <w:t>人</w:t>
            </w:r>
          </w:p>
        </w:tc>
        <w:tc>
          <w:tcPr>
            <w:tcW w:w="239" w:type="pct"/>
            <w:noWrap/>
            <w:vAlign w:val="center"/>
          </w:tcPr>
          <w:p w14:paraId="687E7CC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continue"/>
            <w:noWrap/>
            <w:vAlign w:val="center"/>
          </w:tcPr>
          <w:p w14:paraId="0075290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0BDB17C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005840"/>
                  <wp:effectExtent l="0" t="0" r="8890" b="3810"/>
                  <wp:docPr id="45" name="图片 45" descr="IMG2026051116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20260511164117"/>
                          <pic:cNvPicPr>
                            <a:picLocks noChangeAspect="1"/>
                          </pic:cNvPicPr>
                        </pic:nvPicPr>
                        <pic:blipFill>
                          <a:blip r:embed="rId41"/>
                          <a:stretch>
                            <a:fillRect/>
                          </a:stretch>
                        </pic:blipFill>
                        <pic:spPr>
                          <a:xfrm>
                            <a:off x="0" y="0"/>
                            <a:ext cx="1629410" cy="1005840"/>
                          </a:xfrm>
                          <a:prstGeom prst="rect">
                            <a:avLst/>
                          </a:prstGeom>
                        </pic:spPr>
                      </pic:pic>
                    </a:graphicData>
                  </a:graphic>
                </wp:inline>
              </w:drawing>
            </w:r>
          </w:p>
        </w:tc>
      </w:tr>
      <w:tr w14:paraId="3A632D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48E4E4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w:t>
            </w:r>
          </w:p>
        </w:tc>
        <w:tc>
          <w:tcPr>
            <w:tcW w:w="132" w:type="pct"/>
            <w:vMerge w:val="continue"/>
            <w:noWrap/>
            <w:vAlign w:val="center"/>
          </w:tcPr>
          <w:p w14:paraId="077FBF3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6F3AC96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eastAsia="zh-CN"/>
              </w:rPr>
            </w:pPr>
          </w:p>
        </w:tc>
        <w:tc>
          <w:tcPr>
            <w:tcW w:w="188" w:type="pct"/>
            <w:noWrap/>
            <w:vAlign w:val="center"/>
          </w:tcPr>
          <w:p w14:paraId="34CB2A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w:t>
            </w:r>
          </w:p>
        </w:tc>
        <w:tc>
          <w:tcPr>
            <w:tcW w:w="1201" w:type="pct"/>
            <w:shd w:val="clear" w:color="auto" w:fill="auto"/>
            <w:noWrap/>
            <w:vAlign w:val="center"/>
          </w:tcPr>
          <w:p w14:paraId="137B761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塔基N23~N24之间隧道工棚，</w:t>
            </w:r>
            <w:r>
              <w:rPr>
                <w:rFonts w:hint="default" w:ascii="Times New Roman" w:hAnsi="Times New Roman" w:eastAsia="宋体" w:cs="Times New Roman"/>
                <w:color w:val="auto"/>
                <w:kern w:val="0"/>
                <w:szCs w:val="21"/>
                <w:highlight w:val="none"/>
                <w:lang w:val="en-US" w:eastAsia="zh-CN"/>
              </w:rPr>
              <w:t>2F</w:t>
            </w:r>
            <w:r>
              <w:rPr>
                <w:rFonts w:hint="eastAsia" w:ascii="Times New Roman" w:hAnsi="Times New Roman" w:eastAsia="宋体" w:cs="Times New Roman"/>
                <w:color w:val="auto"/>
                <w:kern w:val="0"/>
                <w:szCs w:val="21"/>
                <w:highlight w:val="none"/>
                <w:lang w:val="en-US" w:eastAsia="zh-CN"/>
              </w:rPr>
              <w:t>，</w:t>
            </w:r>
            <w:r>
              <w:rPr>
                <w:rFonts w:hint="eastAsia" w:ascii="Times New Roman" w:hAnsi="Times New Roman" w:cs="Times New Roman"/>
                <w:color w:val="auto"/>
                <w:kern w:val="0"/>
                <w:szCs w:val="21"/>
                <w:highlight w:val="none"/>
                <w:lang w:val="en-US" w:eastAsia="zh-CN"/>
              </w:rPr>
              <w:t>南侧32</w:t>
            </w:r>
            <w:r>
              <w:rPr>
                <w:rFonts w:hint="eastAsia" w:ascii="Times New Roman" w:hAnsi="Times New Roman" w:eastAsia="宋体" w:cs="Times New Roman"/>
                <w:color w:val="auto"/>
                <w:kern w:val="0"/>
                <w:szCs w:val="21"/>
                <w:highlight w:val="none"/>
                <w:lang w:val="en-US" w:eastAsia="zh-CN"/>
              </w:rPr>
              <w:t>m</w:t>
            </w:r>
            <w:r>
              <w:rPr>
                <w:rFonts w:hint="eastAsia" w:ascii="Times New Roman" w:hAnsi="Times New Roman" w:cs="Times New Roman"/>
                <w:color w:val="auto"/>
                <w:kern w:val="0"/>
                <w:szCs w:val="21"/>
                <w:highlight w:val="none"/>
                <w:lang w:val="en-US" w:eastAsia="zh-CN"/>
              </w:rPr>
              <w:t>（与边导线地面投影水平距离为24m）</w:t>
            </w:r>
          </w:p>
        </w:tc>
        <w:tc>
          <w:tcPr>
            <w:tcW w:w="492" w:type="pct"/>
            <w:noWrap/>
            <w:vAlign w:val="center"/>
          </w:tcPr>
          <w:p w14:paraId="5758E68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20.3m</w:t>
            </w:r>
          </w:p>
        </w:tc>
        <w:tc>
          <w:tcPr>
            <w:tcW w:w="365" w:type="pct"/>
            <w:noWrap/>
            <w:vAlign w:val="center"/>
          </w:tcPr>
          <w:p w14:paraId="3F4ACD5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w:t>
            </w:r>
            <w:r>
              <w:rPr>
                <w:rFonts w:hint="default" w:ascii="Times New Roman" w:hAnsi="Times New Roman" w:cs="Times New Roman"/>
                <w:color w:val="auto"/>
                <w:kern w:val="0"/>
                <w:szCs w:val="21"/>
              </w:rPr>
              <w:t>F，</w:t>
            </w:r>
            <w:r>
              <w:rPr>
                <w:rFonts w:hint="eastAsia" w:ascii="Times New Roman" w:hAnsi="Times New Roman" w:cs="Times New Roman"/>
                <w:color w:val="auto"/>
                <w:kern w:val="0"/>
                <w:szCs w:val="21"/>
                <w:lang w:val="en-US" w:eastAsia="zh-CN"/>
              </w:rPr>
              <w:t>坡顶彩钢</w:t>
            </w:r>
            <w:r>
              <w:rPr>
                <w:rFonts w:hint="default" w:ascii="Times New Roman" w:hAnsi="Times New Roman" w:cs="Times New Roman"/>
                <w:color w:val="auto"/>
                <w:kern w:val="0"/>
                <w:szCs w:val="21"/>
                <w:lang w:val="en-US" w:eastAsia="zh-CN"/>
              </w:rPr>
              <w:t>结构</w:t>
            </w:r>
          </w:p>
        </w:tc>
        <w:tc>
          <w:tcPr>
            <w:tcW w:w="326" w:type="pct"/>
            <w:noWrap/>
            <w:vAlign w:val="center"/>
          </w:tcPr>
          <w:p w14:paraId="774BA0D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6</w:t>
            </w:r>
          </w:p>
        </w:tc>
        <w:tc>
          <w:tcPr>
            <w:tcW w:w="287" w:type="pct"/>
            <w:noWrap/>
            <w:vAlign w:val="center"/>
          </w:tcPr>
          <w:p w14:paraId="6A8E855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eastAsia" w:ascii="Times New Roman" w:hAnsi="Times New Roman" w:cs="Times New Roman"/>
                <w:color w:val="auto"/>
                <w:kern w:val="0"/>
                <w:szCs w:val="21"/>
                <w:lang w:val="en-US" w:eastAsia="zh-CN"/>
              </w:rPr>
              <w:t>约30</w:t>
            </w:r>
            <w:r>
              <w:rPr>
                <w:rFonts w:hint="default" w:ascii="Times New Roman" w:hAnsi="Times New Roman" w:cs="Times New Roman"/>
                <w:color w:val="auto"/>
                <w:kern w:val="0"/>
                <w:szCs w:val="21"/>
              </w:rPr>
              <w:t>人</w:t>
            </w:r>
          </w:p>
        </w:tc>
        <w:tc>
          <w:tcPr>
            <w:tcW w:w="239" w:type="pct"/>
            <w:noWrap/>
            <w:vAlign w:val="center"/>
          </w:tcPr>
          <w:p w14:paraId="563F45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continue"/>
            <w:noWrap/>
            <w:vAlign w:val="center"/>
          </w:tcPr>
          <w:p w14:paraId="3F6001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7B7D72F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044575"/>
                  <wp:effectExtent l="0" t="0" r="8890" b="3175"/>
                  <wp:docPr id="46" name="图片 46" descr="IMG2026051117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20260511170411"/>
                          <pic:cNvPicPr>
                            <a:picLocks noChangeAspect="1"/>
                          </pic:cNvPicPr>
                        </pic:nvPicPr>
                        <pic:blipFill>
                          <a:blip r:embed="rId42"/>
                          <a:stretch>
                            <a:fillRect/>
                          </a:stretch>
                        </pic:blipFill>
                        <pic:spPr>
                          <a:xfrm>
                            <a:off x="0" y="0"/>
                            <a:ext cx="1629410" cy="1044575"/>
                          </a:xfrm>
                          <a:prstGeom prst="rect">
                            <a:avLst/>
                          </a:prstGeom>
                        </pic:spPr>
                      </pic:pic>
                    </a:graphicData>
                  </a:graphic>
                </wp:inline>
              </w:drawing>
            </w:r>
          </w:p>
        </w:tc>
      </w:tr>
      <w:tr w14:paraId="4CC75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17ACFB6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w:t>
            </w:r>
          </w:p>
        </w:tc>
        <w:tc>
          <w:tcPr>
            <w:tcW w:w="132" w:type="pct"/>
            <w:vMerge w:val="continue"/>
            <w:noWrap/>
            <w:vAlign w:val="center"/>
          </w:tcPr>
          <w:p w14:paraId="24E54EB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02CE9B4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88" w:type="pct"/>
            <w:noWrap/>
            <w:vAlign w:val="center"/>
          </w:tcPr>
          <w:p w14:paraId="3CA6CDB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rPr>
            </w:pPr>
            <w:r>
              <w:rPr>
                <w:rFonts w:hint="eastAsia" w:ascii="Times New Roman" w:hAnsi="Times New Roman" w:eastAsia="宋体" w:cs="Times New Roman"/>
                <w:color w:val="auto"/>
                <w:kern w:val="0"/>
                <w:szCs w:val="21"/>
                <w:highlight w:val="none"/>
                <w:lang w:val="en-US" w:eastAsia="zh-CN"/>
              </w:rPr>
              <w:t>叶家冲村</w:t>
            </w:r>
          </w:p>
        </w:tc>
        <w:tc>
          <w:tcPr>
            <w:tcW w:w="1201" w:type="pct"/>
            <w:shd w:val="clear" w:color="auto" w:fill="auto"/>
            <w:noWrap/>
            <w:vAlign w:val="center"/>
          </w:tcPr>
          <w:p w14:paraId="6E40F37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塔基N29~N30之间叶家冲散户</w:t>
            </w:r>
            <w:r>
              <w:rPr>
                <w:rFonts w:hint="default" w:ascii="Times New Roman" w:hAnsi="Times New Roman" w:eastAsia="宋体" w:cs="Times New Roman"/>
                <w:color w:val="auto"/>
                <w:kern w:val="0"/>
                <w:szCs w:val="21"/>
                <w:highlight w:val="none"/>
                <w:lang w:val="en-US" w:eastAsia="zh-CN"/>
              </w:rPr>
              <w:t>2F</w:t>
            </w:r>
            <w:r>
              <w:rPr>
                <w:rFonts w:hint="eastAsia" w:ascii="Times New Roman" w:hAnsi="Times New Roman" w:cs="Times New Roman"/>
                <w:color w:val="auto"/>
                <w:kern w:val="0"/>
                <w:szCs w:val="21"/>
                <w:highlight w:val="none"/>
                <w:lang w:val="en-US" w:eastAsia="zh-CN"/>
              </w:rPr>
              <w:t>居民房</w:t>
            </w:r>
            <w:r>
              <w:rPr>
                <w:rFonts w:hint="eastAsia" w:ascii="Times New Roman" w:hAnsi="Times New Roman" w:eastAsia="宋体" w:cs="Times New Roman"/>
                <w:color w:val="auto"/>
                <w:kern w:val="0"/>
                <w:szCs w:val="21"/>
                <w:highlight w:val="none"/>
                <w:lang w:val="en-US" w:eastAsia="zh-CN"/>
              </w:rPr>
              <w:t>，</w:t>
            </w:r>
            <w:r>
              <w:rPr>
                <w:rFonts w:hint="eastAsia" w:ascii="Times New Roman" w:hAnsi="Times New Roman" w:cs="Times New Roman"/>
                <w:color w:val="auto"/>
                <w:kern w:val="0"/>
                <w:szCs w:val="21"/>
                <w:highlight w:val="none"/>
                <w:lang w:val="en-US" w:eastAsia="zh-CN"/>
              </w:rPr>
              <w:t>东</w:t>
            </w:r>
            <w:r>
              <w:rPr>
                <w:rFonts w:hint="eastAsia" w:ascii="Times New Roman" w:hAnsi="Times New Roman" w:eastAsia="宋体" w:cs="Times New Roman"/>
                <w:color w:val="auto"/>
                <w:kern w:val="0"/>
                <w:szCs w:val="21"/>
                <w:highlight w:val="none"/>
                <w:lang w:val="en-US" w:eastAsia="zh-CN"/>
              </w:rPr>
              <w:t>侧40m</w:t>
            </w:r>
            <w:r>
              <w:rPr>
                <w:rFonts w:hint="eastAsia" w:ascii="Times New Roman" w:hAnsi="Times New Roman" w:cs="Times New Roman"/>
                <w:color w:val="auto"/>
                <w:kern w:val="0"/>
                <w:szCs w:val="21"/>
                <w:highlight w:val="none"/>
                <w:lang w:val="en-US" w:eastAsia="zh-CN"/>
              </w:rPr>
              <w:t>（与边导线地面投影水平距离为32m）</w:t>
            </w:r>
          </w:p>
        </w:tc>
        <w:tc>
          <w:tcPr>
            <w:tcW w:w="492" w:type="pct"/>
            <w:noWrap/>
            <w:vAlign w:val="center"/>
          </w:tcPr>
          <w:p w14:paraId="5A38FF2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34.4m</w:t>
            </w:r>
          </w:p>
        </w:tc>
        <w:tc>
          <w:tcPr>
            <w:tcW w:w="365" w:type="pct"/>
            <w:noWrap/>
            <w:vAlign w:val="center"/>
          </w:tcPr>
          <w:p w14:paraId="361A68F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2</w:t>
            </w:r>
            <w:r>
              <w:rPr>
                <w:rFonts w:hint="default" w:ascii="Times New Roman" w:hAnsi="Times New Roman" w:cs="Times New Roman"/>
                <w:color w:val="auto"/>
                <w:kern w:val="0"/>
                <w:szCs w:val="21"/>
              </w:rPr>
              <w:t>F，坡顶</w:t>
            </w:r>
            <w:r>
              <w:rPr>
                <w:rFonts w:hint="eastAsia" w:ascii="Times New Roman" w:hAnsi="Times New Roman" w:cs="Times New Roman"/>
                <w:color w:val="auto"/>
                <w:kern w:val="0"/>
                <w:szCs w:val="21"/>
                <w:lang w:val="en-US" w:eastAsia="zh-CN"/>
              </w:rPr>
              <w:t>钢架结构</w:t>
            </w:r>
          </w:p>
        </w:tc>
        <w:tc>
          <w:tcPr>
            <w:tcW w:w="326" w:type="pct"/>
            <w:noWrap/>
            <w:vAlign w:val="center"/>
          </w:tcPr>
          <w:p w14:paraId="07C0EE9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6</w:t>
            </w:r>
          </w:p>
        </w:tc>
        <w:tc>
          <w:tcPr>
            <w:tcW w:w="287" w:type="pct"/>
            <w:noWrap/>
            <w:vAlign w:val="center"/>
          </w:tcPr>
          <w:p w14:paraId="1627B67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1户，2人</w:t>
            </w:r>
          </w:p>
        </w:tc>
        <w:tc>
          <w:tcPr>
            <w:tcW w:w="239" w:type="pct"/>
            <w:noWrap/>
            <w:vAlign w:val="center"/>
          </w:tcPr>
          <w:p w14:paraId="27AF53C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continue"/>
            <w:noWrap/>
            <w:vAlign w:val="center"/>
          </w:tcPr>
          <w:p w14:paraId="512C40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5D3EAAB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color w:val="auto"/>
              </w:rPr>
              <w:drawing>
                <wp:inline distT="0" distB="0" distL="114300" distR="114300">
                  <wp:extent cx="1627505" cy="1224280"/>
                  <wp:effectExtent l="0" t="0" r="10795" b="13970"/>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pic:cNvPicPr>
                        </pic:nvPicPr>
                        <pic:blipFill>
                          <a:blip r:embed="rId43"/>
                          <a:stretch>
                            <a:fillRect/>
                          </a:stretch>
                        </pic:blipFill>
                        <pic:spPr>
                          <a:xfrm>
                            <a:off x="0" y="0"/>
                            <a:ext cx="1627505" cy="1224280"/>
                          </a:xfrm>
                          <a:prstGeom prst="rect">
                            <a:avLst/>
                          </a:prstGeom>
                          <a:noFill/>
                          <a:ln>
                            <a:noFill/>
                          </a:ln>
                        </pic:spPr>
                      </pic:pic>
                    </a:graphicData>
                  </a:graphic>
                </wp:inline>
              </w:drawing>
            </w:r>
          </w:p>
        </w:tc>
      </w:tr>
      <w:tr w14:paraId="70788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6E74063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5</w:t>
            </w:r>
          </w:p>
        </w:tc>
        <w:tc>
          <w:tcPr>
            <w:tcW w:w="132" w:type="pct"/>
            <w:vMerge w:val="continue"/>
            <w:noWrap/>
            <w:vAlign w:val="center"/>
          </w:tcPr>
          <w:p w14:paraId="12A6D42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7FC16F4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88" w:type="pct"/>
            <w:noWrap/>
            <w:vAlign w:val="center"/>
          </w:tcPr>
          <w:p w14:paraId="2066E38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rPr>
            </w:pPr>
            <w:r>
              <w:rPr>
                <w:rFonts w:hint="eastAsia" w:ascii="Times New Roman" w:hAnsi="Times New Roman" w:eastAsia="宋体" w:cs="Times New Roman"/>
                <w:color w:val="auto"/>
                <w:kern w:val="0"/>
                <w:szCs w:val="21"/>
                <w:highlight w:val="none"/>
                <w:lang w:val="en-US" w:eastAsia="zh-CN"/>
              </w:rPr>
              <w:t>中梁子村</w:t>
            </w:r>
          </w:p>
        </w:tc>
        <w:tc>
          <w:tcPr>
            <w:tcW w:w="1201" w:type="pct"/>
            <w:shd w:val="clear" w:color="auto" w:fill="auto"/>
            <w:noWrap/>
            <w:vAlign w:val="center"/>
          </w:tcPr>
          <w:p w14:paraId="0A4857F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塔基N50~N51之间中梁子散户</w:t>
            </w:r>
            <w:r>
              <w:rPr>
                <w:rFonts w:hint="default" w:ascii="Times New Roman" w:hAnsi="Times New Roman" w:eastAsia="宋体" w:cs="Times New Roman"/>
                <w:color w:val="auto"/>
                <w:kern w:val="0"/>
                <w:szCs w:val="21"/>
                <w:highlight w:val="none"/>
                <w:lang w:val="en-US" w:eastAsia="zh-CN"/>
              </w:rPr>
              <w:t>2F</w:t>
            </w:r>
            <w:r>
              <w:rPr>
                <w:rFonts w:hint="eastAsia" w:ascii="Times New Roman" w:hAnsi="Times New Roman" w:cs="Times New Roman"/>
                <w:color w:val="auto"/>
                <w:kern w:val="0"/>
                <w:szCs w:val="21"/>
                <w:highlight w:val="none"/>
                <w:lang w:val="en-US" w:eastAsia="zh-CN"/>
              </w:rPr>
              <w:t>居民房</w:t>
            </w:r>
            <w:r>
              <w:rPr>
                <w:rFonts w:hint="eastAsia" w:ascii="Times New Roman" w:hAnsi="Times New Roman" w:eastAsia="宋体" w:cs="Times New Roman"/>
                <w:color w:val="auto"/>
                <w:kern w:val="0"/>
                <w:szCs w:val="21"/>
                <w:highlight w:val="none"/>
                <w:lang w:val="en-US" w:eastAsia="zh-CN"/>
              </w:rPr>
              <w:t>，</w:t>
            </w:r>
            <w:r>
              <w:rPr>
                <w:rFonts w:hint="eastAsia" w:ascii="Times New Roman" w:hAnsi="Times New Roman" w:cs="Times New Roman"/>
                <w:color w:val="auto"/>
                <w:kern w:val="0"/>
                <w:szCs w:val="21"/>
                <w:highlight w:val="none"/>
                <w:lang w:val="en-US" w:eastAsia="zh-CN"/>
              </w:rPr>
              <w:t>东侧30</w:t>
            </w:r>
            <w:r>
              <w:rPr>
                <w:rFonts w:hint="eastAsia" w:ascii="Times New Roman" w:hAnsi="Times New Roman" w:eastAsia="宋体" w:cs="Times New Roman"/>
                <w:color w:val="auto"/>
                <w:kern w:val="0"/>
                <w:szCs w:val="21"/>
                <w:highlight w:val="none"/>
                <w:lang w:val="en-US" w:eastAsia="zh-CN"/>
              </w:rPr>
              <w:t>m</w:t>
            </w:r>
            <w:r>
              <w:rPr>
                <w:rFonts w:hint="eastAsia" w:ascii="Times New Roman" w:hAnsi="Times New Roman" w:cs="Times New Roman"/>
                <w:color w:val="auto"/>
                <w:kern w:val="0"/>
                <w:szCs w:val="21"/>
                <w:highlight w:val="none"/>
                <w:lang w:val="en-US" w:eastAsia="zh-CN"/>
              </w:rPr>
              <w:t>（与边导线地面投影水平距离为22m）</w:t>
            </w:r>
          </w:p>
        </w:tc>
        <w:tc>
          <w:tcPr>
            <w:tcW w:w="492" w:type="pct"/>
            <w:noWrap/>
            <w:vAlign w:val="center"/>
          </w:tcPr>
          <w:p w14:paraId="1012A7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32.5m</w:t>
            </w:r>
          </w:p>
        </w:tc>
        <w:tc>
          <w:tcPr>
            <w:tcW w:w="365" w:type="pct"/>
            <w:noWrap/>
            <w:vAlign w:val="center"/>
          </w:tcPr>
          <w:p w14:paraId="21F3026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w:t>
            </w:r>
            <w:r>
              <w:rPr>
                <w:rFonts w:hint="default" w:ascii="Times New Roman" w:hAnsi="Times New Roman" w:cs="Times New Roman"/>
                <w:color w:val="auto"/>
                <w:kern w:val="0"/>
                <w:szCs w:val="21"/>
              </w:rPr>
              <w:t>F，</w:t>
            </w:r>
            <w:r>
              <w:rPr>
                <w:rFonts w:hint="eastAsia" w:ascii="Times New Roman" w:hAnsi="Times New Roman" w:cs="Times New Roman"/>
                <w:color w:val="auto"/>
                <w:kern w:val="0"/>
                <w:szCs w:val="21"/>
                <w:lang w:val="en-US" w:eastAsia="zh-CN"/>
              </w:rPr>
              <w:t>平顶砖混结构</w:t>
            </w:r>
          </w:p>
        </w:tc>
        <w:tc>
          <w:tcPr>
            <w:tcW w:w="326" w:type="pct"/>
            <w:noWrap/>
            <w:vAlign w:val="center"/>
          </w:tcPr>
          <w:p w14:paraId="6CC3E39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6</w:t>
            </w:r>
          </w:p>
        </w:tc>
        <w:tc>
          <w:tcPr>
            <w:tcW w:w="287" w:type="pct"/>
            <w:noWrap/>
            <w:vAlign w:val="center"/>
          </w:tcPr>
          <w:p w14:paraId="6E12EEF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default" w:ascii="Times New Roman" w:hAnsi="Times New Roman" w:cs="Times New Roman"/>
                <w:color w:val="auto"/>
                <w:kern w:val="0"/>
                <w:szCs w:val="21"/>
              </w:rPr>
              <w:t>1户，</w:t>
            </w:r>
            <w:r>
              <w:rPr>
                <w:rFonts w:hint="eastAsia" w:ascii="Times New Roman" w:hAnsi="Times New Roman" w:cs="Times New Roman"/>
                <w:color w:val="auto"/>
                <w:kern w:val="0"/>
                <w:szCs w:val="21"/>
                <w:lang w:val="en-US" w:eastAsia="zh-CN"/>
              </w:rPr>
              <w:t>4</w:t>
            </w:r>
            <w:r>
              <w:rPr>
                <w:rFonts w:hint="default" w:ascii="Times New Roman" w:hAnsi="Times New Roman" w:cs="Times New Roman"/>
                <w:color w:val="auto"/>
                <w:kern w:val="0"/>
                <w:szCs w:val="21"/>
              </w:rPr>
              <w:t>人</w:t>
            </w:r>
          </w:p>
        </w:tc>
        <w:tc>
          <w:tcPr>
            <w:tcW w:w="239" w:type="pct"/>
            <w:noWrap/>
            <w:vAlign w:val="center"/>
          </w:tcPr>
          <w:p w14:paraId="7889888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continue"/>
            <w:noWrap/>
            <w:vAlign w:val="center"/>
          </w:tcPr>
          <w:p w14:paraId="532DADC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22CF437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191895"/>
                  <wp:effectExtent l="0" t="0" r="8890" b="8255"/>
                  <wp:docPr id="18" name="图片 18" descr="IMG2026051118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20260511183020"/>
                          <pic:cNvPicPr>
                            <a:picLocks noChangeAspect="1"/>
                          </pic:cNvPicPr>
                        </pic:nvPicPr>
                        <pic:blipFill>
                          <a:blip r:embed="rId44"/>
                          <a:stretch>
                            <a:fillRect/>
                          </a:stretch>
                        </pic:blipFill>
                        <pic:spPr>
                          <a:xfrm>
                            <a:off x="0" y="0"/>
                            <a:ext cx="1629410" cy="1191895"/>
                          </a:xfrm>
                          <a:prstGeom prst="rect">
                            <a:avLst/>
                          </a:prstGeom>
                        </pic:spPr>
                      </pic:pic>
                    </a:graphicData>
                  </a:graphic>
                </wp:inline>
              </w:drawing>
            </w:r>
          </w:p>
        </w:tc>
      </w:tr>
      <w:tr w14:paraId="6FB21B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458C553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6</w:t>
            </w:r>
          </w:p>
        </w:tc>
        <w:tc>
          <w:tcPr>
            <w:tcW w:w="132" w:type="pct"/>
            <w:vMerge w:val="continue"/>
            <w:noWrap/>
            <w:vAlign w:val="center"/>
          </w:tcPr>
          <w:p w14:paraId="40EFFCD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218E4E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88" w:type="pct"/>
            <w:noWrap/>
            <w:vAlign w:val="center"/>
          </w:tcPr>
          <w:p w14:paraId="4083E3E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w:t>
            </w:r>
          </w:p>
        </w:tc>
        <w:tc>
          <w:tcPr>
            <w:tcW w:w="1201" w:type="pct"/>
            <w:shd w:val="clear" w:color="auto" w:fill="auto"/>
            <w:noWrap/>
            <w:vAlign w:val="center"/>
          </w:tcPr>
          <w:p w14:paraId="78CA2FD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塔基N57~N58之间国道停车区用房，1F，北侧40m</w:t>
            </w:r>
            <w:r>
              <w:rPr>
                <w:rFonts w:hint="eastAsia" w:ascii="Times New Roman" w:hAnsi="Times New Roman" w:cs="Times New Roman"/>
                <w:color w:val="auto"/>
                <w:kern w:val="0"/>
                <w:szCs w:val="21"/>
                <w:highlight w:val="none"/>
                <w:lang w:val="en-US" w:eastAsia="zh-CN"/>
              </w:rPr>
              <w:t>（与边导线地面投影水平距离为32m）</w:t>
            </w:r>
          </w:p>
        </w:tc>
        <w:tc>
          <w:tcPr>
            <w:tcW w:w="492" w:type="pct"/>
            <w:noWrap/>
            <w:vAlign w:val="center"/>
          </w:tcPr>
          <w:p w14:paraId="4E5C405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13.8m</w:t>
            </w:r>
          </w:p>
        </w:tc>
        <w:tc>
          <w:tcPr>
            <w:tcW w:w="365" w:type="pct"/>
            <w:noWrap/>
            <w:vAlign w:val="center"/>
          </w:tcPr>
          <w:p w14:paraId="445FFFA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w:t>
            </w:r>
            <w:r>
              <w:rPr>
                <w:rFonts w:hint="default" w:ascii="Times New Roman" w:hAnsi="Times New Roman" w:cs="Times New Roman"/>
                <w:color w:val="auto"/>
                <w:kern w:val="0"/>
                <w:szCs w:val="21"/>
              </w:rPr>
              <w:t>F，</w:t>
            </w:r>
            <w:r>
              <w:rPr>
                <w:rFonts w:hint="eastAsia" w:ascii="Times New Roman" w:hAnsi="Times New Roman" w:cs="Times New Roman"/>
                <w:color w:val="auto"/>
                <w:kern w:val="0"/>
                <w:szCs w:val="21"/>
                <w:lang w:val="en-US" w:eastAsia="zh-CN"/>
              </w:rPr>
              <w:t>平顶，板房结构</w:t>
            </w:r>
          </w:p>
        </w:tc>
        <w:tc>
          <w:tcPr>
            <w:tcW w:w="326" w:type="pct"/>
            <w:noWrap/>
            <w:vAlign w:val="center"/>
          </w:tcPr>
          <w:p w14:paraId="3991D0E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w:t>
            </w:r>
          </w:p>
        </w:tc>
        <w:tc>
          <w:tcPr>
            <w:tcW w:w="287" w:type="pct"/>
            <w:noWrap/>
            <w:vAlign w:val="center"/>
          </w:tcPr>
          <w:p w14:paraId="5450143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1户，4人</w:t>
            </w:r>
          </w:p>
        </w:tc>
        <w:tc>
          <w:tcPr>
            <w:tcW w:w="239" w:type="pct"/>
            <w:noWrap/>
            <w:vAlign w:val="center"/>
          </w:tcPr>
          <w:p w14:paraId="21AB77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居住</w:t>
            </w:r>
          </w:p>
        </w:tc>
        <w:tc>
          <w:tcPr>
            <w:tcW w:w="386" w:type="pct"/>
            <w:vMerge w:val="continue"/>
            <w:noWrap/>
            <w:vAlign w:val="center"/>
          </w:tcPr>
          <w:p w14:paraId="6012F1E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2339677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200150"/>
                  <wp:effectExtent l="0" t="0" r="8890" b="0"/>
                  <wp:docPr id="22" name="图片 22" descr="IMG2026051209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20260512093313"/>
                          <pic:cNvPicPr>
                            <a:picLocks noChangeAspect="1"/>
                          </pic:cNvPicPr>
                        </pic:nvPicPr>
                        <pic:blipFill>
                          <a:blip r:embed="rId45"/>
                          <a:stretch>
                            <a:fillRect/>
                          </a:stretch>
                        </pic:blipFill>
                        <pic:spPr>
                          <a:xfrm>
                            <a:off x="0" y="0"/>
                            <a:ext cx="1629410" cy="1200150"/>
                          </a:xfrm>
                          <a:prstGeom prst="rect">
                            <a:avLst/>
                          </a:prstGeom>
                        </pic:spPr>
                      </pic:pic>
                    </a:graphicData>
                  </a:graphic>
                </wp:inline>
              </w:drawing>
            </w:r>
          </w:p>
        </w:tc>
      </w:tr>
      <w:tr w14:paraId="37C01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2" w:type="pct"/>
            <w:noWrap/>
            <w:vAlign w:val="center"/>
          </w:tcPr>
          <w:p w14:paraId="40AEF7F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7</w:t>
            </w:r>
          </w:p>
        </w:tc>
        <w:tc>
          <w:tcPr>
            <w:tcW w:w="132" w:type="pct"/>
            <w:vMerge w:val="continue"/>
            <w:noWrap/>
            <w:vAlign w:val="center"/>
          </w:tcPr>
          <w:p w14:paraId="22E7169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244" w:type="pct"/>
            <w:vMerge w:val="continue"/>
            <w:noWrap/>
            <w:vAlign w:val="center"/>
          </w:tcPr>
          <w:p w14:paraId="75E67B8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88" w:type="pct"/>
            <w:noWrap/>
            <w:vAlign w:val="center"/>
          </w:tcPr>
          <w:p w14:paraId="51A7C74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eastAsia" w:ascii="Times New Roman" w:hAnsi="Times New Roman" w:eastAsia="宋体" w:cs="Times New Roman"/>
                <w:color w:val="auto"/>
                <w:kern w:val="0"/>
                <w:szCs w:val="21"/>
                <w:highlight w:val="none"/>
                <w:lang w:val="en-US" w:eastAsia="zh-CN"/>
              </w:rPr>
              <w:t>山背后村</w:t>
            </w:r>
          </w:p>
        </w:tc>
        <w:tc>
          <w:tcPr>
            <w:tcW w:w="1201" w:type="pct"/>
            <w:shd w:val="clear" w:color="auto" w:fill="auto"/>
            <w:noWrap/>
            <w:vAlign w:val="center"/>
          </w:tcPr>
          <w:p w14:paraId="6901700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塔基N57~N58之间山背后村3F散户，南侧1</w:t>
            </w:r>
            <w:r>
              <w:rPr>
                <w:rFonts w:hint="eastAsia" w:ascii="Times New Roman" w:hAnsi="Times New Roman" w:cs="Times New Roman"/>
                <w:color w:val="auto"/>
                <w:kern w:val="0"/>
                <w:szCs w:val="21"/>
                <w:highlight w:val="none"/>
                <w:lang w:val="en-US" w:eastAsia="zh-CN"/>
              </w:rPr>
              <w:t>6</w:t>
            </w:r>
            <w:r>
              <w:rPr>
                <w:rFonts w:hint="eastAsia" w:ascii="Times New Roman" w:hAnsi="Times New Roman" w:eastAsia="宋体" w:cs="Times New Roman"/>
                <w:color w:val="auto"/>
                <w:kern w:val="0"/>
                <w:szCs w:val="21"/>
                <w:highlight w:val="none"/>
                <w:lang w:val="en-US" w:eastAsia="zh-CN"/>
              </w:rPr>
              <w:t>m</w:t>
            </w:r>
            <w:r>
              <w:rPr>
                <w:rFonts w:hint="eastAsia" w:ascii="Times New Roman" w:hAnsi="Times New Roman" w:cs="Times New Roman"/>
                <w:color w:val="auto"/>
                <w:kern w:val="0"/>
                <w:szCs w:val="21"/>
                <w:highlight w:val="none"/>
                <w:lang w:val="en-US" w:eastAsia="zh-CN"/>
              </w:rPr>
              <w:t>（与边导线地面投影水平距离为7.7m）</w:t>
            </w:r>
          </w:p>
        </w:tc>
        <w:tc>
          <w:tcPr>
            <w:tcW w:w="492" w:type="pct"/>
            <w:noWrap/>
            <w:vAlign w:val="center"/>
          </w:tcPr>
          <w:p w14:paraId="5C56219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kern w:val="0"/>
                <w:szCs w:val="21"/>
                <w:highlight w:val="none"/>
                <w:lang w:val="en-US" w:eastAsia="zh-CN"/>
              </w:rPr>
            </w:pPr>
            <w:r>
              <w:rPr>
                <w:rFonts w:hint="eastAsia" w:ascii="Times New Roman" w:hAnsi="Times New Roman" w:cs="Times New Roman"/>
                <w:bCs/>
                <w:color w:val="auto"/>
                <w:kern w:val="0"/>
                <w:szCs w:val="21"/>
                <w:highlight w:val="none"/>
                <w:lang w:val="en-US" w:eastAsia="zh-CN"/>
              </w:rPr>
              <w:t>13.8m</w:t>
            </w:r>
          </w:p>
        </w:tc>
        <w:tc>
          <w:tcPr>
            <w:tcW w:w="365" w:type="pct"/>
            <w:noWrap/>
            <w:vAlign w:val="center"/>
          </w:tcPr>
          <w:p w14:paraId="4C107EA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w:t>
            </w:r>
            <w:r>
              <w:rPr>
                <w:rFonts w:hint="default" w:ascii="Times New Roman" w:hAnsi="Times New Roman" w:cs="Times New Roman"/>
                <w:color w:val="auto"/>
                <w:kern w:val="0"/>
                <w:szCs w:val="21"/>
              </w:rPr>
              <w:t>F，坡顶</w:t>
            </w:r>
            <w:r>
              <w:rPr>
                <w:rFonts w:hint="eastAsia" w:ascii="Times New Roman" w:hAnsi="Times New Roman" w:cs="Times New Roman"/>
                <w:color w:val="auto"/>
                <w:kern w:val="0"/>
                <w:szCs w:val="21"/>
                <w:lang w:val="en-US" w:eastAsia="zh-CN"/>
              </w:rPr>
              <w:t>钢架结构</w:t>
            </w:r>
          </w:p>
        </w:tc>
        <w:tc>
          <w:tcPr>
            <w:tcW w:w="326" w:type="pct"/>
            <w:noWrap/>
            <w:vAlign w:val="center"/>
          </w:tcPr>
          <w:p w14:paraId="1B3ED37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9</w:t>
            </w:r>
          </w:p>
        </w:tc>
        <w:tc>
          <w:tcPr>
            <w:tcW w:w="287" w:type="pct"/>
            <w:noWrap/>
            <w:vAlign w:val="center"/>
          </w:tcPr>
          <w:p w14:paraId="21BE54C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2户，8人</w:t>
            </w:r>
          </w:p>
        </w:tc>
        <w:tc>
          <w:tcPr>
            <w:tcW w:w="239" w:type="pct"/>
            <w:noWrap/>
            <w:vAlign w:val="center"/>
          </w:tcPr>
          <w:p w14:paraId="39FB1CF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居住</w:t>
            </w:r>
          </w:p>
        </w:tc>
        <w:tc>
          <w:tcPr>
            <w:tcW w:w="386" w:type="pct"/>
            <w:vMerge w:val="continue"/>
            <w:noWrap/>
            <w:vAlign w:val="center"/>
          </w:tcPr>
          <w:p w14:paraId="6E559F1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00" w:type="pct"/>
            <w:noWrap/>
            <w:vAlign w:val="center"/>
          </w:tcPr>
          <w:p w14:paraId="45A36F8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eastAsia="zh-CN"/>
              </w:rPr>
              <w:drawing>
                <wp:inline distT="0" distB="0" distL="114300" distR="114300">
                  <wp:extent cx="1629410" cy="1222375"/>
                  <wp:effectExtent l="0" t="0" r="8890" b="15875"/>
                  <wp:docPr id="35" name="图片 35" descr="IMG2026051209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20260512094621"/>
                          <pic:cNvPicPr>
                            <a:picLocks noChangeAspect="1"/>
                          </pic:cNvPicPr>
                        </pic:nvPicPr>
                        <pic:blipFill>
                          <a:blip r:embed="rId46"/>
                          <a:stretch>
                            <a:fillRect/>
                          </a:stretch>
                        </pic:blipFill>
                        <pic:spPr>
                          <a:xfrm>
                            <a:off x="0" y="0"/>
                            <a:ext cx="1629410" cy="1222375"/>
                          </a:xfrm>
                          <a:prstGeom prst="rect">
                            <a:avLst/>
                          </a:prstGeom>
                        </pic:spPr>
                      </pic:pic>
                    </a:graphicData>
                  </a:graphic>
                </wp:inline>
              </w:drawing>
            </w:r>
          </w:p>
        </w:tc>
      </w:tr>
      <w:tr w14:paraId="52621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9" w:type="pct"/>
            <w:gridSpan w:val="11"/>
            <w:noWrap/>
            <w:vAlign w:val="center"/>
          </w:tcPr>
          <w:p w14:paraId="4C24EF56">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注：表中建筑物与线路的距离为：输电线路边导线地面投影距环境敏感目标的最近距离</w:t>
            </w:r>
            <w:r>
              <w:rPr>
                <w:rFonts w:hint="default" w:ascii="Times New Roman" w:hAnsi="Times New Roman" w:cs="Times New Roman"/>
                <w:b/>
                <w:bCs/>
                <w:color w:val="auto"/>
                <w:sz w:val="18"/>
                <w:szCs w:val="18"/>
                <w:lang w:eastAsia="zh-CN"/>
              </w:rPr>
              <w:t>。</w:t>
            </w:r>
          </w:p>
        </w:tc>
        <w:tc>
          <w:tcPr>
            <w:tcW w:w="1000" w:type="pct"/>
            <w:noWrap/>
            <w:vAlign w:val="center"/>
          </w:tcPr>
          <w:p w14:paraId="620C8F8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18"/>
                <w:szCs w:val="18"/>
              </w:rPr>
            </w:pPr>
          </w:p>
        </w:tc>
      </w:tr>
    </w:tbl>
    <w:p w14:paraId="2896383F">
      <w:pPr>
        <w:adjustRightInd w:val="0"/>
        <w:snapToGrid w:val="0"/>
        <w:jc w:val="center"/>
        <w:rPr>
          <w:rFonts w:ascii="Times New Roman" w:hAnsi="Times New Roman" w:cs="Times New Roman"/>
          <w:b/>
          <w:color w:val="auto"/>
          <w:sz w:val="24"/>
          <w:szCs w:val="24"/>
        </w:rPr>
        <w:sectPr>
          <w:pgSz w:w="16839" w:h="11907" w:orient="landscape"/>
          <w:pgMar w:top="1644" w:right="1418" w:bottom="1644" w:left="1418" w:header="964" w:footer="1020" w:gutter="0"/>
          <w:pgBorders>
            <w:top w:val="none" w:sz="0" w:space="0"/>
            <w:left w:val="none" w:sz="0" w:space="0"/>
            <w:bottom w:val="none" w:sz="0" w:space="0"/>
            <w:right w:val="none" w:sz="0" w:space="0"/>
          </w:pgBorders>
          <w:cols w:space="425" w:num="1"/>
          <w:docGrid w:type="lines" w:linePitch="312" w:charSpace="0"/>
        </w:sectPr>
      </w:pPr>
    </w:p>
    <w:p w14:paraId="4F791293">
      <w:pPr>
        <w:pStyle w:val="4"/>
        <w:adjustRightInd w:val="0"/>
        <w:snapToGrid w:val="0"/>
        <w:spacing w:line="440" w:lineRule="exact"/>
        <w:rPr>
          <w:rFonts w:hint="eastAsia" w:ascii="Times New Roman" w:hAnsi="Times New Roman" w:eastAsia="宋体" w:cs="Times New Roman"/>
          <w:color w:val="auto"/>
          <w:szCs w:val="24"/>
        </w:rPr>
      </w:pPr>
      <w:bookmarkStart w:id="145" w:name="_Toc25260"/>
      <w:bookmarkStart w:id="146" w:name="_Toc925"/>
      <w:bookmarkStart w:id="147" w:name="_Toc1319"/>
      <w:r>
        <w:rPr>
          <w:rFonts w:ascii="Times New Roman" w:hAnsi="Times New Roman" w:eastAsia="宋体" w:cs="Times New Roman"/>
          <w:color w:val="auto"/>
          <w:szCs w:val="24"/>
        </w:rPr>
        <w:t>2.6 评价重点</w:t>
      </w:r>
      <w:bookmarkEnd w:id="145"/>
      <w:bookmarkEnd w:id="146"/>
      <w:bookmarkEnd w:id="147"/>
    </w:p>
    <w:p w14:paraId="66C7C5C2">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电磁环境评价重点为工程运行期产生的工频电场、工频磁场对周围环境的影响，特别是对工程电磁环境敏感目标的影响。</w:t>
      </w:r>
    </w:p>
    <w:p w14:paraId="654FE394">
      <w:pPr>
        <w:pStyle w:val="3"/>
        <w:adjustRightInd w:val="0"/>
        <w:snapToGrid w:val="0"/>
        <w:spacing w:line="440" w:lineRule="exact"/>
        <w:jc w:val="both"/>
        <w:rPr>
          <w:rFonts w:hint="eastAsia" w:ascii="Times New Roman" w:hAnsi="Times New Roman" w:cs="Times New Roman"/>
          <w:color w:val="auto"/>
        </w:rPr>
        <w:sectPr>
          <w:pgSz w:w="11907" w:h="16839"/>
          <w:pgMar w:top="1418" w:right="1644" w:bottom="1418" w:left="1644" w:header="737" w:footer="1020" w:gutter="0"/>
          <w:pgBorders>
            <w:top w:val="none" w:sz="0" w:space="0"/>
            <w:left w:val="none" w:sz="0" w:space="0"/>
            <w:bottom w:val="none" w:sz="0" w:space="0"/>
            <w:right w:val="none" w:sz="0" w:space="0"/>
          </w:pgBorders>
          <w:cols w:space="425" w:num="1"/>
          <w:docGrid w:type="lines" w:linePitch="312" w:charSpace="0"/>
        </w:sectPr>
      </w:pPr>
    </w:p>
    <w:p w14:paraId="78093607">
      <w:pPr>
        <w:pStyle w:val="3"/>
        <w:adjustRightInd w:val="0"/>
        <w:snapToGrid w:val="0"/>
        <w:spacing w:line="440" w:lineRule="exact"/>
        <w:jc w:val="both"/>
        <w:rPr>
          <w:rFonts w:hint="eastAsia" w:ascii="Times New Roman" w:hAnsi="Times New Roman" w:cs="Times New Roman"/>
          <w:color w:val="auto"/>
        </w:rPr>
      </w:pPr>
      <w:bookmarkStart w:id="148" w:name="_Toc11530"/>
      <w:r>
        <w:rPr>
          <w:rFonts w:ascii="Times New Roman" w:hAnsi="Times New Roman" w:cs="Times New Roman"/>
          <w:color w:val="auto"/>
        </w:rPr>
        <w:t>3 工程概况</w:t>
      </w:r>
      <w:bookmarkEnd w:id="114"/>
      <w:bookmarkEnd w:id="148"/>
    </w:p>
    <w:p w14:paraId="71480C9C">
      <w:pPr>
        <w:pStyle w:val="4"/>
        <w:adjustRightInd w:val="0"/>
        <w:snapToGrid w:val="0"/>
        <w:spacing w:line="440" w:lineRule="exact"/>
        <w:rPr>
          <w:rFonts w:hint="eastAsia" w:ascii="Times New Roman" w:hAnsi="Times New Roman" w:eastAsia="宋体" w:cs="Times New Roman"/>
          <w:color w:val="auto"/>
        </w:rPr>
      </w:pPr>
      <w:bookmarkStart w:id="149" w:name="_Toc26591"/>
      <w:r>
        <w:rPr>
          <w:rFonts w:ascii="Times New Roman" w:hAnsi="Times New Roman" w:eastAsia="宋体" w:cs="Times New Roman"/>
          <w:color w:val="auto"/>
        </w:rPr>
        <w:t>3.1项目组成及规模</w:t>
      </w:r>
      <w:bookmarkEnd w:id="149"/>
    </w:p>
    <w:p w14:paraId="36F87804">
      <w:pPr>
        <w:adjustRightInd w:val="0"/>
        <w:snapToGrid w:val="0"/>
        <w:spacing w:line="440" w:lineRule="exact"/>
        <w:ind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lang w:val="en-US" w:eastAsia="zh-CN"/>
        </w:rPr>
        <w:t>根据设计及建设单位核实确认，</w:t>
      </w:r>
      <w:r>
        <w:rPr>
          <w:rFonts w:hint="default" w:ascii="Times New Roman" w:hAnsi="Times New Roman" w:eastAsia="宋体" w:cs="Times New Roman"/>
          <w:color w:val="auto"/>
          <w:sz w:val="24"/>
          <w:szCs w:val="24"/>
        </w:rPr>
        <w:t>本</w:t>
      </w:r>
      <w:r>
        <w:rPr>
          <w:rFonts w:hint="eastAsia" w:ascii="Times New Roman" w:hAnsi="Times New Roman" w:cs="Times New Roman"/>
          <w:color w:val="auto"/>
          <w:sz w:val="24"/>
          <w:szCs w:val="24"/>
          <w:lang w:val="en-US" w:eastAsia="zh-CN"/>
        </w:rPr>
        <w:t>工程新建220kV线路22km，起于六合村一期光伏项目220kV升压站出线构架，迄于500kV乐业变220kV侧构架。采用单回路架设，其中，路径长约2×1.2km（同塔双回单边挂线）+20.8km（单回路架设），10mm冰区选用2×JNRLH1/LB20A-400/50铝包钢芯耐热铝合金绞线、20mm冰区选用2×JNRLH1/LB20A-400/65铝包钢芯耐热铝合金绞线。</w:t>
      </w:r>
      <w:r>
        <w:rPr>
          <w:rFonts w:hint="eastAsia" w:ascii="Times New Roman" w:hAnsi="Times New Roman" w:eastAsia="宋体" w:cs="Times New Roman"/>
          <w:color w:val="auto"/>
          <w:sz w:val="24"/>
          <w:szCs w:val="24"/>
          <w:lang w:val="en-US" w:eastAsia="zh-CN"/>
        </w:rPr>
        <w:t>新建铁塔</w:t>
      </w:r>
      <w:r>
        <w:rPr>
          <w:rFonts w:hint="eastAsia" w:ascii="Times New Roman" w:hAnsi="Times New Roman" w:cs="Times New Roman"/>
          <w:color w:val="auto"/>
          <w:sz w:val="24"/>
          <w:szCs w:val="24"/>
          <w:lang w:val="en-US" w:eastAsia="zh-CN"/>
        </w:rPr>
        <w:t>61</w:t>
      </w:r>
      <w:r>
        <w:rPr>
          <w:rFonts w:hint="eastAsia" w:ascii="Times New Roman" w:hAnsi="Times New Roman" w:eastAsia="宋体" w:cs="Times New Roman"/>
          <w:color w:val="auto"/>
          <w:sz w:val="24"/>
          <w:szCs w:val="24"/>
          <w:lang w:val="en-US" w:eastAsia="zh-CN"/>
        </w:rPr>
        <w:t>基，其中直线塔</w:t>
      </w:r>
      <w:r>
        <w:rPr>
          <w:rFonts w:hint="eastAsia" w:ascii="Times New Roman" w:hAnsi="Times New Roman" w:cs="Times New Roman"/>
          <w:color w:val="auto"/>
          <w:sz w:val="24"/>
          <w:szCs w:val="24"/>
          <w:lang w:val="en-US" w:eastAsia="zh-CN"/>
        </w:rPr>
        <w:t>38</w:t>
      </w:r>
      <w:r>
        <w:rPr>
          <w:rFonts w:hint="eastAsia" w:ascii="Times New Roman" w:hAnsi="Times New Roman" w:eastAsia="宋体" w:cs="Times New Roman"/>
          <w:color w:val="auto"/>
          <w:sz w:val="24"/>
          <w:szCs w:val="24"/>
          <w:lang w:val="en-US" w:eastAsia="zh-CN"/>
        </w:rPr>
        <w:t>基，耐张塔</w:t>
      </w:r>
      <w:r>
        <w:rPr>
          <w:rFonts w:hint="eastAsia" w:ascii="Times New Roman" w:hAnsi="Times New Roman" w:cs="Times New Roman"/>
          <w:color w:val="auto"/>
          <w:sz w:val="24"/>
          <w:szCs w:val="24"/>
          <w:lang w:val="en-US" w:eastAsia="zh-CN"/>
        </w:rPr>
        <w:t>23</w:t>
      </w:r>
      <w:r>
        <w:rPr>
          <w:rFonts w:hint="eastAsia" w:ascii="Times New Roman" w:hAnsi="Times New Roman" w:eastAsia="宋体" w:cs="Times New Roman"/>
          <w:color w:val="auto"/>
          <w:sz w:val="24"/>
          <w:szCs w:val="24"/>
          <w:lang w:val="en-US" w:eastAsia="zh-CN"/>
        </w:rPr>
        <w:t>基，采用三角、垂直排列</w:t>
      </w:r>
      <w:r>
        <w:rPr>
          <w:rFonts w:hint="eastAsia" w:ascii="Times New Roman" w:hAnsi="Times New Roman" w:cs="Times New Roman"/>
          <w:color w:val="auto"/>
          <w:sz w:val="24"/>
          <w:szCs w:val="24"/>
          <w:lang w:val="en-US" w:eastAsia="zh-CN"/>
        </w:rPr>
        <w:t>，其中线路塔基N7-N27共21基水平排列，长度5.67</w:t>
      </w:r>
      <w:r>
        <w:rPr>
          <w:rFonts w:hint="eastAsia" w:ascii="Times New Roman" w:hAnsi="Times New Roman" w:eastAsia="宋体" w:cs="Times New Roman"/>
          <w:color w:val="auto"/>
          <w:sz w:val="24"/>
          <w:szCs w:val="24"/>
          <w:lang w:val="en-US" w:eastAsia="zh-CN"/>
        </w:rPr>
        <w:t>6km；线路塔基N55-N61共7基塔为垂直排列，长度1.2km，其余</w:t>
      </w:r>
      <w:r>
        <w:rPr>
          <w:rFonts w:hint="default" w:ascii="Times New Roman" w:hAnsi="Times New Roman" w:eastAsia="宋体" w:cs="Times New Roman"/>
          <w:color w:val="auto"/>
          <w:sz w:val="24"/>
          <w:szCs w:val="24"/>
          <w:lang w:val="en-US" w:eastAsia="zh-CN"/>
        </w:rPr>
        <w:t>线路导线架设为三角排列，长度</w:t>
      </w:r>
      <w:r>
        <w:rPr>
          <w:rFonts w:hint="eastAsia" w:ascii="Times New Roman" w:hAnsi="Times New Roman" w:eastAsia="宋体" w:cs="Times New Roman"/>
          <w:color w:val="auto"/>
          <w:sz w:val="24"/>
          <w:szCs w:val="24"/>
          <w:lang w:val="en-US" w:eastAsia="zh-CN"/>
        </w:rPr>
        <w:t>15.124</w:t>
      </w:r>
      <w:r>
        <w:rPr>
          <w:rFonts w:hint="default" w:ascii="Times New Roman" w:hAnsi="Times New Roman" w:eastAsia="宋体" w:cs="Times New Roman"/>
          <w:color w:val="auto"/>
          <w:sz w:val="24"/>
          <w:szCs w:val="24"/>
          <w:lang w:val="en-US" w:eastAsia="zh-CN"/>
        </w:rPr>
        <w:t>km，共3</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基塔</w:t>
      </w:r>
      <w:r>
        <w:rPr>
          <w:rFonts w:hint="eastAsia" w:ascii="Times New Roman" w:hAnsi="Times New Roman" w:eastAsia="宋体" w:cs="Times New Roman"/>
          <w:color w:val="auto"/>
          <w:sz w:val="24"/>
          <w:szCs w:val="24"/>
          <w:lang w:val="en-US" w:eastAsia="zh-CN"/>
        </w:rPr>
        <w:t>。</w:t>
      </w:r>
    </w:p>
    <w:p w14:paraId="49FCD3D1">
      <w:pPr>
        <w:adjustRightInd w:val="0"/>
        <w:snapToGrid w:val="0"/>
        <w:spacing w:line="440" w:lineRule="exact"/>
        <w:ind w:firstLine="480" w:firstLineChars="200"/>
        <w:rPr>
          <w:rFonts w:hint="eastAsia" w:ascii="Times New Roman" w:hAnsi="Times New Roman"/>
          <w:color w:val="auto"/>
          <w:sz w:val="24"/>
          <w:szCs w:val="24"/>
          <w:lang w:val="zh-CN"/>
        </w:rPr>
      </w:pPr>
      <w:r>
        <w:rPr>
          <w:rFonts w:hint="eastAsia" w:ascii="Times New Roman" w:hAnsi="Times New Roman" w:eastAsia="宋体" w:cs="Times New Roman"/>
          <w:color w:val="auto"/>
          <w:sz w:val="24"/>
          <w:szCs w:val="24"/>
          <w:lang w:val="en-US" w:eastAsia="zh-CN"/>
        </w:rPr>
        <w:t>地线型号：随新建线路架设2根OPGW光缆，同塔双回单边挂线段采用2根OPGW-120光缆，其余段采用2根OPGW-100光缆。</w:t>
      </w:r>
      <w:r>
        <w:rPr>
          <w:rFonts w:ascii="Times New Roman" w:hAnsi="Times New Roman" w:cs="Times New Roman"/>
          <w:color w:val="auto"/>
          <w:sz w:val="24"/>
          <w:szCs w:val="24"/>
        </w:rPr>
        <w:t>具体内容如下：</w:t>
      </w:r>
    </w:p>
    <w:p w14:paraId="48B0F4DB">
      <w:pPr>
        <w:adjustRightInd w:val="0"/>
        <w:snapToGrid w:val="0"/>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表3-1  工程建设规模一览表</w:t>
      </w:r>
    </w:p>
    <w:tbl>
      <w:tblPr>
        <w:tblStyle w:val="2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386"/>
        <w:gridCol w:w="5376"/>
        <w:gridCol w:w="1425"/>
      </w:tblGrid>
      <w:tr w14:paraId="6A549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Align w:val="center"/>
          </w:tcPr>
          <w:p w14:paraId="36B2FD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工程</w:t>
            </w:r>
          </w:p>
        </w:tc>
        <w:tc>
          <w:tcPr>
            <w:tcW w:w="774" w:type="pct"/>
            <w:vAlign w:val="center"/>
          </w:tcPr>
          <w:p w14:paraId="3548EC5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b/>
                <w:color w:val="auto"/>
                <w:sz w:val="21"/>
                <w:szCs w:val="21"/>
                <w:lang w:val="en-US" w:eastAsia="zh-CN"/>
              </w:rPr>
              <w:t>名称</w:t>
            </w:r>
          </w:p>
        </w:tc>
        <w:tc>
          <w:tcPr>
            <w:tcW w:w="3003" w:type="pct"/>
            <w:vAlign w:val="center"/>
          </w:tcPr>
          <w:p w14:paraId="4F240D3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建设规模</w:t>
            </w:r>
          </w:p>
        </w:tc>
        <w:tc>
          <w:tcPr>
            <w:tcW w:w="796" w:type="pct"/>
            <w:vAlign w:val="center"/>
          </w:tcPr>
          <w:p w14:paraId="6462C4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备注</w:t>
            </w:r>
          </w:p>
        </w:tc>
      </w:tr>
      <w:tr w14:paraId="47C6A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restart"/>
            <w:vAlign w:val="center"/>
          </w:tcPr>
          <w:p w14:paraId="415002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输电线路工程</w:t>
            </w:r>
          </w:p>
        </w:tc>
        <w:tc>
          <w:tcPr>
            <w:tcW w:w="774" w:type="pct"/>
            <w:vAlign w:val="center"/>
          </w:tcPr>
          <w:p w14:paraId="3F06CA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22</w:t>
            </w:r>
            <w:r>
              <w:rPr>
                <w:rFonts w:hint="default" w:ascii="Times New Roman" w:hAnsi="Times New Roman" w:eastAsia="宋体" w:cs="Times New Roman"/>
                <w:b w:val="0"/>
                <w:bCs/>
                <w:color w:val="auto"/>
                <w:sz w:val="21"/>
                <w:szCs w:val="21"/>
                <w:lang w:val="en-US" w:eastAsia="zh-CN"/>
              </w:rPr>
              <w:t>0</w:t>
            </w:r>
            <w:r>
              <w:rPr>
                <w:rFonts w:hint="default" w:ascii="Times New Roman" w:hAnsi="Times New Roman" w:cs="Times New Roman"/>
                <w:b w:val="0"/>
                <w:bCs/>
                <w:color w:val="auto"/>
                <w:sz w:val="21"/>
                <w:szCs w:val="21"/>
                <w:lang w:val="en-US" w:eastAsia="zh-CN"/>
              </w:rPr>
              <w:t>kV</w:t>
            </w:r>
            <w:r>
              <w:rPr>
                <w:rFonts w:hint="default" w:ascii="Times New Roman" w:hAnsi="Times New Roman" w:eastAsia="宋体" w:cs="Times New Roman"/>
                <w:b w:val="0"/>
                <w:bCs/>
                <w:color w:val="auto"/>
                <w:sz w:val="21"/>
                <w:szCs w:val="21"/>
                <w:lang w:val="en-US" w:eastAsia="zh-CN"/>
              </w:rPr>
              <w:t>线路</w:t>
            </w:r>
          </w:p>
        </w:tc>
        <w:tc>
          <w:tcPr>
            <w:tcW w:w="3003" w:type="pct"/>
            <w:vAlign w:val="center"/>
          </w:tcPr>
          <w:p w14:paraId="6AAD6E3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新建1回</w:t>
            </w:r>
            <w:r>
              <w:rPr>
                <w:rFonts w:hint="default" w:ascii="Times New Roman" w:hAnsi="Times New Roman"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0kV架空输电线路，长</w:t>
            </w:r>
            <w:r>
              <w:rPr>
                <w:rFonts w:hint="eastAsia" w:ascii="Times New Roman" w:hAnsi="Times New Roman"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km，采用单回路架设</w:t>
            </w:r>
            <w:r>
              <w:rPr>
                <w:rFonts w:hint="eastAsia" w:ascii="Times New Roman" w:hAnsi="Times New Roman" w:cs="Times New Roman"/>
                <w:color w:val="auto"/>
                <w:sz w:val="21"/>
                <w:szCs w:val="21"/>
                <w:lang w:val="en-US" w:eastAsia="zh-CN"/>
              </w:rPr>
              <w:t>，其中，路径长约2×1.2km（同塔双回单边挂线）+20.8km（单回路架设），10mm冰区选用2×JNRLH1/LB20A-400/50铝包钢芯耐热铝合金绞线、20mm冰区选用2×JNRLH1/LB20A-400/65铝包钢芯耐热铝合金绞线</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highlight w:val="none"/>
                <w:lang w:val="en-US" w:eastAsia="zh-CN"/>
              </w:rPr>
              <w:t>导线截面选择</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lang w:val="en-US" w:eastAsia="zh-CN"/>
              </w:rPr>
              <w:t>mm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；电流为</w:t>
            </w:r>
            <w:r>
              <w:rPr>
                <w:rFonts w:hint="eastAsia" w:ascii="Times New Roman" w:hAnsi="Times New Roman" w:cs="Times New Roman"/>
                <w:color w:val="auto"/>
                <w:sz w:val="21"/>
                <w:szCs w:val="21"/>
                <w:highlight w:val="none"/>
                <w:lang w:val="en-US" w:eastAsia="zh-CN"/>
              </w:rPr>
              <w:t>1320</w:t>
            </w:r>
            <w:r>
              <w:rPr>
                <w:rFonts w:hint="default" w:ascii="Times New Roman" w:hAnsi="Times New Roman" w:eastAsia="宋体" w:cs="Times New Roman"/>
                <w:color w:val="auto"/>
                <w:sz w:val="21"/>
                <w:szCs w:val="21"/>
                <w:highlight w:val="none"/>
                <w:lang w:val="en-US" w:eastAsia="zh-CN"/>
              </w:rPr>
              <w:t>A。线路塔基N7-N27共21基水平排列，长度5.676km；线路塔基N55-N61共7基塔为垂直排列，长度1.2km，其余线路导线架设为三角排列，长度15.124km，共33基塔</w:t>
            </w:r>
            <w:r>
              <w:rPr>
                <w:rFonts w:hint="eastAsia" w:ascii="Times New Roman" w:hAnsi="Times New Roman" w:cs="Times New Roman"/>
                <w:color w:val="auto"/>
                <w:sz w:val="21"/>
                <w:szCs w:val="21"/>
                <w:highlight w:val="none"/>
                <w:lang w:val="en-US" w:eastAsia="zh-CN"/>
              </w:rPr>
              <w:t>。</w:t>
            </w:r>
          </w:p>
        </w:tc>
        <w:tc>
          <w:tcPr>
            <w:tcW w:w="796" w:type="pct"/>
            <w:vAlign w:val="center"/>
          </w:tcPr>
          <w:p w14:paraId="2BCB90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w:t>
            </w:r>
            <w:r>
              <w:rPr>
                <w:rFonts w:hint="default" w:ascii="Times New Roman" w:hAnsi="Times New Roman" w:cs="Times New Roman"/>
                <w:color w:val="auto"/>
                <w:sz w:val="21"/>
                <w:szCs w:val="21"/>
                <w:lang w:val="en-US" w:eastAsia="zh-CN"/>
              </w:rPr>
              <w:t>次</w:t>
            </w:r>
            <w:r>
              <w:rPr>
                <w:rFonts w:hint="default" w:ascii="Times New Roman" w:hAnsi="Times New Roman" w:eastAsia="宋体" w:cs="Times New Roman"/>
                <w:color w:val="auto"/>
                <w:sz w:val="21"/>
                <w:szCs w:val="21"/>
                <w:lang w:val="en-US" w:eastAsia="zh-CN"/>
              </w:rPr>
              <w:t>新建</w:t>
            </w:r>
            <w:r>
              <w:rPr>
                <w:rFonts w:hint="default" w:ascii="Times New Roman" w:hAnsi="Times New Roman" w:cs="Times New Roman"/>
                <w:color w:val="auto"/>
                <w:sz w:val="21"/>
                <w:szCs w:val="21"/>
                <w:lang w:val="en-US" w:eastAsia="zh-CN"/>
              </w:rPr>
              <w:t>1回</w:t>
            </w:r>
          </w:p>
        </w:tc>
      </w:tr>
      <w:tr w14:paraId="4E3D2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5F542E3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p>
        </w:tc>
        <w:tc>
          <w:tcPr>
            <w:tcW w:w="774" w:type="pct"/>
            <w:vAlign w:val="center"/>
          </w:tcPr>
          <w:p w14:paraId="02CB3E2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线路走向</w:t>
            </w:r>
          </w:p>
        </w:tc>
        <w:tc>
          <w:tcPr>
            <w:tcW w:w="3003" w:type="pct"/>
            <w:vAlign w:val="center"/>
          </w:tcPr>
          <w:p w14:paraId="4F32208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pacing w:val="0"/>
              </w:rPr>
              <w:t>新建线路自六合村一期光伏项目220kV升压站构架出线后沿王家村南侧山脊向西北方向走线，随后右转到达老屋基东侧山腰，继续向北方向走线至岔沟西侧山顶，右转后向东北方向走线，途经上白沙坡、老陷塘、红瓦房、叶家冲、张家冲、到坡、小海子、上干冲、中梁子等地后到达林家村西侧山顶，继续右转跨越国道到达山背后山腰，随后左转最终接入500kV乐业变220kV侧构架。</w:t>
            </w:r>
          </w:p>
        </w:tc>
        <w:tc>
          <w:tcPr>
            <w:tcW w:w="796" w:type="pct"/>
            <w:vAlign w:val="center"/>
          </w:tcPr>
          <w:p w14:paraId="22282A0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32174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7E8BB36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rPr>
            </w:pPr>
          </w:p>
        </w:tc>
        <w:tc>
          <w:tcPr>
            <w:tcW w:w="774" w:type="pct"/>
            <w:vAlign w:val="center"/>
          </w:tcPr>
          <w:p w14:paraId="48B37B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光缆</w:t>
            </w:r>
          </w:p>
        </w:tc>
        <w:tc>
          <w:tcPr>
            <w:tcW w:w="3003" w:type="pct"/>
            <w:vAlign w:val="center"/>
          </w:tcPr>
          <w:p w14:paraId="2CC5E0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沿新建线路同步架设单回段架设2根24芯OPGW光缆，新建线路双回段架设2根48芯OPGW光缆（各预留24芯光缆作为备用通信通道），最终形成220kV六合村光伏升压站至500kV乐业变的2根24芯光缆，新建光缆路径长度约为2×22km。</w:t>
            </w:r>
          </w:p>
        </w:tc>
        <w:tc>
          <w:tcPr>
            <w:tcW w:w="796" w:type="pct"/>
            <w:vAlign w:val="center"/>
          </w:tcPr>
          <w:p w14:paraId="3A9823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w:t>
            </w:r>
            <w:r>
              <w:rPr>
                <w:rFonts w:hint="default" w:ascii="Times New Roman" w:hAnsi="Times New Roman" w:cs="Times New Roman"/>
                <w:color w:val="auto"/>
                <w:sz w:val="21"/>
                <w:szCs w:val="21"/>
                <w:lang w:val="en-US" w:eastAsia="zh-CN"/>
              </w:rPr>
              <w:t>次</w:t>
            </w:r>
            <w:r>
              <w:rPr>
                <w:rFonts w:hint="default" w:ascii="Times New Roman" w:hAnsi="Times New Roman" w:eastAsia="宋体" w:cs="Times New Roman"/>
                <w:color w:val="auto"/>
                <w:sz w:val="21"/>
                <w:szCs w:val="21"/>
                <w:lang w:val="en-US" w:eastAsia="zh-CN"/>
              </w:rPr>
              <w:t>新建</w:t>
            </w:r>
          </w:p>
        </w:tc>
      </w:tr>
      <w:tr w14:paraId="3D24A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restart"/>
            <w:vAlign w:val="center"/>
          </w:tcPr>
          <w:p w14:paraId="4CE79CE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依托工程</w:t>
            </w:r>
          </w:p>
        </w:tc>
        <w:tc>
          <w:tcPr>
            <w:tcW w:w="774" w:type="pct"/>
            <w:shd w:val="clear" w:color="auto" w:fill="auto"/>
            <w:vAlign w:val="center"/>
          </w:tcPr>
          <w:p w14:paraId="6E7DC3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auto"/>
                <w:sz w:val="21"/>
                <w:szCs w:val="21"/>
                <w:lang w:val="en-US" w:eastAsia="zh-CN"/>
              </w:rPr>
              <w:t>50</w:t>
            </w:r>
            <w:r>
              <w:rPr>
                <w:rFonts w:hint="default" w:ascii="Times New Roman" w:hAnsi="Times New Roman" w:cs="Times New Roman"/>
                <w:b w:val="0"/>
                <w:bCs/>
                <w:color w:val="auto"/>
                <w:sz w:val="21"/>
                <w:szCs w:val="21"/>
                <w:lang w:val="en-US" w:eastAsia="zh-CN"/>
              </w:rPr>
              <w:t>0kV</w:t>
            </w:r>
            <w:r>
              <w:rPr>
                <w:rFonts w:hint="eastAsia" w:ascii="Times New Roman" w:hAnsi="Times New Roman" w:cs="Times New Roman"/>
                <w:b w:val="0"/>
                <w:bCs/>
                <w:color w:val="auto"/>
                <w:sz w:val="21"/>
                <w:szCs w:val="21"/>
                <w:lang w:val="en-US" w:eastAsia="zh-CN"/>
              </w:rPr>
              <w:t>乐业变电站</w:t>
            </w:r>
          </w:p>
        </w:tc>
        <w:tc>
          <w:tcPr>
            <w:tcW w:w="3003" w:type="pct"/>
            <w:vAlign w:val="center"/>
          </w:tcPr>
          <w:p w14:paraId="5BC4C6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项目接入的</w:t>
            </w:r>
            <w:r>
              <w:rPr>
                <w:rFonts w:hint="default" w:ascii="Times New Roman" w:hAnsi="Times New Roman" w:eastAsia="宋体" w:cs="Times New Roman"/>
                <w:color w:val="auto"/>
                <w:sz w:val="21"/>
                <w:szCs w:val="21"/>
                <w:lang w:val="en-US" w:eastAsia="zh-CN"/>
              </w:rPr>
              <w:t>500kV乐业变电站</w:t>
            </w:r>
            <w:r>
              <w:rPr>
                <w:rFonts w:hint="default" w:ascii="Times New Roman" w:hAnsi="Times New Roman" w:eastAsia="宋体" w:cs="Times New Roman"/>
                <w:color w:val="auto"/>
                <w:sz w:val="21"/>
                <w:szCs w:val="21"/>
              </w:rPr>
              <w:t>有预留间隔通道，不涉及间隔工程</w:t>
            </w:r>
            <w:r>
              <w:rPr>
                <w:rFonts w:hint="default" w:ascii="Times New Roman" w:hAnsi="Times New Roman" w:cs="Times New Roman"/>
                <w:color w:val="auto"/>
                <w:sz w:val="21"/>
                <w:szCs w:val="21"/>
                <w:lang w:val="en-US" w:eastAsia="zh-CN"/>
              </w:rPr>
              <w:t>扩建；依托站内前期建设的化粪池、垃圾桶、事故油池等</w:t>
            </w:r>
          </w:p>
        </w:tc>
        <w:tc>
          <w:tcPr>
            <w:tcW w:w="796" w:type="pct"/>
            <w:vAlign w:val="center"/>
          </w:tcPr>
          <w:p w14:paraId="444EE3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本次在预留位置安装设备</w:t>
            </w:r>
          </w:p>
        </w:tc>
      </w:tr>
      <w:tr w14:paraId="75562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0B8DA1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p>
        </w:tc>
        <w:tc>
          <w:tcPr>
            <w:tcW w:w="774" w:type="pct"/>
            <w:shd w:val="clear" w:color="auto" w:fill="auto"/>
            <w:vAlign w:val="center"/>
          </w:tcPr>
          <w:p w14:paraId="2A35597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lang w:val="en-US" w:eastAsia="zh-CN"/>
              </w:rPr>
              <w:t>220kV</w:t>
            </w:r>
            <w:r>
              <w:rPr>
                <w:rFonts w:hint="eastAsia" w:ascii="Times New Roman" w:hAnsi="Times New Roman" w:cs="Times New Roman"/>
                <w:b w:val="0"/>
                <w:bCs/>
                <w:color w:val="auto"/>
                <w:sz w:val="21"/>
                <w:szCs w:val="21"/>
                <w:lang w:val="en-US" w:eastAsia="zh-CN"/>
              </w:rPr>
              <w:t>六合一</w:t>
            </w:r>
            <w:r>
              <w:rPr>
                <w:rFonts w:hint="default" w:ascii="Times New Roman" w:hAnsi="Times New Roman" w:cs="Times New Roman"/>
                <w:b w:val="0"/>
                <w:bCs/>
                <w:color w:val="auto"/>
                <w:sz w:val="21"/>
                <w:szCs w:val="21"/>
                <w:lang w:val="en-US" w:eastAsia="zh-CN"/>
              </w:rPr>
              <w:t>升压站</w:t>
            </w:r>
          </w:p>
        </w:tc>
        <w:tc>
          <w:tcPr>
            <w:tcW w:w="3003" w:type="pct"/>
            <w:shd w:val="clear" w:color="auto" w:fill="auto"/>
            <w:vAlign w:val="center"/>
          </w:tcPr>
          <w:p w14:paraId="456F79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项目接入的</w:t>
            </w:r>
            <w:r>
              <w:rPr>
                <w:rFonts w:hint="default" w:ascii="Times New Roman" w:hAnsi="Times New Roman" w:eastAsia="宋体" w:cs="Times New Roman"/>
                <w:color w:val="auto"/>
                <w:sz w:val="21"/>
                <w:szCs w:val="21"/>
                <w:lang w:val="en-US" w:eastAsia="zh-CN"/>
              </w:rPr>
              <w:t>220kV</w:t>
            </w:r>
            <w:r>
              <w:rPr>
                <w:rFonts w:hint="eastAsia" w:ascii="Times New Roman" w:hAnsi="Times New Roman" w:cs="Times New Roman"/>
                <w:color w:val="auto"/>
                <w:sz w:val="21"/>
                <w:szCs w:val="21"/>
                <w:lang w:val="en-US" w:eastAsia="zh-CN"/>
              </w:rPr>
              <w:t>六合一</w:t>
            </w:r>
            <w:r>
              <w:rPr>
                <w:rFonts w:hint="default" w:ascii="Times New Roman" w:hAnsi="Times New Roman" w:eastAsia="宋体" w:cs="Times New Roman"/>
                <w:color w:val="auto"/>
                <w:sz w:val="21"/>
                <w:szCs w:val="21"/>
                <w:lang w:val="en-US" w:eastAsia="zh-CN"/>
              </w:rPr>
              <w:t>升压站</w:t>
            </w:r>
            <w:r>
              <w:rPr>
                <w:rFonts w:hint="default" w:ascii="Times New Roman" w:hAnsi="Times New Roman" w:eastAsia="宋体" w:cs="Times New Roman"/>
                <w:color w:val="auto"/>
                <w:sz w:val="21"/>
                <w:szCs w:val="21"/>
              </w:rPr>
              <w:t>有预留间隔通道，不涉及间隔工程</w:t>
            </w:r>
            <w:r>
              <w:rPr>
                <w:rFonts w:hint="default" w:ascii="Times New Roman" w:hAnsi="Times New Roman" w:cs="Times New Roman"/>
                <w:color w:val="auto"/>
                <w:sz w:val="21"/>
                <w:szCs w:val="21"/>
                <w:lang w:val="en-US" w:eastAsia="zh-CN"/>
              </w:rPr>
              <w:t>扩建，依托站内前期建设的化粪池、垃圾桶、事故油池等</w:t>
            </w:r>
          </w:p>
        </w:tc>
        <w:tc>
          <w:tcPr>
            <w:tcW w:w="796" w:type="pct"/>
            <w:shd w:val="clear" w:color="auto" w:fill="auto"/>
            <w:vAlign w:val="center"/>
          </w:tcPr>
          <w:p w14:paraId="3C6A4B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本次在预留位置安装设备</w:t>
            </w:r>
          </w:p>
        </w:tc>
      </w:tr>
      <w:tr w14:paraId="10968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restart"/>
            <w:vAlign w:val="center"/>
          </w:tcPr>
          <w:p w14:paraId="0BC9A980">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color w:val="auto"/>
                <w:spacing w:val="0"/>
              </w:rPr>
              <w:t>公用工程</w:t>
            </w:r>
          </w:p>
        </w:tc>
        <w:tc>
          <w:tcPr>
            <w:tcW w:w="774" w:type="pct"/>
            <w:vAlign w:val="center"/>
          </w:tcPr>
          <w:p w14:paraId="640F8F25">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color w:val="auto"/>
                <w:spacing w:val="0"/>
              </w:rPr>
              <w:t>供电</w:t>
            </w:r>
          </w:p>
        </w:tc>
        <w:tc>
          <w:tcPr>
            <w:tcW w:w="3003" w:type="pct"/>
            <w:vAlign w:val="center"/>
          </w:tcPr>
          <w:p w14:paraId="06513456">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color w:val="auto"/>
                <w:spacing w:val="0"/>
              </w:rPr>
              <w:t>线路工程施工过程中用电根据周边设施情况安排，周围已有用电用户区，可按照安全用电规定引接用于施工用电</w:t>
            </w:r>
          </w:p>
        </w:tc>
        <w:tc>
          <w:tcPr>
            <w:tcW w:w="796" w:type="pct"/>
            <w:vAlign w:val="center"/>
          </w:tcPr>
          <w:p w14:paraId="31775D70">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pacing w:val="0"/>
              </w:rPr>
              <w:t>依托周边已有用电设施</w:t>
            </w:r>
          </w:p>
        </w:tc>
      </w:tr>
      <w:tr w14:paraId="11527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5C50FF31">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p>
        </w:tc>
        <w:tc>
          <w:tcPr>
            <w:tcW w:w="774" w:type="pct"/>
            <w:vAlign w:val="center"/>
          </w:tcPr>
          <w:p w14:paraId="3B252311">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color w:val="auto"/>
                <w:spacing w:val="0"/>
              </w:rPr>
              <w:t>供水</w:t>
            </w:r>
          </w:p>
        </w:tc>
        <w:tc>
          <w:tcPr>
            <w:tcW w:w="3003" w:type="pct"/>
            <w:vAlign w:val="center"/>
          </w:tcPr>
          <w:p w14:paraId="379AA4A5">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color w:val="auto"/>
                <w:spacing w:val="0"/>
              </w:rPr>
              <w:t>线路工程每个塔基施工用水量较少，采用水车就近输送水源来满足施工用水。</w:t>
            </w:r>
          </w:p>
        </w:tc>
        <w:tc>
          <w:tcPr>
            <w:tcW w:w="796" w:type="pct"/>
            <w:vAlign w:val="center"/>
          </w:tcPr>
          <w:p w14:paraId="569D51CD">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pacing w:val="0"/>
              </w:rPr>
              <w:t>新建</w:t>
            </w:r>
          </w:p>
        </w:tc>
      </w:tr>
      <w:tr w14:paraId="7E2E5C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0638BD69">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p>
        </w:tc>
        <w:tc>
          <w:tcPr>
            <w:tcW w:w="774" w:type="pct"/>
            <w:vAlign w:val="center"/>
          </w:tcPr>
          <w:p w14:paraId="002E7E9F">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color w:val="auto"/>
                <w:spacing w:val="0"/>
              </w:rPr>
              <w:t>排水</w:t>
            </w:r>
          </w:p>
        </w:tc>
        <w:tc>
          <w:tcPr>
            <w:tcW w:w="3003" w:type="pct"/>
            <w:vAlign w:val="center"/>
          </w:tcPr>
          <w:p w14:paraId="7138CD8E">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color w:val="auto"/>
                <w:spacing w:val="0"/>
              </w:rPr>
              <w:t>施工期废水不外排；运营期无废水产生。</w:t>
            </w:r>
          </w:p>
        </w:tc>
        <w:tc>
          <w:tcPr>
            <w:tcW w:w="796" w:type="pct"/>
            <w:vAlign w:val="center"/>
          </w:tcPr>
          <w:p w14:paraId="6948FF75">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pacing w:val="0"/>
              </w:rPr>
              <w:t>/</w:t>
            </w:r>
          </w:p>
        </w:tc>
      </w:tr>
      <w:tr w14:paraId="1AF246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restart"/>
            <w:vAlign w:val="center"/>
          </w:tcPr>
          <w:p w14:paraId="210B7A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临时工程</w:t>
            </w:r>
          </w:p>
        </w:tc>
        <w:tc>
          <w:tcPr>
            <w:tcW w:w="774" w:type="pct"/>
            <w:shd w:val="clear" w:color="auto" w:fill="auto"/>
            <w:vAlign w:val="center"/>
          </w:tcPr>
          <w:p w14:paraId="48FA130E">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塔基施工场地</w:t>
            </w:r>
          </w:p>
        </w:tc>
        <w:tc>
          <w:tcPr>
            <w:tcW w:w="3003" w:type="pct"/>
            <w:shd w:val="clear" w:color="auto" w:fill="auto"/>
            <w:vAlign w:val="center"/>
          </w:tcPr>
          <w:p w14:paraId="0663A757">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塔基施工场地布置在塔基附近，用于进行塔材堆放、工具堆放等以及进行施工作业的场地。按每个塔基施工临时占地</w:t>
            </w:r>
            <w:r>
              <w:rPr>
                <w:rFonts w:hint="default" w:ascii="Times New Roman" w:hAnsi="Times New Roman" w:cs="Times New Roman"/>
                <w:color w:val="auto"/>
                <w:spacing w:val="0"/>
                <w:lang w:val="en-US" w:eastAsia="zh-CN"/>
              </w:rPr>
              <w:t>30</w:t>
            </w:r>
            <w:r>
              <w:rPr>
                <w:rFonts w:hint="default" w:ascii="Times New Roman" w:hAnsi="Times New Roman" w:cs="Times New Roman"/>
                <w:color w:val="auto"/>
                <w:spacing w:val="0"/>
              </w:rPr>
              <w:t>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w:t>
            </w:r>
            <w:r>
              <w:rPr>
                <w:rFonts w:hint="default" w:ascii="Times New Roman" w:hAnsi="Times New Roman" w:cs="Times New Roman"/>
                <w:color w:val="auto"/>
                <w:spacing w:val="0"/>
                <w:lang w:val="en-US" w:eastAsia="zh-CN"/>
              </w:rPr>
              <w:t>6</w:t>
            </w:r>
            <w:r>
              <w:rPr>
                <w:rFonts w:hint="default" w:ascii="Times New Roman" w:hAnsi="Times New Roman" w:cs="Times New Roman"/>
                <w:color w:val="auto"/>
                <w:spacing w:val="0"/>
              </w:rPr>
              <w:t>0m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计算，共6</w:t>
            </w:r>
            <w:r>
              <w:rPr>
                <w:rFonts w:hint="default" w:ascii="Times New Roman" w:hAnsi="Times New Roman" w:cs="Times New Roman"/>
                <w:color w:val="auto"/>
                <w:spacing w:val="0"/>
                <w:lang w:val="en-US" w:eastAsia="zh-CN"/>
              </w:rPr>
              <w:t>1</w:t>
            </w:r>
            <w:r>
              <w:rPr>
                <w:rFonts w:hint="default" w:ascii="Times New Roman" w:hAnsi="Times New Roman" w:cs="Times New Roman"/>
                <w:color w:val="auto"/>
                <w:spacing w:val="0"/>
              </w:rPr>
              <w:t>基，</w:t>
            </w:r>
            <w:r>
              <w:rPr>
                <w:rFonts w:hint="default" w:ascii="Times New Roman" w:hAnsi="Times New Roman" w:cs="Times New Roman"/>
                <w:color w:val="auto"/>
                <w:spacing w:val="0"/>
                <w:lang w:val="en-US" w:eastAsia="zh-CN"/>
              </w:rPr>
              <w:t>由于</w:t>
            </w:r>
            <w:r>
              <w:rPr>
                <w:rFonts w:hint="default" w:ascii="Times New Roman" w:hAnsi="Times New Roman" w:cs="Times New Roman"/>
                <w:color w:val="auto"/>
                <w:spacing w:val="0"/>
              </w:rPr>
              <w:t>N5</w:t>
            </w:r>
            <w:r>
              <w:rPr>
                <w:rFonts w:hint="default" w:ascii="Times New Roman" w:hAnsi="Times New Roman" w:cs="Times New Roman"/>
                <w:color w:val="auto"/>
                <w:spacing w:val="0"/>
                <w:lang w:val="en-US" w:eastAsia="zh-CN"/>
              </w:rPr>
              <w:t>8号塔基</w:t>
            </w:r>
            <w:r>
              <w:rPr>
                <w:rFonts w:hint="default" w:ascii="Times New Roman" w:hAnsi="Times New Roman" w:cs="Times New Roman"/>
                <w:color w:val="auto"/>
                <w:spacing w:val="0"/>
              </w:rPr>
              <w:t>、N5</w:t>
            </w:r>
            <w:r>
              <w:rPr>
                <w:rFonts w:hint="default" w:ascii="Times New Roman" w:hAnsi="Times New Roman" w:cs="Times New Roman"/>
                <w:color w:val="auto"/>
                <w:spacing w:val="0"/>
                <w:lang w:val="en-US" w:eastAsia="zh-CN"/>
              </w:rPr>
              <w:t>9号塔基整基位于基本农田范围内，施工期间考虑优化施工工艺，不设置塔基施工场地，项目共设计塔基施工场地59个，</w:t>
            </w:r>
            <w:r>
              <w:rPr>
                <w:rFonts w:hint="default" w:ascii="Times New Roman" w:hAnsi="Times New Roman" w:cs="Times New Roman"/>
                <w:color w:val="auto"/>
                <w:spacing w:val="0"/>
              </w:rPr>
              <w:t>塔基施工场地区总占地面积约0.20hm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。塔基区剥离表土堆存于塔基占地红线范围内，采取临时覆盖，施工结束后回填恢复</w:t>
            </w:r>
          </w:p>
        </w:tc>
        <w:tc>
          <w:tcPr>
            <w:tcW w:w="796" w:type="pct"/>
            <w:vMerge w:val="restart"/>
            <w:vAlign w:val="center"/>
          </w:tcPr>
          <w:p w14:paraId="6EF8BE3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0"/>
                <w:lang w:val="en-US" w:eastAsia="zh-CN"/>
              </w:rPr>
              <w:t>临时占地，施工结</w:t>
            </w:r>
            <w:r>
              <w:rPr>
                <w:rFonts w:hint="eastAsia" w:ascii="Times New Roman" w:hAnsi="Times New Roman" w:cs="Times New Roman"/>
                <w:color w:val="auto"/>
                <w:spacing w:val="0"/>
                <w:lang w:val="en-US" w:eastAsia="zh-CN"/>
              </w:rPr>
              <w:t>束后</w:t>
            </w:r>
            <w:r>
              <w:rPr>
                <w:rFonts w:hint="default" w:ascii="Times New Roman" w:hAnsi="Times New Roman" w:cs="Times New Roman"/>
                <w:color w:val="auto"/>
                <w:spacing w:val="0"/>
                <w:lang w:val="en-US" w:eastAsia="zh-CN"/>
              </w:rPr>
              <w:t>恢复原状</w:t>
            </w:r>
          </w:p>
        </w:tc>
      </w:tr>
      <w:tr w14:paraId="05FC2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18EEAA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320F5AFE">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人抬道路</w:t>
            </w:r>
          </w:p>
        </w:tc>
        <w:tc>
          <w:tcPr>
            <w:tcW w:w="3003" w:type="pct"/>
            <w:shd w:val="clear" w:color="auto" w:fill="auto"/>
            <w:vAlign w:val="center"/>
          </w:tcPr>
          <w:p w14:paraId="645F7272">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工程沿线周边有G</w:t>
            </w:r>
            <w:r>
              <w:rPr>
                <w:rFonts w:hint="default" w:ascii="Times New Roman" w:hAnsi="Times New Roman" w:cs="Times New Roman"/>
                <w:color w:val="auto"/>
                <w:spacing w:val="0"/>
                <w:lang w:val="en-US" w:eastAsia="zh-CN"/>
              </w:rPr>
              <w:t>8</w:t>
            </w:r>
            <w:r>
              <w:rPr>
                <w:rFonts w:hint="default" w:ascii="Times New Roman" w:hAnsi="Times New Roman" w:cs="Times New Roman"/>
                <w:color w:val="auto"/>
                <w:spacing w:val="0"/>
              </w:rPr>
              <w:t>5高速、国道G21</w:t>
            </w:r>
            <w:r>
              <w:rPr>
                <w:rFonts w:hint="default" w:ascii="Times New Roman" w:hAnsi="Times New Roman" w:cs="Times New Roman"/>
                <w:color w:val="auto"/>
                <w:spacing w:val="0"/>
                <w:lang w:val="en-US" w:eastAsia="zh-CN"/>
              </w:rPr>
              <w:t>3</w:t>
            </w:r>
            <w:r>
              <w:rPr>
                <w:rFonts w:hint="default" w:ascii="Times New Roman" w:hAnsi="Times New Roman" w:cs="Times New Roman"/>
                <w:color w:val="auto"/>
                <w:spacing w:val="0"/>
              </w:rPr>
              <w:t>及乡村道路等，基本满足工程需要，塔基施工区可利用现有村道、机耕道等将铁塔组件及其基础施工材料运抵铁塔附近或铁塔附近的山脚处，再通过人抬的方式运至铁塔下部施工场地内，需人抬道路</w:t>
            </w:r>
            <w:r>
              <w:rPr>
                <w:rFonts w:hint="default" w:ascii="Times New Roman" w:hAnsi="Times New Roman" w:cs="Times New Roman"/>
                <w:color w:val="auto"/>
                <w:spacing w:val="0"/>
                <w:highlight w:val="none"/>
              </w:rPr>
              <w:t>约</w:t>
            </w:r>
            <w:r>
              <w:rPr>
                <w:rFonts w:hint="eastAsia" w:ascii="Times New Roman" w:hAnsi="Times New Roman" w:cs="Times New Roman"/>
                <w:color w:val="auto"/>
                <w:spacing w:val="0"/>
                <w:highlight w:val="none"/>
                <w:lang w:val="en-US" w:eastAsia="zh-CN"/>
              </w:rPr>
              <w:t>1450</w:t>
            </w:r>
            <w:r>
              <w:rPr>
                <w:rFonts w:hint="default" w:ascii="Times New Roman" w:hAnsi="Times New Roman" w:cs="Times New Roman"/>
                <w:color w:val="auto"/>
                <w:spacing w:val="0"/>
                <w:highlight w:val="none"/>
              </w:rPr>
              <w:t>m，宽</w:t>
            </w:r>
            <w:r>
              <w:rPr>
                <w:rFonts w:hint="default" w:ascii="Times New Roman" w:hAnsi="Times New Roman" w:cs="Times New Roman"/>
                <w:color w:val="auto"/>
                <w:spacing w:val="0"/>
                <w:highlight w:val="none"/>
                <w:lang w:val="en-US" w:eastAsia="zh-CN"/>
              </w:rPr>
              <w:t>1</w:t>
            </w:r>
            <w:r>
              <w:rPr>
                <w:rFonts w:hint="default" w:ascii="Times New Roman" w:hAnsi="Times New Roman" w:cs="Times New Roman"/>
                <w:color w:val="auto"/>
                <w:spacing w:val="0"/>
                <w:highlight w:val="none"/>
              </w:rPr>
              <w:t>.</w:t>
            </w:r>
            <w:r>
              <w:rPr>
                <w:rFonts w:hint="eastAsia" w:ascii="Times New Roman" w:hAnsi="Times New Roman" w:cs="Times New Roman"/>
                <w:color w:val="auto"/>
                <w:spacing w:val="0"/>
                <w:highlight w:val="none"/>
                <w:lang w:val="en-US" w:eastAsia="zh-CN"/>
              </w:rPr>
              <w:t>5</w:t>
            </w:r>
            <w:r>
              <w:rPr>
                <w:rFonts w:hint="default" w:ascii="Times New Roman" w:hAnsi="Times New Roman" w:cs="Times New Roman"/>
                <w:color w:val="auto"/>
                <w:spacing w:val="0"/>
                <w:highlight w:val="none"/>
              </w:rPr>
              <w:t>m，总占地面积为</w:t>
            </w:r>
            <w:r>
              <w:rPr>
                <w:rFonts w:hint="default" w:ascii="Times New Roman" w:hAnsi="Times New Roman" w:cs="Times New Roman"/>
                <w:color w:val="auto"/>
                <w:spacing w:val="0"/>
                <w:highlight w:val="none"/>
                <w:lang w:val="en-US" w:eastAsia="zh-CN"/>
              </w:rPr>
              <w:t>0.</w:t>
            </w:r>
            <w:r>
              <w:rPr>
                <w:rFonts w:hint="eastAsia" w:ascii="Times New Roman" w:hAnsi="Times New Roman" w:cs="Times New Roman"/>
                <w:color w:val="auto"/>
                <w:spacing w:val="0"/>
                <w:highlight w:val="none"/>
                <w:lang w:val="en-US" w:eastAsia="zh-CN"/>
              </w:rPr>
              <w:t>22</w:t>
            </w:r>
            <w:r>
              <w:rPr>
                <w:rFonts w:hint="default" w:ascii="Times New Roman" w:hAnsi="Times New Roman" w:cs="Times New Roman"/>
                <w:color w:val="auto"/>
                <w:spacing w:val="0"/>
                <w:highlight w:val="none"/>
              </w:rPr>
              <w:t>hm</w:t>
            </w:r>
            <w:r>
              <w:rPr>
                <w:rFonts w:hint="default" w:ascii="Times New Roman" w:hAnsi="Times New Roman" w:cs="Times New Roman"/>
                <w:color w:val="auto"/>
                <w:spacing w:val="0"/>
                <w:highlight w:val="none"/>
                <w:vertAlign w:val="superscript"/>
              </w:rPr>
              <w:t>2</w:t>
            </w:r>
            <w:r>
              <w:rPr>
                <w:rFonts w:hint="default" w:ascii="Times New Roman" w:hAnsi="Times New Roman" w:cs="Times New Roman"/>
                <w:color w:val="auto"/>
                <w:spacing w:val="0"/>
                <w:highlight w:val="none"/>
              </w:rPr>
              <w:t>。人抬道路不进行表土剥离，施工结束后撒草恢复。</w:t>
            </w:r>
          </w:p>
        </w:tc>
        <w:tc>
          <w:tcPr>
            <w:tcW w:w="796" w:type="pct"/>
            <w:vMerge w:val="continue"/>
            <w:vAlign w:val="center"/>
          </w:tcPr>
          <w:p w14:paraId="7A5E7B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spacing w:val="0"/>
                <w:lang w:val="en-US" w:eastAsia="zh-CN"/>
              </w:rPr>
            </w:pPr>
          </w:p>
        </w:tc>
      </w:tr>
      <w:tr w14:paraId="34B457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290CD14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122A0AE2">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牵张场</w:t>
            </w:r>
          </w:p>
        </w:tc>
        <w:tc>
          <w:tcPr>
            <w:tcW w:w="3003" w:type="pct"/>
            <w:shd w:val="clear" w:color="auto" w:fill="auto"/>
            <w:vAlign w:val="center"/>
          </w:tcPr>
          <w:p w14:paraId="69244E55">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本项目沿线设置牵张场</w:t>
            </w:r>
            <w:r>
              <w:rPr>
                <w:rFonts w:hint="eastAsia" w:ascii="Times New Roman" w:hAnsi="Times New Roman" w:cs="Times New Roman"/>
                <w:color w:val="auto"/>
                <w:spacing w:val="0"/>
                <w:lang w:val="en-US" w:eastAsia="zh-CN"/>
              </w:rPr>
              <w:t>4</w:t>
            </w:r>
            <w:r>
              <w:rPr>
                <w:rFonts w:hint="default" w:ascii="Times New Roman" w:hAnsi="Times New Roman" w:cs="Times New Roman"/>
                <w:color w:val="auto"/>
                <w:spacing w:val="0"/>
              </w:rPr>
              <w:t>处，分别设置于塔基N</w:t>
            </w:r>
            <w:r>
              <w:rPr>
                <w:rFonts w:hint="default" w:ascii="Times New Roman" w:hAnsi="Times New Roman" w:cs="Times New Roman"/>
                <w:color w:val="auto"/>
                <w:spacing w:val="0"/>
                <w:lang w:val="en-US" w:eastAsia="zh-CN"/>
              </w:rPr>
              <w:t>1</w:t>
            </w:r>
            <w:r>
              <w:rPr>
                <w:rFonts w:hint="default" w:ascii="Times New Roman" w:hAnsi="Times New Roman" w:cs="Times New Roman"/>
                <w:color w:val="auto"/>
                <w:spacing w:val="0"/>
              </w:rPr>
              <w:t>、N</w:t>
            </w:r>
            <w:r>
              <w:rPr>
                <w:rFonts w:hint="default" w:ascii="Times New Roman" w:hAnsi="Times New Roman" w:cs="Times New Roman"/>
                <w:color w:val="auto"/>
                <w:spacing w:val="0"/>
                <w:lang w:val="en-US" w:eastAsia="zh-CN"/>
              </w:rPr>
              <w:t>12</w:t>
            </w:r>
            <w:r>
              <w:rPr>
                <w:rFonts w:hint="default" w:ascii="Times New Roman" w:hAnsi="Times New Roman" w:cs="Times New Roman"/>
                <w:color w:val="auto"/>
                <w:spacing w:val="0"/>
              </w:rPr>
              <w:t>、N</w:t>
            </w:r>
            <w:r>
              <w:rPr>
                <w:rFonts w:hint="default" w:ascii="Times New Roman" w:hAnsi="Times New Roman" w:cs="Times New Roman"/>
                <w:color w:val="auto"/>
                <w:spacing w:val="0"/>
                <w:lang w:val="en-US" w:eastAsia="zh-CN"/>
              </w:rPr>
              <w:t>30</w:t>
            </w:r>
            <w:r>
              <w:rPr>
                <w:rFonts w:hint="default" w:ascii="Times New Roman" w:hAnsi="Times New Roman" w:cs="Times New Roman"/>
                <w:color w:val="auto"/>
                <w:spacing w:val="0"/>
              </w:rPr>
              <w:t>、N</w:t>
            </w:r>
            <w:r>
              <w:rPr>
                <w:rFonts w:hint="default" w:ascii="Times New Roman" w:hAnsi="Times New Roman" w:cs="Times New Roman"/>
                <w:color w:val="auto"/>
                <w:spacing w:val="0"/>
                <w:lang w:val="en-US" w:eastAsia="zh-CN"/>
              </w:rPr>
              <w:t>50</w:t>
            </w:r>
            <w:r>
              <w:rPr>
                <w:rFonts w:hint="default" w:ascii="Times New Roman" w:hAnsi="Times New Roman" w:cs="Times New Roman"/>
                <w:color w:val="auto"/>
                <w:spacing w:val="0"/>
              </w:rPr>
              <w:t>处，每处牵张场占地约</w:t>
            </w:r>
            <w:r>
              <w:rPr>
                <w:rFonts w:hint="eastAsia" w:ascii="Times New Roman" w:hAnsi="Times New Roman" w:cs="Times New Roman"/>
                <w:color w:val="auto"/>
                <w:spacing w:val="0"/>
                <w:lang w:val="en-US" w:eastAsia="zh-CN"/>
              </w:rPr>
              <w:t>225</w:t>
            </w:r>
            <w:r>
              <w:rPr>
                <w:rFonts w:hint="default" w:ascii="Times New Roman" w:hAnsi="Times New Roman" w:cs="Times New Roman"/>
                <w:color w:val="auto"/>
                <w:spacing w:val="0"/>
              </w:rPr>
              <w:t>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，总占地面积为0.0</w:t>
            </w:r>
            <w:r>
              <w:rPr>
                <w:rFonts w:hint="eastAsia" w:ascii="Times New Roman" w:hAnsi="Times New Roman" w:cs="Times New Roman"/>
                <w:color w:val="auto"/>
                <w:spacing w:val="0"/>
                <w:lang w:val="en-US" w:eastAsia="zh-CN"/>
              </w:rPr>
              <w:t>9</w:t>
            </w:r>
            <w:r>
              <w:rPr>
                <w:rFonts w:hint="default" w:ascii="Times New Roman" w:hAnsi="Times New Roman" w:cs="Times New Roman"/>
                <w:color w:val="auto"/>
                <w:spacing w:val="0"/>
              </w:rPr>
              <w:t>hm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，全部为临时占地，选择地形平缓的场地，用于摆放牵引机械，不进行表土剥离，施工结束后及时整地、植被恢复等</w:t>
            </w:r>
          </w:p>
        </w:tc>
        <w:tc>
          <w:tcPr>
            <w:tcW w:w="796" w:type="pct"/>
            <w:vMerge w:val="continue"/>
            <w:vAlign w:val="center"/>
          </w:tcPr>
          <w:p w14:paraId="7865A9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r>
      <w:tr w14:paraId="3F4EF1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3FD8ED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4B19FBE8">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跨越施工场地</w:t>
            </w:r>
          </w:p>
        </w:tc>
        <w:tc>
          <w:tcPr>
            <w:tcW w:w="3003" w:type="pct"/>
            <w:shd w:val="clear" w:color="auto" w:fill="auto"/>
            <w:vAlign w:val="center"/>
          </w:tcPr>
          <w:p w14:paraId="1406D1FD">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线路对跨越35kV及以上线路</w:t>
            </w:r>
            <w:r>
              <w:rPr>
                <w:rFonts w:hint="eastAsia" w:ascii="Times New Roman" w:hAnsi="Times New Roman" w:cs="Times New Roman"/>
                <w:color w:val="auto"/>
                <w:spacing w:val="0"/>
                <w:lang w:val="en-US" w:eastAsia="zh-CN"/>
              </w:rPr>
              <w:t>及公路</w:t>
            </w:r>
            <w:r>
              <w:rPr>
                <w:rFonts w:hint="default" w:ascii="Times New Roman" w:hAnsi="Times New Roman" w:cs="Times New Roman"/>
                <w:color w:val="auto"/>
                <w:spacing w:val="0"/>
              </w:rPr>
              <w:t>设置跨越施工场地</w:t>
            </w:r>
            <w:r>
              <w:rPr>
                <w:rFonts w:hint="eastAsia" w:ascii="Times New Roman" w:hAnsi="Times New Roman" w:cs="Times New Roman"/>
                <w:color w:val="auto"/>
                <w:spacing w:val="0"/>
                <w:lang w:eastAsia="zh-CN"/>
              </w:rPr>
              <w:t>，</w:t>
            </w:r>
            <w:r>
              <w:rPr>
                <w:rFonts w:hint="default" w:ascii="Times New Roman" w:hAnsi="Times New Roman" w:cs="Times New Roman"/>
                <w:color w:val="auto"/>
                <w:spacing w:val="0"/>
              </w:rPr>
              <w:t>按要求，设置跨越</w:t>
            </w:r>
            <w:r>
              <w:rPr>
                <w:rFonts w:hint="default" w:ascii="Times New Roman" w:hAnsi="Times New Roman" w:cs="Times New Roman"/>
                <w:color w:val="auto"/>
                <w:spacing w:val="0"/>
                <w:highlight w:val="none"/>
              </w:rPr>
              <w:t>施工场地</w:t>
            </w:r>
            <w:r>
              <w:rPr>
                <w:rFonts w:hint="eastAsia" w:ascii="Times New Roman" w:hAnsi="Times New Roman" w:cs="Times New Roman"/>
                <w:color w:val="auto"/>
                <w:spacing w:val="0"/>
                <w:highlight w:val="none"/>
                <w:lang w:val="en-US" w:eastAsia="zh-CN"/>
              </w:rPr>
              <w:t>10</w:t>
            </w:r>
            <w:r>
              <w:rPr>
                <w:rFonts w:hint="default" w:ascii="Times New Roman" w:hAnsi="Times New Roman" w:cs="Times New Roman"/>
                <w:color w:val="auto"/>
                <w:spacing w:val="0"/>
                <w:highlight w:val="none"/>
              </w:rPr>
              <w:t>个，每处占地约</w:t>
            </w:r>
            <w:r>
              <w:rPr>
                <w:rFonts w:hint="eastAsia" w:ascii="Times New Roman" w:hAnsi="Times New Roman" w:cs="Times New Roman"/>
                <w:color w:val="auto"/>
                <w:spacing w:val="0"/>
                <w:highlight w:val="none"/>
                <w:lang w:val="en-US" w:eastAsia="zh-CN"/>
              </w:rPr>
              <w:t>30</w:t>
            </w:r>
            <w:r>
              <w:rPr>
                <w:rFonts w:hint="default" w:ascii="Times New Roman" w:hAnsi="Times New Roman" w:cs="Times New Roman"/>
                <w:color w:val="auto"/>
                <w:spacing w:val="0"/>
                <w:highlight w:val="none"/>
              </w:rPr>
              <w:t>m</w:t>
            </w:r>
            <w:r>
              <w:rPr>
                <w:rFonts w:hint="default" w:ascii="Times New Roman" w:hAnsi="Times New Roman" w:cs="Times New Roman"/>
                <w:color w:val="auto"/>
                <w:spacing w:val="0"/>
                <w:highlight w:val="none"/>
                <w:vertAlign w:val="superscript"/>
              </w:rPr>
              <w:t>2</w:t>
            </w:r>
            <w:r>
              <w:rPr>
                <w:rFonts w:hint="default" w:ascii="Times New Roman" w:hAnsi="Times New Roman" w:cs="Times New Roman"/>
                <w:color w:val="auto"/>
                <w:spacing w:val="0"/>
                <w:highlight w:val="none"/>
              </w:rPr>
              <w:t>，总占地面积为0.</w:t>
            </w:r>
            <w:r>
              <w:rPr>
                <w:rFonts w:hint="default" w:ascii="Times New Roman" w:hAnsi="Times New Roman" w:cs="Times New Roman"/>
                <w:color w:val="auto"/>
                <w:spacing w:val="0"/>
                <w:highlight w:val="none"/>
                <w:lang w:val="en-US" w:eastAsia="zh-CN"/>
              </w:rPr>
              <w:t>0</w:t>
            </w:r>
            <w:r>
              <w:rPr>
                <w:rFonts w:hint="eastAsia" w:ascii="Times New Roman" w:hAnsi="Times New Roman" w:cs="Times New Roman"/>
                <w:color w:val="auto"/>
                <w:spacing w:val="0"/>
                <w:highlight w:val="none"/>
                <w:lang w:val="en-US" w:eastAsia="zh-CN"/>
              </w:rPr>
              <w:t>3</w:t>
            </w:r>
            <w:r>
              <w:rPr>
                <w:rFonts w:hint="default" w:ascii="Times New Roman" w:hAnsi="Times New Roman" w:cs="Times New Roman"/>
                <w:color w:val="auto"/>
                <w:spacing w:val="0"/>
                <w:highlight w:val="none"/>
              </w:rPr>
              <w:t>hm</w:t>
            </w:r>
            <w:r>
              <w:rPr>
                <w:rFonts w:hint="default" w:ascii="Times New Roman" w:hAnsi="Times New Roman" w:cs="Times New Roman"/>
                <w:color w:val="auto"/>
                <w:spacing w:val="0"/>
                <w:highlight w:val="none"/>
                <w:vertAlign w:val="superscript"/>
              </w:rPr>
              <w:t>2</w:t>
            </w:r>
            <w:r>
              <w:rPr>
                <w:rFonts w:hint="default" w:ascii="Times New Roman" w:hAnsi="Times New Roman" w:cs="Times New Roman"/>
                <w:color w:val="auto"/>
                <w:spacing w:val="0"/>
                <w:highlight w:val="none"/>
              </w:rPr>
              <w:t>。</w:t>
            </w:r>
            <w:r>
              <w:rPr>
                <w:rFonts w:hint="default" w:ascii="Times New Roman" w:hAnsi="Times New Roman" w:cs="Times New Roman"/>
                <w:color w:val="auto"/>
                <w:spacing w:val="0"/>
              </w:rPr>
              <w:t>为临时占地，选择地形平缓的场地，用于摆放机械，不进行表土剥离。</w:t>
            </w:r>
          </w:p>
        </w:tc>
        <w:tc>
          <w:tcPr>
            <w:tcW w:w="796" w:type="pct"/>
            <w:vMerge w:val="continue"/>
            <w:vAlign w:val="center"/>
          </w:tcPr>
          <w:p w14:paraId="7BD11B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r>
      <w:tr w14:paraId="6F501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293817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0F7E7E6C">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临时表土堆场</w:t>
            </w:r>
          </w:p>
        </w:tc>
        <w:tc>
          <w:tcPr>
            <w:tcW w:w="3003" w:type="pct"/>
            <w:shd w:val="clear" w:color="auto" w:fill="auto"/>
            <w:vAlign w:val="center"/>
          </w:tcPr>
          <w:p w14:paraId="2A290798">
            <w:pPr>
              <w:pStyle w:val="69"/>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不单独设置表土堆场，施工期塔基区剥离表土堆存于塔基占地红线范围内，采取临时覆盖，施工结束后回填、整地恢复，撒草绿化等。</w:t>
            </w:r>
          </w:p>
        </w:tc>
        <w:tc>
          <w:tcPr>
            <w:tcW w:w="796" w:type="pct"/>
            <w:vMerge w:val="continue"/>
            <w:vAlign w:val="center"/>
          </w:tcPr>
          <w:p w14:paraId="4641DB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r>
      <w:tr w14:paraId="6579D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restart"/>
            <w:vAlign w:val="center"/>
          </w:tcPr>
          <w:p w14:paraId="7CD6C5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环保工程</w:t>
            </w:r>
          </w:p>
        </w:tc>
        <w:tc>
          <w:tcPr>
            <w:tcW w:w="774" w:type="pct"/>
            <w:shd w:val="clear" w:color="auto" w:fill="auto"/>
            <w:vAlign w:val="center"/>
          </w:tcPr>
          <w:p w14:paraId="7E32B8D9">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废气</w:t>
            </w:r>
          </w:p>
        </w:tc>
        <w:tc>
          <w:tcPr>
            <w:tcW w:w="3003" w:type="pct"/>
            <w:shd w:val="clear" w:color="auto" w:fill="auto"/>
            <w:vAlign w:val="center"/>
          </w:tcPr>
          <w:p w14:paraId="6BF813F0">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施工期粉尘采取洒水降尘、篷布覆盖等措施；运营期不产生废气</w:t>
            </w:r>
          </w:p>
        </w:tc>
        <w:tc>
          <w:tcPr>
            <w:tcW w:w="796" w:type="pct"/>
            <w:vAlign w:val="center"/>
          </w:tcPr>
          <w:p w14:paraId="59D9D3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7F6F1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6C2F89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5CA171C4">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废水</w:t>
            </w:r>
          </w:p>
        </w:tc>
        <w:tc>
          <w:tcPr>
            <w:tcW w:w="3003" w:type="pct"/>
            <w:shd w:val="clear" w:color="auto" w:fill="auto"/>
            <w:vAlign w:val="center"/>
          </w:tcPr>
          <w:p w14:paraId="13A1A3E1">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施工期废水经临时沉淀池沉淀后全部回用，不外排。运营期无废水产生。</w:t>
            </w:r>
          </w:p>
        </w:tc>
        <w:tc>
          <w:tcPr>
            <w:tcW w:w="796" w:type="pct"/>
            <w:vAlign w:val="center"/>
          </w:tcPr>
          <w:p w14:paraId="5AC658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57B7E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76052E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5F0EAEAA">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噪声</w:t>
            </w:r>
          </w:p>
        </w:tc>
        <w:tc>
          <w:tcPr>
            <w:tcW w:w="3003" w:type="pct"/>
            <w:shd w:val="clear" w:color="auto" w:fill="auto"/>
            <w:vAlign w:val="center"/>
          </w:tcPr>
          <w:p w14:paraId="04430D9B">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施工期采用低噪声设备；运营期加强对设备的维护</w:t>
            </w:r>
          </w:p>
        </w:tc>
        <w:tc>
          <w:tcPr>
            <w:tcW w:w="796" w:type="pct"/>
            <w:vAlign w:val="center"/>
          </w:tcPr>
          <w:p w14:paraId="09387B4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12853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53E672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6EA9EB5B">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固体废物</w:t>
            </w:r>
          </w:p>
        </w:tc>
        <w:tc>
          <w:tcPr>
            <w:tcW w:w="3003" w:type="pct"/>
            <w:shd w:val="clear" w:color="auto" w:fill="auto"/>
            <w:vAlign w:val="center"/>
          </w:tcPr>
          <w:p w14:paraId="714FE74D">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在施工点设置生活垃圾收集桶，对施工人员产生的生活垃圾统一收集后由施工单位定期运至</w:t>
            </w:r>
            <w:r>
              <w:rPr>
                <w:rFonts w:hint="default" w:ascii="Times New Roman" w:hAnsi="Times New Roman" w:cs="Times New Roman"/>
                <w:color w:val="auto"/>
                <w:spacing w:val="0"/>
                <w:lang w:val="en-US" w:eastAsia="zh-CN"/>
              </w:rPr>
              <w:t>周边村镇</w:t>
            </w:r>
            <w:r>
              <w:rPr>
                <w:rFonts w:hint="default" w:ascii="Times New Roman" w:hAnsi="Times New Roman" w:cs="Times New Roman"/>
                <w:color w:val="auto"/>
                <w:spacing w:val="0"/>
              </w:rPr>
              <w:t>环卫部门指定地点堆放，由环卫部门负责清运处置；土石方全部回填，建筑垃圾收集后交由有资质单位处置；运营期更换的废旧绝缘子串、电气设备由建设单位物资部门回收处理。</w:t>
            </w:r>
          </w:p>
        </w:tc>
        <w:tc>
          <w:tcPr>
            <w:tcW w:w="796" w:type="pct"/>
            <w:vAlign w:val="center"/>
          </w:tcPr>
          <w:p w14:paraId="2BF0EC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1D6893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7DD508A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6691F0BB">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电磁环境</w:t>
            </w:r>
          </w:p>
        </w:tc>
        <w:tc>
          <w:tcPr>
            <w:tcW w:w="3003" w:type="pct"/>
            <w:shd w:val="clear" w:color="auto" w:fill="auto"/>
            <w:vAlign w:val="center"/>
          </w:tcPr>
          <w:p w14:paraId="1F9EE0DB">
            <w:pPr>
              <w:pStyle w:val="69"/>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输电线路导线距地高度按照《110</w:t>
            </w:r>
            <w:r>
              <w:rPr>
                <w:rFonts w:hint="default" w:ascii="Times New Roman" w:hAnsi="Times New Roman" w:cs="Times New Roman"/>
                <w:color w:val="auto"/>
                <w:spacing w:val="0"/>
                <w:lang w:eastAsia="zh-CN"/>
              </w:rPr>
              <w:t>kV</w:t>
            </w:r>
            <w:r>
              <w:rPr>
                <w:rFonts w:hint="default" w:ascii="Times New Roman" w:hAnsi="Times New Roman" w:cs="Times New Roman"/>
                <w:color w:val="auto"/>
                <w:spacing w:val="0"/>
              </w:rPr>
              <w:t>～750</w:t>
            </w:r>
            <w:r>
              <w:rPr>
                <w:rFonts w:hint="default" w:ascii="Times New Roman" w:hAnsi="Times New Roman" w:cs="Times New Roman"/>
                <w:color w:val="auto"/>
                <w:spacing w:val="0"/>
                <w:lang w:eastAsia="zh-CN"/>
              </w:rPr>
              <w:t>kV</w:t>
            </w:r>
            <w:r>
              <w:rPr>
                <w:rFonts w:hint="default" w:ascii="Times New Roman" w:hAnsi="Times New Roman" w:cs="Times New Roman"/>
                <w:color w:val="auto"/>
                <w:spacing w:val="0"/>
              </w:rPr>
              <w:t>架空输电线路设计规范》（GB50545-2010）规定的</w:t>
            </w:r>
            <w:r>
              <w:rPr>
                <w:rFonts w:hint="default" w:ascii="Times New Roman" w:hAnsi="Times New Roman" w:cs="Times New Roman"/>
                <w:color w:val="auto"/>
                <w:spacing w:val="0"/>
                <w:lang w:val="en-US" w:eastAsia="zh-CN"/>
              </w:rPr>
              <w:t>22</w:t>
            </w:r>
            <w:r>
              <w:rPr>
                <w:rFonts w:hint="default" w:ascii="Times New Roman" w:hAnsi="Times New Roman" w:cs="Times New Roman"/>
                <w:color w:val="auto"/>
                <w:spacing w:val="0"/>
              </w:rPr>
              <w:t>0</w:t>
            </w:r>
            <w:r>
              <w:rPr>
                <w:rFonts w:hint="default" w:ascii="Times New Roman" w:hAnsi="Times New Roman" w:cs="Times New Roman"/>
                <w:color w:val="auto"/>
                <w:spacing w:val="0"/>
                <w:lang w:eastAsia="zh-CN"/>
              </w:rPr>
              <w:t>kV</w:t>
            </w:r>
            <w:r>
              <w:rPr>
                <w:rFonts w:hint="default" w:ascii="Times New Roman" w:hAnsi="Times New Roman" w:cs="Times New Roman"/>
                <w:color w:val="auto"/>
                <w:spacing w:val="0"/>
              </w:rPr>
              <w:t>线路经过非居民区导线对地面最小距离6.</w:t>
            </w:r>
            <w:r>
              <w:rPr>
                <w:rFonts w:hint="default" w:ascii="Times New Roman" w:hAnsi="Times New Roman" w:cs="Times New Roman"/>
                <w:color w:val="auto"/>
                <w:spacing w:val="0"/>
                <w:lang w:val="en-US" w:eastAsia="zh-CN"/>
              </w:rPr>
              <w:t>5</w:t>
            </w:r>
            <w:r>
              <w:rPr>
                <w:rFonts w:hint="default" w:ascii="Times New Roman" w:hAnsi="Times New Roman" w:cs="Times New Roman"/>
                <w:color w:val="auto"/>
                <w:spacing w:val="0"/>
              </w:rPr>
              <w:t>m，居民区导线对地面最小距离7.</w:t>
            </w:r>
            <w:r>
              <w:rPr>
                <w:rFonts w:hint="default" w:ascii="Times New Roman" w:hAnsi="Times New Roman" w:cs="Times New Roman"/>
                <w:color w:val="auto"/>
                <w:spacing w:val="0"/>
                <w:lang w:val="en-US" w:eastAsia="zh-CN"/>
              </w:rPr>
              <w:t>5</w:t>
            </w:r>
            <w:r>
              <w:rPr>
                <w:rFonts w:hint="default" w:ascii="Times New Roman" w:hAnsi="Times New Roman" w:cs="Times New Roman"/>
                <w:color w:val="auto"/>
                <w:spacing w:val="0"/>
              </w:rPr>
              <w:t>m，交通困难区对地面最小距离5m的要求进行架设。则项目线路运行期产生的电磁环境影响均满足相应评价标准限值要求。塔基安全警示牌、电力设施保护标识牌。</w:t>
            </w:r>
          </w:p>
        </w:tc>
        <w:tc>
          <w:tcPr>
            <w:tcW w:w="796" w:type="pct"/>
            <w:vAlign w:val="center"/>
          </w:tcPr>
          <w:p w14:paraId="417707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3D0A3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trPr>
        <w:tc>
          <w:tcPr>
            <w:tcW w:w="426" w:type="pct"/>
            <w:vMerge w:val="continue"/>
            <w:vAlign w:val="center"/>
          </w:tcPr>
          <w:p w14:paraId="299168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295A662A">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水土保持</w:t>
            </w:r>
          </w:p>
        </w:tc>
        <w:tc>
          <w:tcPr>
            <w:tcW w:w="3003" w:type="pct"/>
            <w:shd w:val="clear" w:color="auto" w:fill="auto"/>
            <w:vAlign w:val="center"/>
          </w:tcPr>
          <w:p w14:paraId="5BDFC370">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施工物料采用篷布覆盖、遮挡；陡坡塔基设置的浆砌石挡土墙、护坡、排水沟等</w:t>
            </w:r>
          </w:p>
        </w:tc>
        <w:tc>
          <w:tcPr>
            <w:tcW w:w="796" w:type="pct"/>
            <w:vAlign w:val="center"/>
          </w:tcPr>
          <w:p w14:paraId="4886F5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580A5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26" w:type="pct"/>
            <w:vMerge w:val="continue"/>
            <w:vAlign w:val="center"/>
          </w:tcPr>
          <w:p w14:paraId="64D020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val="0"/>
                <w:bCs/>
                <w:color w:val="auto"/>
                <w:sz w:val="21"/>
                <w:szCs w:val="21"/>
                <w:lang w:val="en-US" w:eastAsia="zh-CN"/>
              </w:rPr>
            </w:pPr>
          </w:p>
        </w:tc>
        <w:tc>
          <w:tcPr>
            <w:tcW w:w="774" w:type="pct"/>
            <w:shd w:val="clear" w:color="auto" w:fill="auto"/>
            <w:vAlign w:val="center"/>
          </w:tcPr>
          <w:p w14:paraId="3B3F03C9">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生态措施</w:t>
            </w:r>
          </w:p>
        </w:tc>
        <w:tc>
          <w:tcPr>
            <w:tcW w:w="3003" w:type="pct"/>
            <w:shd w:val="clear" w:color="auto" w:fill="auto"/>
            <w:vAlign w:val="center"/>
          </w:tcPr>
          <w:p w14:paraId="64ECE1F5">
            <w:pPr>
              <w:pStyle w:val="69"/>
              <w:keepNext w:val="0"/>
              <w:keepLines w:val="0"/>
              <w:pageBreakBefore w:val="0"/>
              <w:widowControl w:val="0"/>
              <w:kinsoku/>
              <w:wordWrap/>
              <w:overflowPunct/>
              <w:topLinePunct w:val="0"/>
              <w:bidi w:val="0"/>
              <w:adjustRightInd w:val="0"/>
              <w:snapToGrid w:val="0"/>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cs="Times New Roman"/>
                <w:color w:val="auto"/>
                <w:spacing w:val="0"/>
              </w:rPr>
              <w:t>严格控制施工范围，塔基施工区、牵张场、跨越施工场地等施工结束后进行植被恢复。</w:t>
            </w:r>
          </w:p>
        </w:tc>
        <w:tc>
          <w:tcPr>
            <w:tcW w:w="796" w:type="pct"/>
            <w:vAlign w:val="center"/>
          </w:tcPr>
          <w:p w14:paraId="1D15821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bl>
    <w:p w14:paraId="5546077E">
      <w:pPr>
        <w:adjustRightInd w:val="0"/>
        <w:snapToGrid w:val="0"/>
        <w:jc w:val="center"/>
        <w:rPr>
          <w:rFonts w:hint="eastAsia" w:ascii="Times New Roman" w:hAnsi="Times New Roman" w:cs="Times New Roman"/>
          <w:b/>
          <w:color w:val="auto"/>
          <w:sz w:val="24"/>
          <w:szCs w:val="24"/>
        </w:rPr>
      </w:pPr>
    </w:p>
    <w:p w14:paraId="307CA17B">
      <w:pPr>
        <w:pageBreakBefore w:val="0"/>
        <w:kinsoku/>
        <w:wordWrap/>
        <w:topLinePunct w:val="0"/>
        <w:bidi w:val="0"/>
        <w:spacing w:line="240" w:lineRule="auto"/>
        <w:jc w:val="center"/>
        <w:rPr>
          <w:rFonts w:hint="default" w:ascii="Times New Roman" w:hAnsi="Times New Roman" w:cs="Times New Roman"/>
          <w:b/>
          <w:color w:val="auto"/>
          <w:sz w:val="24"/>
          <w:szCs w:val="22"/>
        </w:rPr>
      </w:pPr>
      <w:r>
        <w:rPr>
          <w:rFonts w:hint="default" w:ascii="Times New Roman" w:hAnsi="Times New Roman" w:cs="Times New Roman"/>
          <w:b/>
          <w:color w:val="auto"/>
          <w:sz w:val="24"/>
          <w:szCs w:val="24"/>
        </w:rPr>
        <w:t>表</w:t>
      </w:r>
      <w:r>
        <w:rPr>
          <w:rFonts w:hint="eastAsia" w:ascii="Times New Roman" w:hAnsi="Times New Roman" w:cs="Times New Roman"/>
          <w:b/>
          <w:color w:val="auto"/>
          <w:sz w:val="24"/>
          <w:szCs w:val="24"/>
          <w:lang w:val="en-US" w:eastAsia="zh-CN"/>
        </w:rPr>
        <w:t>3</w:t>
      </w:r>
      <w:r>
        <w:rPr>
          <w:rFonts w:hint="default" w:ascii="Times New Roman" w:hAnsi="Times New Roman" w:cs="Times New Roman"/>
          <w:b/>
          <w:color w:val="auto"/>
          <w:sz w:val="24"/>
          <w:szCs w:val="24"/>
        </w:rPr>
        <w:t>-</w:t>
      </w:r>
      <w:r>
        <w:rPr>
          <w:rFonts w:hint="default"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rPr>
        <w:t xml:space="preserve">  </w:t>
      </w:r>
      <w:r>
        <w:rPr>
          <w:rFonts w:hint="default" w:ascii="Times New Roman" w:hAnsi="Times New Roman" w:cs="Times New Roman"/>
          <w:b/>
          <w:color w:val="auto"/>
          <w:sz w:val="24"/>
        </w:rPr>
        <w:t>项目输电线路主要技术参数</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44"/>
        <w:gridCol w:w="7005"/>
      </w:tblGrid>
      <w:tr w14:paraId="692CA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86" w:type="pct"/>
            <w:vMerge w:val="restart"/>
            <w:tcBorders>
              <w:tl2br w:val="nil"/>
              <w:tr2bl w:val="nil"/>
            </w:tcBorders>
            <w:noWrap w:val="0"/>
            <w:vAlign w:val="center"/>
          </w:tcPr>
          <w:p w14:paraId="113DF0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rPr>
            </w:pPr>
            <w:r>
              <w:rPr>
                <w:rFonts w:hint="default" w:ascii="Times New Roman" w:hAnsi="Times New Roman" w:cs="Times New Roman"/>
                <w:b/>
                <w:bCs/>
                <w:color w:val="auto"/>
              </w:rPr>
              <mc:AlternateContent>
                <mc:Choice Requires="wps">
                  <w:drawing>
                    <wp:anchor distT="0" distB="0" distL="114300" distR="114300" simplePos="0" relativeHeight="251661312" behindDoc="0" locked="0" layoutInCell="1" allowOverlap="1">
                      <wp:simplePos x="0" y="0"/>
                      <wp:positionH relativeFrom="column">
                        <wp:posOffset>-57785</wp:posOffset>
                      </wp:positionH>
                      <wp:positionV relativeFrom="paragraph">
                        <wp:posOffset>9525</wp:posOffset>
                      </wp:positionV>
                      <wp:extent cx="1116965" cy="372745"/>
                      <wp:effectExtent l="1270" t="4445" r="5715" b="22860"/>
                      <wp:wrapNone/>
                      <wp:docPr id="50" name="直接连接符 50"/>
                      <wp:cNvGraphicFramePr/>
                      <a:graphic xmlns:a="http://schemas.openxmlformats.org/drawingml/2006/main">
                        <a:graphicData uri="http://schemas.microsoft.com/office/word/2010/wordprocessingShape">
                          <wps:wsp>
                            <wps:cNvCnPr/>
                            <wps:spPr>
                              <a:xfrm>
                                <a:off x="0" y="0"/>
                                <a:ext cx="1116965" cy="37274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55pt;margin-top:0.75pt;height:29.35pt;width:87.95pt;z-index:251661312;mso-width-relative:page;mso-height-relative:page;" filled="f" stroked="t" coordsize="21600,21600" o:gfxdata="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WsO8fTAAAABwEAAA8AAAAAAAAAAQAgAAAAIgAAAGRycy9kb3ducmV2Lnht&#10;bFBLAQIUABQAAAAIAIdO4kBXW7qB/gEAAPkDAAAOAAAAAAAAAAEAIAAAACIBAABkcnMvZTJvRG9j&#10;LnhtbFBLBQYAAAAABgAGAFkBAACSBQAAAAA=&#10;">
                      <v:fill on="f" focussize="0,0"/>
                      <v:stroke weight="0.5pt" color="#000000" joinstyle="round"/>
                      <v:imagedata o:title=""/>
                      <o:lock v:ext="edit" aspectratio="f"/>
                    </v:line>
                  </w:pict>
                </mc:Fallback>
              </mc:AlternateContent>
            </w:r>
            <w:r>
              <w:rPr>
                <w:rFonts w:hint="default" w:ascii="Times New Roman" w:hAnsi="Times New Roman" w:cs="Times New Roman"/>
                <w:b/>
                <w:bCs/>
                <w:color w:val="auto"/>
                <w:szCs w:val="21"/>
                <w:lang w:val="en-US" w:eastAsia="zh-CN"/>
              </w:rPr>
              <w:t xml:space="preserve">      </w:t>
            </w:r>
            <w:r>
              <w:rPr>
                <w:rFonts w:hint="default" w:ascii="Times New Roman" w:hAnsi="Times New Roman" w:cs="Times New Roman"/>
                <w:b/>
                <w:bCs/>
                <w:color w:val="auto"/>
                <w:szCs w:val="21"/>
              </w:rPr>
              <w:t>线路名称</w:t>
            </w:r>
          </w:p>
          <w:p w14:paraId="276FA5C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项目</w:t>
            </w:r>
          </w:p>
        </w:tc>
        <w:tc>
          <w:tcPr>
            <w:tcW w:w="3913" w:type="pct"/>
            <w:vMerge w:val="restart"/>
            <w:tcBorders>
              <w:tl2br w:val="nil"/>
              <w:tr2bl w:val="nil"/>
            </w:tcBorders>
            <w:noWrap w:val="0"/>
            <w:vAlign w:val="center"/>
          </w:tcPr>
          <w:p w14:paraId="6B0C1A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Cs w:val="21"/>
                <w:lang w:eastAsia="zh-CN"/>
              </w:rPr>
            </w:pPr>
            <w:r>
              <w:rPr>
                <w:rFonts w:hint="eastAsia" w:ascii="Times New Roman" w:hAnsi="Times New Roman" w:cs="Times New Roman"/>
                <w:b/>
                <w:bCs/>
                <w:color w:val="auto"/>
                <w:szCs w:val="21"/>
                <w:lang w:eastAsia="zh-CN"/>
              </w:rPr>
              <w:t>六合一至乐业变220kV送出线路工程</w:t>
            </w:r>
          </w:p>
        </w:tc>
      </w:tr>
      <w:tr w14:paraId="453E0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86" w:type="pct"/>
            <w:vMerge w:val="continue"/>
            <w:tcBorders>
              <w:tl2br w:val="nil"/>
              <w:tr2bl w:val="nil"/>
            </w:tcBorders>
            <w:noWrap w:val="0"/>
            <w:vAlign w:val="center"/>
          </w:tcPr>
          <w:p w14:paraId="42B055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p>
        </w:tc>
        <w:tc>
          <w:tcPr>
            <w:tcW w:w="3913" w:type="pct"/>
            <w:vMerge w:val="continue"/>
            <w:tcBorders>
              <w:tl2br w:val="nil"/>
              <w:tr2bl w:val="nil"/>
            </w:tcBorders>
            <w:noWrap w:val="0"/>
            <w:vAlign w:val="center"/>
          </w:tcPr>
          <w:p w14:paraId="347D89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p>
        </w:tc>
      </w:tr>
      <w:tr w14:paraId="08F493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0A5E01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导线选型</w:t>
            </w:r>
          </w:p>
        </w:tc>
        <w:tc>
          <w:tcPr>
            <w:tcW w:w="3913" w:type="pct"/>
            <w:tcBorders>
              <w:tl2br w:val="nil"/>
              <w:tr2bl w:val="nil"/>
            </w:tcBorders>
            <w:noWrap w:val="0"/>
            <w:vAlign w:val="center"/>
          </w:tcPr>
          <w:p w14:paraId="72BCB6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eastAsia" w:ascii="Times New Roman" w:hAnsi="Times New Roman" w:cs="Times New Roman"/>
                <w:color w:val="auto"/>
                <w:spacing w:val="0"/>
                <w:lang w:val="zh-CN"/>
              </w:rPr>
              <w:t>导线（10mm冰区）采用2×JNRLH1/LB20A-400/50型铝包钢芯耐热铝合金绞线，导线（20mm冰区）采用2×JNRLH1/LB20A-400/65型铝包钢芯耐热铝合金绞线</w:t>
            </w:r>
            <w:r>
              <w:rPr>
                <w:rFonts w:ascii="Times New Roman" w:hAnsi="Times New Roman" w:cs="Times New Roman"/>
                <w:color w:val="auto"/>
                <w:spacing w:val="0"/>
              </w:rPr>
              <w:t>。</w:t>
            </w:r>
          </w:p>
        </w:tc>
      </w:tr>
      <w:tr w14:paraId="614F4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380C56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地线选型</w:t>
            </w:r>
          </w:p>
        </w:tc>
        <w:tc>
          <w:tcPr>
            <w:tcW w:w="3913" w:type="pct"/>
            <w:tcBorders>
              <w:tl2br w:val="nil"/>
              <w:tr2bl w:val="nil"/>
            </w:tcBorders>
            <w:noWrap w:val="0"/>
            <w:vAlign w:val="center"/>
          </w:tcPr>
          <w:p w14:paraId="737979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eastAsia="宋体" w:cs="Times New Roman"/>
                <w:color w:val="auto"/>
                <w:sz w:val="21"/>
                <w:szCs w:val="21"/>
                <w:lang w:val="en-US" w:eastAsia="zh-CN"/>
              </w:rPr>
              <w:t>沿新建线路同步架设单回段架设2根24芯OPGW光缆，新建线路双回段架设2根48芯OPGW光缆（各预留24芯光缆作为备用通信通道），最终形成220kV六合村光伏升压站至500kV乐业变的2根24芯光缆，新建光缆路径长度约为2×22km。</w:t>
            </w:r>
          </w:p>
        </w:tc>
      </w:tr>
      <w:tr w14:paraId="193C2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47F209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导线截面（mm</w:t>
            </w:r>
            <w:r>
              <w:rPr>
                <w:rFonts w:hint="default" w:ascii="Times New Roman" w:hAnsi="Times New Roman" w:cs="Times New Roman"/>
                <w:color w:val="auto"/>
                <w:szCs w:val="21"/>
                <w:vertAlign w:val="superscript"/>
              </w:rPr>
              <w:t>2</w:t>
            </w:r>
            <w:r>
              <w:rPr>
                <w:rFonts w:hint="default" w:ascii="Times New Roman" w:hAnsi="Times New Roman" w:cs="Times New Roman"/>
                <w:color w:val="auto"/>
                <w:szCs w:val="21"/>
              </w:rPr>
              <w:t>）</w:t>
            </w:r>
          </w:p>
        </w:tc>
        <w:tc>
          <w:tcPr>
            <w:tcW w:w="3913" w:type="pct"/>
            <w:tcBorders>
              <w:tl2br w:val="nil"/>
              <w:tr2bl w:val="nil"/>
            </w:tcBorders>
            <w:noWrap w:val="0"/>
            <w:vAlign w:val="center"/>
          </w:tcPr>
          <w:p w14:paraId="3E6ED5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4</w:t>
            </w:r>
            <w:r>
              <w:rPr>
                <w:rFonts w:hint="default" w:ascii="Times New Roman" w:hAnsi="Times New Roman" w:cs="Times New Roman"/>
                <w:color w:val="auto"/>
                <w:szCs w:val="21"/>
                <w:lang w:val="en-US" w:eastAsia="zh-CN"/>
              </w:rPr>
              <w:t>0</w:t>
            </w:r>
            <w:r>
              <w:rPr>
                <w:rFonts w:hint="default" w:ascii="Times New Roman" w:hAnsi="Times New Roman" w:cs="Times New Roman"/>
                <w:color w:val="auto"/>
                <w:szCs w:val="21"/>
              </w:rPr>
              <w:t>0</w:t>
            </w:r>
          </w:p>
        </w:tc>
      </w:tr>
      <w:tr w14:paraId="02B42D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465842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线路长度（km）</w:t>
            </w:r>
          </w:p>
        </w:tc>
        <w:tc>
          <w:tcPr>
            <w:tcW w:w="3913" w:type="pct"/>
            <w:tcBorders>
              <w:tl2br w:val="nil"/>
              <w:tr2bl w:val="nil"/>
            </w:tcBorders>
            <w:noWrap w:val="0"/>
            <w:vAlign w:val="center"/>
          </w:tcPr>
          <w:p w14:paraId="6974B6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0kV架空输电线路，长</w:t>
            </w:r>
            <w:r>
              <w:rPr>
                <w:rFonts w:hint="eastAsia" w:ascii="Times New Roman" w:hAnsi="Times New Roman"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km，采用单回路架设</w:t>
            </w:r>
            <w:r>
              <w:rPr>
                <w:rFonts w:hint="eastAsia" w:ascii="Times New Roman" w:hAnsi="Times New Roman" w:cs="Times New Roman"/>
                <w:color w:val="auto"/>
                <w:sz w:val="21"/>
                <w:szCs w:val="21"/>
                <w:lang w:val="en-US" w:eastAsia="zh-CN"/>
              </w:rPr>
              <w:t>，其中，路径长约2×1.2km（同塔双回单边挂线）+20.8km（单回路架设）</w:t>
            </w:r>
          </w:p>
        </w:tc>
      </w:tr>
      <w:tr w14:paraId="2C8EA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5672D0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共用杆塔（基）</w:t>
            </w:r>
          </w:p>
        </w:tc>
        <w:tc>
          <w:tcPr>
            <w:tcW w:w="3913" w:type="pct"/>
            <w:tcBorders>
              <w:tl2br w:val="nil"/>
              <w:tr2bl w:val="nil"/>
            </w:tcBorders>
            <w:noWrap w:val="0"/>
            <w:vAlign w:val="center"/>
          </w:tcPr>
          <w:p w14:paraId="133353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新建</w:t>
            </w:r>
            <w:r>
              <w:rPr>
                <w:rFonts w:hint="eastAsia" w:ascii="Times New Roman" w:hAnsi="Times New Roman" w:cs="Times New Roman"/>
                <w:color w:val="auto"/>
                <w:szCs w:val="21"/>
                <w:lang w:val="en-US" w:eastAsia="zh-CN"/>
              </w:rPr>
              <w:t>61</w:t>
            </w:r>
            <w:r>
              <w:rPr>
                <w:rFonts w:hint="default" w:ascii="Times New Roman" w:hAnsi="Times New Roman" w:cs="Times New Roman"/>
                <w:color w:val="auto"/>
                <w:szCs w:val="21"/>
                <w:lang w:val="en-US" w:eastAsia="zh-CN"/>
              </w:rPr>
              <w:t>基塔（直线塔</w:t>
            </w:r>
            <w:r>
              <w:rPr>
                <w:rFonts w:hint="eastAsia" w:ascii="Times New Roman" w:hAnsi="Times New Roman" w:cs="Times New Roman"/>
                <w:color w:val="auto"/>
                <w:szCs w:val="21"/>
                <w:lang w:val="en-US" w:eastAsia="zh-CN"/>
              </w:rPr>
              <w:t>38</w:t>
            </w:r>
            <w:r>
              <w:rPr>
                <w:rFonts w:hint="default" w:ascii="Times New Roman" w:hAnsi="Times New Roman" w:cs="Times New Roman"/>
                <w:color w:val="auto"/>
                <w:szCs w:val="21"/>
                <w:lang w:val="en-US" w:eastAsia="zh-CN"/>
              </w:rPr>
              <w:t>基，耐张塔</w:t>
            </w:r>
            <w:r>
              <w:rPr>
                <w:rFonts w:hint="eastAsia" w:ascii="Times New Roman" w:hAnsi="Times New Roman" w:cs="Times New Roman"/>
                <w:color w:val="auto"/>
                <w:szCs w:val="21"/>
                <w:lang w:val="en-US" w:eastAsia="zh-CN"/>
              </w:rPr>
              <w:t>23</w:t>
            </w:r>
            <w:r>
              <w:rPr>
                <w:rFonts w:hint="default" w:ascii="Times New Roman" w:hAnsi="Times New Roman" w:cs="Times New Roman"/>
                <w:color w:val="auto"/>
                <w:szCs w:val="21"/>
                <w:lang w:val="en-US" w:eastAsia="zh-CN"/>
              </w:rPr>
              <w:t>基）</w:t>
            </w:r>
          </w:p>
        </w:tc>
      </w:tr>
      <w:tr w14:paraId="179C8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1E3C24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平均档距（m）</w:t>
            </w:r>
          </w:p>
        </w:tc>
        <w:tc>
          <w:tcPr>
            <w:tcW w:w="3913" w:type="pct"/>
            <w:tcBorders>
              <w:tl2br w:val="nil"/>
              <w:tr2bl w:val="nil"/>
            </w:tcBorders>
            <w:noWrap w:val="0"/>
            <w:vAlign w:val="center"/>
          </w:tcPr>
          <w:p w14:paraId="54A859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300</w:t>
            </w:r>
          </w:p>
        </w:tc>
      </w:tr>
      <w:tr w14:paraId="4ADCB4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1E176A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耐张比例（%）</w:t>
            </w:r>
          </w:p>
        </w:tc>
        <w:tc>
          <w:tcPr>
            <w:tcW w:w="3913" w:type="pct"/>
            <w:tcBorders>
              <w:tl2br w:val="nil"/>
              <w:tr2bl w:val="nil"/>
            </w:tcBorders>
            <w:noWrap w:val="0"/>
            <w:vAlign w:val="center"/>
          </w:tcPr>
          <w:p w14:paraId="21848C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r>
              <w:rPr>
                <w:rFonts w:hint="eastAsia" w:ascii="Times New Roman" w:hAnsi="Times New Roman" w:cs="Times New Roman"/>
                <w:color w:val="auto"/>
                <w:sz w:val="21"/>
                <w:szCs w:val="21"/>
                <w:lang w:val="en-US" w:eastAsia="zh-CN"/>
              </w:rPr>
              <w:t>7.70</w:t>
            </w:r>
            <w:r>
              <w:rPr>
                <w:rFonts w:hint="default" w:ascii="Times New Roman" w:hAnsi="Times New Roman" w:cs="Times New Roman"/>
                <w:color w:val="auto"/>
                <w:sz w:val="21"/>
                <w:szCs w:val="21"/>
                <w:lang w:val="en-US" w:eastAsia="zh-CN"/>
              </w:rPr>
              <w:t>%</w:t>
            </w:r>
          </w:p>
        </w:tc>
      </w:tr>
      <w:tr w14:paraId="6C4FC9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07FB3F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冰区（mm）</w:t>
            </w:r>
          </w:p>
        </w:tc>
        <w:tc>
          <w:tcPr>
            <w:tcW w:w="3913" w:type="pct"/>
            <w:tcBorders>
              <w:tl2br w:val="nil"/>
              <w:tr2bl w:val="nil"/>
            </w:tcBorders>
            <w:noWrap w:val="0"/>
            <w:vAlign w:val="center"/>
          </w:tcPr>
          <w:p w14:paraId="048EA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10mm、20mm</w:t>
            </w:r>
          </w:p>
        </w:tc>
      </w:tr>
      <w:tr w14:paraId="4A068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3A7DE9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曲折系数</w:t>
            </w:r>
          </w:p>
        </w:tc>
        <w:tc>
          <w:tcPr>
            <w:tcW w:w="3913" w:type="pct"/>
            <w:tcBorders>
              <w:tl2br w:val="nil"/>
              <w:tr2bl w:val="nil"/>
            </w:tcBorders>
            <w:noWrap w:val="0"/>
            <w:vAlign w:val="center"/>
          </w:tcPr>
          <w:p w14:paraId="25E27A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cs="Times New Roman"/>
                <w:color w:val="auto"/>
                <w:sz w:val="21"/>
                <w:szCs w:val="21"/>
                <w:lang w:val="en-US" w:eastAsia="zh-CN"/>
              </w:rPr>
              <w:t>14</w:t>
            </w:r>
          </w:p>
        </w:tc>
      </w:tr>
      <w:tr w14:paraId="7815ED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42CBEA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导线排列方式</w:t>
            </w:r>
          </w:p>
        </w:tc>
        <w:tc>
          <w:tcPr>
            <w:tcW w:w="3913" w:type="pct"/>
            <w:tcBorders>
              <w:tl2br w:val="nil"/>
              <w:tr2bl w:val="nil"/>
            </w:tcBorders>
            <w:noWrap w:val="0"/>
            <w:vAlign w:val="center"/>
          </w:tcPr>
          <w:p w14:paraId="71F332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三角</w:t>
            </w:r>
            <w:r>
              <w:rPr>
                <w:rFonts w:hint="eastAsia" w:ascii="Times New Roman" w:hAnsi="Times New Roman" w:cs="Times New Roman"/>
                <w:color w:val="auto"/>
                <w:sz w:val="21"/>
                <w:szCs w:val="21"/>
                <w:lang w:val="en-US" w:eastAsia="zh-CN"/>
              </w:rPr>
              <w:t>、水平、垂直</w:t>
            </w:r>
            <w:r>
              <w:rPr>
                <w:rFonts w:hint="default" w:ascii="Times New Roman" w:hAnsi="Times New Roman" w:cs="Times New Roman"/>
                <w:color w:val="auto"/>
                <w:sz w:val="21"/>
                <w:szCs w:val="21"/>
                <w:lang w:val="en-US" w:eastAsia="zh-CN"/>
              </w:rPr>
              <w:t>排列</w:t>
            </w:r>
            <w:r>
              <w:rPr>
                <w:rFonts w:hint="default" w:ascii="Times New Roman" w:hAnsi="Times New Roman" w:eastAsia="宋体" w:cs="Times New Roman"/>
                <w:color w:val="auto"/>
                <w:sz w:val="21"/>
                <w:szCs w:val="21"/>
                <w:lang w:val="en-US" w:eastAsia="zh-CN"/>
              </w:rPr>
              <w:t>布置</w:t>
            </w:r>
          </w:p>
        </w:tc>
      </w:tr>
      <w:tr w14:paraId="770784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770DDB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铁塔</w:t>
            </w:r>
          </w:p>
        </w:tc>
        <w:tc>
          <w:tcPr>
            <w:tcW w:w="3913" w:type="pct"/>
            <w:tcBorders>
              <w:tl2br w:val="nil"/>
              <w:tr2bl w:val="nil"/>
            </w:tcBorders>
            <w:noWrap w:val="0"/>
            <w:vAlign w:val="center"/>
          </w:tcPr>
          <w:p w14:paraId="2C7B20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铁塔采用2D1Y5模块、2D2Y5模块、2E1X3模块、2E1Y4模块，全部为自立式铁塔，采用全方位长短腿。</w:t>
            </w:r>
          </w:p>
        </w:tc>
      </w:tr>
      <w:tr w14:paraId="5451C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6" w:type="pct"/>
            <w:tcBorders>
              <w:tl2br w:val="nil"/>
              <w:tr2bl w:val="nil"/>
            </w:tcBorders>
            <w:noWrap w:val="0"/>
            <w:vAlign w:val="center"/>
          </w:tcPr>
          <w:p w14:paraId="52A01C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基础</w:t>
            </w:r>
          </w:p>
        </w:tc>
        <w:tc>
          <w:tcPr>
            <w:tcW w:w="3913" w:type="pct"/>
            <w:tcBorders>
              <w:tl2br w:val="nil"/>
              <w:tr2bl w:val="nil"/>
            </w:tcBorders>
            <w:noWrap w:val="0"/>
            <w:vAlign w:val="center"/>
          </w:tcPr>
          <w:p w14:paraId="7AAA78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全线采用掏挖基础及人工挖孔基础，采用地脚螺栓与塔脚板连接</w:t>
            </w:r>
          </w:p>
        </w:tc>
      </w:tr>
    </w:tbl>
    <w:p w14:paraId="58A1426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共用</w:t>
      </w:r>
      <w:r>
        <w:rPr>
          <w:rFonts w:hint="default" w:ascii="Times New Roman" w:hAnsi="Times New Roman" w:cs="Times New Roman"/>
          <w:color w:val="auto"/>
          <w:sz w:val="24"/>
          <w:szCs w:val="24"/>
        </w:rPr>
        <w:t>铁塔</w:t>
      </w:r>
      <w:r>
        <w:rPr>
          <w:rFonts w:hint="eastAsia" w:ascii="Times New Roman" w:hAnsi="Times New Roman" w:cs="Times New Roman"/>
          <w:color w:val="auto"/>
          <w:sz w:val="24"/>
          <w:szCs w:val="24"/>
          <w:lang w:val="en-US" w:eastAsia="zh-CN"/>
        </w:rPr>
        <w:t>61</w:t>
      </w:r>
      <w:r>
        <w:rPr>
          <w:rFonts w:hint="default" w:ascii="Times New Roman" w:hAnsi="Times New Roman" w:cs="Times New Roman"/>
          <w:color w:val="auto"/>
          <w:sz w:val="24"/>
          <w:szCs w:val="24"/>
        </w:rPr>
        <w:t>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根据主体设计的塔杆基础面积，塔基占地面积为</w:t>
      </w:r>
      <w:r>
        <w:rPr>
          <w:rFonts w:hint="default" w:ascii="Times New Roman" w:hAnsi="Times New Roman" w:cs="Times New Roman"/>
          <w:color w:val="auto"/>
          <w:sz w:val="24"/>
          <w:szCs w:val="24"/>
          <w:lang w:val="en-US" w:eastAsia="zh-CN"/>
        </w:rPr>
        <w:t>0.</w:t>
      </w:r>
      <w:r>
        <w:rPr>
          <w:rFonts w:hint="eastAsia" w:ascii="Times New Roman" w:hAnsi="Times New Roman" w:cs="Times New Roman"/>
          <w:color w:val="auto"/>
          <w:sz w:val="24"/>
          <w:szCs w:val="24"/>
          <w:lang w:val="en-US" w:eastAsia="zh-CN"/>
        </w:rPr>
        <w:t>38</w:t>
      </w:r>
      <w:r>
        <w:rPr>
          <w:rFonts w:hint="default" w:ascii="Times New Roman" w:hAnsi="Times New Roman" w:cs="Times New Roman"/>
          <w:color w:val="auto"/>
          <w:sz w:val="24"/>
          <w:szCs w:val="24"/>
        </w:rPr>
        <w:t>hm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。其中单回塔基直线</w:t>
      </w:r>
      <w:r>
        <w:rPr>
          <w:rFonts w:hint="eastAsia" w:ascii="Times New Roman" w:hAnsi="Times New Roman" w:cs="Times New Roman"/>
          <w:color w:val="auto"/>
          <w:sz w:val="24"/>
          <w:szCs w:val="24"/>
          <w:lang w:val="en-US" w:eastAsia="zh-CN"/>
        </w:rPr>
        <w:t>38</w:t>
      </w:r>
      <w:r>
        <w:rPr>
          <w:rFonts w:hint="default" w:ascii="Times New Roman" w:hAnsi="Times New Roman" w:cs="Times New Roman"/>
          <w:color w:val="auto"/>
          <w:sz w:val="24"/>
          <w:szCs w:val="24"/>
        </w:rPr>
        <w:t>基、单回耐张</w:t>
      </w:r>
      <w:r>
        <w:rPr>
          <w:rFonts w:hint="eastAsia" w:ascii="Times New Roman" w:hAnsi="Times New Roman" w:cs="Times New Roman"/>
          <w:color w:val="auto"/>
          <w:sz w:val="24"/>
          <w:szCs w:val="24"/>
          <w:lang w:val="en-US" w:eastAsia="zh-CN"/>
        </w:rPr>
        <w:t>23</w:t>
      </w:r>
      <w:r>
        <w:rPr>
          <w:rFonts w:hint="default" w:ascii="Times New Roman" w:hAnsi="Times New Roman" w:cs="Times New Roman"/>
          <w:color w:val="auto"/>
          <w:sz w:val="24"/>
          <w:szCs w:val="24"/>
        </w:rPr>
        <w:t>基，比例为直线</w:t>
      </w:r>
      <w:r>
        <w:rPr>
          <w:rFonts w:hint="eastAsia" w:ascii="Times New Roman" w:hAnsi="Times New Roman" w:cs="Times New Roman"/>
          <w:color w:val="auto"/>
          <w:sz w:val="24"/>
          <w:szCs w:val="24"/>
          <w:lang w:val="en-US" w:eastAsia="zh-CN"/>
        </w:rPr>
        <w:t>62.30</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单回耐张</w:t>
      </w:r>
      <w:r>
        <w:rPr>
          <w:rFonts w:hint="default"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val="en-US" w:eastAsia="zh-CN"/>
        </w:rPr>
        <w:t>7.70</w:t>
      </w:r>
      <w:r>
        <w:rPr>
          <w:rFonts w:hint="default" w:ascii="Times New Roman" w:hAnsi="Times New Roman" w:cs="Times New Roman"/>
          <w:color w:val="auto"/>
          <w:sz w:val="24"/>
          <w:szCs w:val="24"/>
        </w:rPr>
        <w:t>%。</w:t>
      </w:r>
    </w:p>
    <w:p w14:paraId="77698F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表</w:t>
      </w:r>
      <w:r>
        <w:rPr>
          <w:rFonts w:hint="eastAsia" w:ascii="Times New Roman" w:hAnsi="Times New Roman" w:cs="Times New Roman"/>
          <w:b/>
          <w:color w:val="auto"/>
          <w:sz w:val="24"/>
          <w:szCs w:val="24"/>
          <w:lang w:val="en-US" w:eastAsia="zh-CN"/>
        </w:rPr>
        <w:t>3</w:t>
      </w:r>
      <w:r>
        <w:rPr>
          <w:rFonts w:hint="default" w:ascii="Times New Roman" w:hAnsi="Times New Roman" w:cs="Times New Roman"/>
          <w:b/>
          <w:color w:val="auto"/>
          <w:sz w:val="24"/>
          <w:szCs w:val="24"/>
          <w:lang w:val="en-US" w:eastAsia="zh-CN"/>
        </w:rPr>
        <w:t>-3</w:t>
      </w:r>
      <w:r>
        <w:rPr>
          <w:rFonts w:hint="default"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color w:val="auto"/>
          <w:sz w:val="24"/>
          <w:szCs w:val="24"/>
        </w:rPr>
        <w:t>线路工程杆塔使用情况</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038"/>
        <w:gridCol w:w="719"/>
        <w:gridCol w:w="1067"/>
        <w:gridCol w:w="1261"/>
        <w:gridCol w:w="1049"/>
        <w:gridCol w:w="1034"/>
        <w:gridCol w:w="1064"/>
      </w:tblGrid>
      <w:tr w14:paraId="3F8CB4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noWrap w:val="0"/>
            <w:vAlign w:val="center"/>
          </w:tcPr>
          <w:p w14:paraId="36DDE939">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杆塔编号</w:t>
            </w:r>
          </w:p>
        </w:tc>
        <w:tc>
          <w:tcPr>
            <w:tcW w:w="1139" w:type="pct"/>
            <w:tcBorders>
              <w:tl2br w:val="nil"/>
              <w:tr2bl w:val="nil"/>
            </w:tcBorders>
            <w:noWrap w:val="0"/>
            <w:vAlign w:val="center"/>
          </w:tcPr>
          <w:p w14:paraId="57069C93">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杆塔型号</w:t>
            </w:r>
          </w:p>
        </w:tc>
        <w:tc>
          <w:tcPr>
            <w:tcW w:w="402" w:type="pct"/>
            <w:tcBorders>
              <w:tl2br w:val="nil"/>
              <w:tr2bl w:val="nil"/>
            </w:tcBorders>
            <w:noWrap w:val="0"/>
            <w:vAlign w:val="center"/>
          </w:tcPr>
          <w:p w14:paraId="66B1699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呼称高</w:t>
            </w:r>
          </w:p>
        </w:tc>
        <w:tc>
          <w:tcPr>
            <w:tcW w:w="595" w:type="pct"/>
            <w:tcBorders>
              <w:tl2br w:val="nil"/>
              <w:tr2bl w:val="nil"/>
            </w:tcBorders>
            <w:noWrap w:val="0"/>
            <w:vAlign w:val="center"/>
          </w:tcPr>
          <w:p w14:paraId="275FF39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导线最大间距</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lang w:eastAsia="zh-CN"/>
              </w:rPr>
              <w:t>）</w:t>
            </w:r>
          </w:p>
        </w:tc>
        <w:tc>
          <w:tcPr>
            <w:tcW w:w="705" w:type="pct"/>
            <w:tcBorders>
              <w:tl2br w:val="nil"/>
              <w:tr2bl w:val="nil"/>
            </w:tcBorders>
            <w:noWrap w:val="0"/>
            <w:vAlign w:val="center"/>
          </w:tcPr>
          <w:p w14:paraId="7424594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塔形</w:t>
            </w:r>
          </w:p>
        </w:tc>
        <w:tc>
          <w:tcPr>
            <w:tcW w:w="586" w:type="pct"/>
            <w:tcBorders>
              <w:tl2br w:val="nil"/>
              <w:tr2bl w:val="nil"/>
            </w:tcBorders>
            <w:noWrap w:val="0"/>
            <w:vAlign w:val="center"/>
          </w:tcPr>
          <w:p w14:paraId="47339994">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铁塔基础</w:t>
            </w:r>
          </w:p>
        </w:tc>
        <w:tc>
          <w:tcPr>
            <w:tcW w:w="578" w:type="pct"/>
            <w:tcBorders>
              <w:tl2br w:val="nil"/>
              <w:tr2bl w:val="nil"/>
            </w:tcBorders>
            <w:noWrap w:val="0"/>
            <w:vAlign w:val="center"/>
          </w:tcPr>
          <w:p w14:paraId="1CA64D3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占地</w:t>
            </w:r>
            <w:r>
              <w:rPr>
                <w:rFonts w:hint="default" w:ascii="Times New Roman" w:hAnsi="Times New Roman" w:eastAsia="宋体" w:cs="Times New Roman"/>
                <w:b/>
                <w:bCs/>
                <w:color w:val="auto"/>
                <w:sz w:val="21"/>
                <w:szCs w:val="21"/>
                <w:lang w:val="en-US" w:eastAsia="zh-CN"/>
              </w:rPr>
              <w:t>类型</w:t>
            </w:r>
          </w:p>
        </w:tc>
        <w:tc>
          <w:tcPr>
            <w:tcW w:w="594" w:type="pct"/>
            <w:tcBorders>
              <w:tl2br w:val="nil"/>
              <w:tr2bl w:val="nil"/>
            </w:tcBorders>
            <w:noWrap w:val="0"/>
            <w:vAlign w:val="center"/>
          </w:tcPr>
          <w:p w14:paraId="03AC7EF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占地面积（hm</w:t>
            </w:r>
            <w:r>
              <w:rPr>
                <w:rFonts w:hint="default" w:ascii="Times New Roman" w:hAnsi="Times New Roman" w:eastAsia="宋体" w:cs="Times New Roman"/>
                <w:b/>
                <w:bCs/>
                <w:color w:val="auto"/>
                <w:sz w:val="21"/>
                <w:szCs w:val="21"/>
                <w:vertAlign w:val="superscript"/>
                <w:lang w:val="en-US" w:eastAsia="zh-CN"/>
              </w:rPr>
              <w:t>2</w:t>
            </w:r>
            <w:r>
              <w:rPr>
                <w:rFonts w:hint="default" w:ascii="Times New Roman" w:hAnsi="Times New Roman" w:eastAsia="宋体" w:cs="Times New Roman"/>
                <w:b/>
                <w:bCs/>
                <w:color w:val="auto"/>
                <w:sz w:val="21"/>
                <w:szCs w:val="21"/>
                <w:lang w:val="en-US" w:eastAsia="zh-CN"/>
              </w:rPr>
              <w:t>）</w:t>
            </w:r>
          </w:p>
        </w:tc>
      </w:tr>
      <w:tr w14:paraId="3F0DB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682A958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1</w:t>
            </w:r>
          </w:p>
        </w:tc>
        <w:tc>
          <w:tcPr>
            <w:tcW w:w="1139" w:type="pct"/>
            <w:tcBorders>
              <w:tl2br w:val="nil"/>
              <w:tr2bl w:val="nil"/>
            </w:tcBorders>
            <w:shd w:val="clear" w:color="auto" w:fill="auto"/>
            <w:noWrap w:val="0"/>
            <w:vAlign w:val="center"/>
          </w:tcPr>
          <w:p w14:paraId="7F4E247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tcBorders>
              <w:tl2br w:val="nil"/>
              <w:tr2bl w:val="nil"/>
            </w:tcBorders>
            <w:shd w:val="clear" w:color="auto" w:fill="auto"/>
            <w:noWrap w:val="0"/>
            <w:vAlign w:val="center"/>
          </w:tcPr>
          <w:p w14:paraId="0EB5B37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tcBorders>
              <w:tl2br w:val="nil"/>
              <w:tr2bl w:val="nil"/>
            </w:tcBorders>
            <w:noWrap w:val="0"/>
            <w:vAlign w:val="center"/>
          </w:tcPr>
          <w:p w14:paraId="6FE7585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11.7</w:t>
            </w:r>
          </w:p>
        </w:tc>
        <w:tc>
          <w:tcPr>
            <w:tcW w:w="705" w:type="pct"/>
            <w:tcBorders>
              <w:tl2br w:val="nil"/>
              <w:tr2bl w:val="nil"/>
            </w:tcBorders>
            <w:noWrap w:val="0"/>
            <w:vAlign w:val="center"/>
          </w:tcPr>
          <w:p w14:paraId="741ED80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shd w:val="clear" w:color="auto" w:fill="auto"/>
            <w:noWrap w:val="0"/>
            <w:vAlign w:val="center"/>
          </w:tcPr>
          <w:p w14:paraId="29B38EF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tcBorders>
              <w:tl2br w:val="nil"/>
              <w:tr2bl w:val="nil"/>
            </w:tcBorders>
            <w:shd w:val="clear" w:color="auto" w:fill="auto"/>
            <w:noWrap w:val="0"/>
            <w:vAlign w:val="center"/>
          </w:tcPr>
          <w:p w14:paraId="1FE78AA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tcBorders>
              <w:tl2br w:val="nil"/>
              <w:tr2bl w:val="nil"/>
            </w:tcBorders>
            <w:shd w:val="clear" w:color="auto" w:fill="auto"/>
            <w:noWrap w:val="0"/>
            <w:vAlign w:val="center"/>
          </w:tcPr>
          <w:p w14:paraId="19BFE84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0.00713</w:t>
            </w:r>
          </w:p>
        </w:tc>
      </w:tr>
      <w:tr w14:paraId="1CAA1B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1B4D306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2</w:t>
            </w:r>
          </w:p>
        </w:tc>
        <w:tc>
          <w:tcPr>
            <w:tcW w:w="1139" w:type="pct"/>
            <w:tcBorders>
              <w:tl2br w:val="nil"/>
              <w:tr2bl w:val="nil"/>
            </w:tcBorders>
            <w:shd w:val="clear" w:color="auto" w:fill="auto"/>
            <w:noWrap w:val="0"/>
            <w:vAlign w:val="center"/>
          </w:tcPr>
          <w:p w14:paraId="2AF3B4A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tcBorders>
              <w:tl2br w:val="nil"/>
              <w:tr2bl w:val="nil"/>
            </w:tcBorders>
            <w:shd w:val="clear" w:color="auto" w:fill="auto"/>
            <w:noWrap w:val="0"/>
            <w:vAlign w:val="center"/>
          </w:tcPr>
          <w:p w14:paraId="4E49A0D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tcBorders>
              <w:tl2br w:val="nil"/>
              <w:tr2bl w:val="nil"/>
            </w:tcBorders>
            <w:noWrap w:val="0"/>
            <w:vAlign w:val="center"/>
          </w:tcPr>
          <w:p w14:paraId="3D0F3E6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tcBorders>
              <w:tl2br w:val="nil"/>
              <w:tr2bl w:val="nil"/>
            </w:tcBorders>
            <w:noWrap w:val="0"/>
            <w:vAlign w:val="center"/>
          </w:tcPr>
          <w:p w14:paraId="45F627A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shd w:val="clear" w:color="auto" w:fill="auto"/>
            <w:noWrap w:val="0"/>
            <w:vAlign w:val="center"/>
          </w:tcPr>
          <w:p w14:paraId="0B56DEF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tcBorders>
              <w:tl2br w:val="nil"/>
              <w:tr2bl w:val="nil"/>
            </w:tcBorders>
            <w:shd w:val="clear" w:color="auto" w:fill="auto"/>
            <w:noWrap w:val="0"/>
            <w:vAlign w:val="center"/>
          </w:tcPr>
          <w:p w14:paraId="2FC3182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tcBorders>
              <w:tl2br w:val="nil"/>
              <w:tr2bl w:val="nil"/>
            </w:tcBorders>
            <w:shd w:val="clear" w:color="auto" w:fill="auto"/>
            <w:noWrap w:val="0"/>
            <w:vAlign w:val="center"/>
          </w:tcPr>
          <w:p w14:paraId="494D914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0.0048</w:t>
            </w:r>
          </w:p>
        </w:tc>
      </w:tr>
      <w:tr w14:paraId="671FD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284C024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3</w:t>
            </w:r>
          </w:p>
        </w:tc>
        <w:tc>
          <w:tcPr>
            <w:tcW w:w="1139" w:type="pct"/>
            <w:tcBorders>
              <w:tl2br w:val="nil"/>
              <w:tr2bl w:val="nil"/>
            </w:tcBorders>
            <w:shd w:val="clear" w:color="auto" w:fill="auto"/>
            <w:noWrap w:val="0"/>
            <w:vAlign w:val="center"/>
          </w:tcPr>
          <w:p w14:paraId="79B09FC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tcBorders>
              <w:tl2br w:val="nil"/>
              <w:tr2bl w:val="nil"/>
            </w:tcBorders>
            <w:shd w:val="clear" w:color="auto" w:fill="auto"/>
            <w:noWrap w:val="0"/>
            <w:vAlign w:val="center"/>
          </w:tcPr>
          <w:p w14:paraId="1B1951A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tcBorders>
              <w:tl2br w:val="nil"/>
              <w:tr2bl w:val="nil"/>
            </w:tcBorders>
            <w:noWrap w:val="0"/>
            <w:vAlign w:val="center"/>
          </w:tcPr>
          <w:p w14:paraId="12DB255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tcBorders>
              <w:tl2br w:val="nil"/>
              <w:tr2bl w:val="nil"/>
            </w:tcBorders>
            <w:noWrap w:val="0"/>
            <w:vAlign w:val="center"/>
          </w:tcPr>
          <w:p w14:paraId="0209B61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shd w:val="clear" w:color="auto" w:fill="auto"/>
            <w:noWrap w:val="0"/>
            <w:vAlign w:val="center"/>
          </w:tcPr>
          <w:p w14:paraId="394634F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tcBorders>
              <w:tl2br w:val="nil"/>
              <w:tr2bl w:val="nil"/>
            </w:tcBorders>
            <w:shd w:val="clear" w:color="auto" w:fill="auto"/>
            <w:noWrap w:val="0"/>
            <w:vAlign w:val="center"/>
          </w:tcPr>
          <w:p w14:paraId="0704BE9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6C5BB51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0.00236</w:t>
            </w:r>
          </w:p>
        </w:tc>
      </w:tr>
      <w:tr w14:paraId="0FC8A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3D0E00E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4</w:t>
            </w:r>
          </w:p>
        </w:tc>
        <w:tc>
          <w:tcPr>
            <w:tcW w:w="1139" w:type="pct"/>
            <w:tcBorders>
              <w:tl2br w:val="nil"/>
              <w:tr2bl w:val="nil"/>
            </w:tcBorders>
            <w:shd w:val="clear" w:color="auto" w:fill="auto"/>
            <w:noWrap w:val="0"/>
            <w:vAlign w:val="center"/>
          </w:tcPr>
          <w:p w14:paraId="638432C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w:t>
            </w:r>
            <w:r>
              <w:rPr>
                <w:rFonts w:hint="eastAsia" w:ascii="Times New Roman" w:hAnsi="Times New Roman" w:eastAsia="宋体" w:cs="Times New Roman"/>
                <w:color w:val="auto"/>
                <w:spacing w:val="14"/>
                <w:sz w:val="21"/>
                <w:szCs w:val="21"/>
                <w:lang w:val="en-US" w:eastAsia="zh-CN"/>
              </w:rPr>
              <w:t>33</w:t>
            </w:r>
          </w:p>
        </w:tc>
        <w:tc>
          <w:tcPr>
            <w:tcW w:w="402" w:type="pct"/>
            <w:tcBorders>
              <w:tl2br w:val="nil"/>
              <w:tr2bl w:val="nil"/>
            </w:tcBorders>
            <w:shd w:val="clear" w:color="auto" w:fill="auto"/>
            <w:noWrap w:val="0"/>
            <w:vAlign w:val="center"/>
          </w:tcPr>
          <w:p w14:paraId="1C261BE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tcBorders>
              <w:tl2br w:val="nil"/>
              <w:tr2bl w:val="nil"/>
            </w:tcBorders>
            <w:noWrap w:val="0"/>
            <w:vAlign w:val="center"/>
          </w:tcPr>
          <w:p w14:paraId="14B9D1D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tcBorders>
              <w:tl2br w:val="nil"/>
              <w:tr2bl w:val="nil"/>
            </w:tcBorders>
            <w:noWrap w:val="0"/>
            <w:vAlign w:val="center"/>
          </w:tcPr>
          <w:p w14:paraId="6C4941A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shd w:val="clear" w:color="auto" w:fill="auto"/>
            <w:noWrap w:val="0"/>
            <w:vAlign w:val="center"/>
          </w:tcPr>
          <w:p w14:paraId="1222040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tcBorders>
              <w:tl2br w:val="nil"/>
              <w:tr2bl w:val="nil"/>
            </w:tcBorders>
            <w:shd w:val="clear" w:color="auto" w:fill="auto"/>
            <w:noWrap w:val="0"/>
            <w:vAlign w:val="center"/>
          </w:tcPr>
          <w:p w14:paraId="2D30477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275B30D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0.00684</w:t>
            </w:r>
          </w:p>
        </w:tc>
      </w:tr>
      <w:tr w14:paraId="1469C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77206C6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5</w:t>
            </w:r>
          </w:p>
        </w:tc>
        <w:tc>
          <w:tcPr>
            <w:tcW w:w="1139" w:type="pct"/>
            <w:tcBorders>
              <w:tl2br w:val="nil"/>
              <w:tr2bl w:val="nil"/>
            </w:tcBorders>
            <w:shd w:val="clear" w:color="auto" w:fill="auto"/>
            <w:noWrap w:val="0"/>
            <w:vAlign w:val="center"/>
          </w:tcPr>
          <w:p w14:paraId="03C9E88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391B44C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noWrap w:val="0"/>
            <w:vAlign w:val="center"/>
          </w:tcPr>
          <w:p w14:paraId="43A4A31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tcBorders>
              <w:tl2br w:val="nil"/>
              <w:tr2bl w:val="nil"/>
            </w:tcBorders>
            <w:noWrap w:val="0"/>
            <w:vAlign w:val="center"/>
          </w:tcPr>
          <w:p w14:paraId="5F46E34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shd w:val="clear" w:color="auto" w:fill="auto"/>
            <w:noWrap w:val="0"/>
            <w:vAlign w:val="center"/>
          </w:tcPr>
          <w:p w14:paraId="49FBF23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tcBorders>
              <w:tl2br w:val="nil"/>
              <w:tr2bl w:val="nil"/>
            </w:tcBorders>
            <w:shd w:val="clear" w:color="auto" w:fill="auto"/>
            <w:noWrap w:val="0"/>
            <w:vAlign w:val="center"/>
          </w:tcPr>
          <w:p w14:paraId="7BD0896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3893F29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0.00875</w:t>
            </w:r>
          </w:p>
        </w:tc>
      </w:tr>
      <w:tr w14:paraId="303513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398" w:type="pct"/>
            <w:tcBorders>
              <w:tl2br w:val="nil"/>
              <w:tr2bl w:val="nil"/>
            </w:tcBorders>
            <w:shd w:val="clear" w:color="auto" w:fill="auto"/>
            <w:noWrap w:val="0"/>
            <w:vAlign w:val="center"/>
          </w:tcPr>
          <w:p w14:paraId="1602BB7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6</w:t>
            </w:r>
          </w:p>
        </w:tc>
        <w:tc>
          <w:tcPr>
            <w:tcW w:w="1139" w:type="pct"/>
            <w:tcBorders>
              <w:tl2br w:val="nil"/>
              <w:tr2bl w:val="nil"/>
            </w:tcBorders>
            <w:shd w:val="clear" w:color="auto" w:fill="auto"/>
            <w:noWrap w:val="0"/>
            <w:vAlign w:val="center"/>
          </w:tcPr>
          <w:p w14:paraId="3E5BAE3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5AFBE92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noWrap w:val="0"/>
            <w:vAlign w:val="center"/>
          </w:tcPr>
          <w:p w14:paraId="1880E74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17</w:t>
            </w:r>
          </w:p>
        </w:tc>
        <w:tc>
          <w:tcPr>
            <w:tcW w:w="705" w:type="pct"/>
            <w:tcBorders>
              <w:tl2br w:val="nil"/>
              <w:tr2bl w:val="nil"/>
            </w:tcBorders>
            <w:noWrap w:val="0"/>
            <w:vAlign w:val="center"/>
          </w:tcPr>
          <w:p w14:paraId="30E644D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shd w:val="clear" w:color="auto" w:fill="auto"/>
            <w:noWrap w:val="0"/>
            <w:vAlign w:val="center"/>
          </w:tcPr>
          <w:p w14:paraId="11C0978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tcBorders>
              <w:tl2br w:val="nil"/>
              <w:tr2bl w:val="nil"/>
            </w:tcBorders>
            <w:shd w:val="clear" w:color="auto" w:fill="auto"/>
            <w:noWrap w:val="0"/>
            <w:vAlign w:val="center"/>
          </w:tcPr>
          <w:p w14:paraId="50F2C87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3282B8E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0.00968</w:t>
            </w:r>
          </w:p>
        </w:tc>
      </w:tr>
      <w:tr w14:paraId="511B3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3AB82C2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7</w:t>
            </w:r>
          </w:p>
        </w:tc>
        <w:tc>
          <w:tcPr>
            <w:tcW w:w="1139" w:type="pct"/>
            <w:tcBorders>
              <w:tl2br w:val="nil"/>
              <w:tr2bl w:val="nil"/>
            </w:tcBorders>
            <w:shd w:val="clear" w:color="auto" w:fill="auto"/>
            <w:noWrap w:val="0"/>
            <w:vAlign w:val="center"/>
          </w:tcPr>
          <w:p w14:paraId="125EAF9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tcBorders>
              <w:tl2br w:val="nil"/>
              <w:tr2bl w:val="nil"/>
            </w:tcBorders>
            <w:shd w:val="clear" w:color="auto" w:fill="auto"/>
            <w:noWrap w:val="0"/>
            <w:vAlign w:val="center"/>
          </w:tcPr>
          <w:p w14:paraId="2BAEA45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tcBorders>
              <w:tl2br w:val="nil"/>
              <w:tr2bl w:val="nil"/>
            </w:tcBorders>
            <w:noWrap w:val="0"/>
            <w:vAlign w:val="center"/>
          </w:tcPr>
          <w:p w14:paraId="563CAA3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tcBorders>
              <w:tl2br w:val="nil"/>
              <w:tr2bl w:val="nil"/>
            </w:tcBorders>
            <w:noWrap w:val="0"/>
            <w:vAlign w:val="center"/>
          </w:tcPr>
          <w:p w14:paraId="0F3CAEB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shd w:val="clear" w:color="auto" w:fill="auto"/>
            <w:noWrap w:val="0"/>
            <w:vAlign w:val="center"/>
          </w:tcPr>
          <w:p w14:paraId="5A45B68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tcBorders>
              <w:tl2br w:val="nil"/>
              <w:tr2bl w:val="nil"/>
            </w:tcBorders>
            <w:shd w:val="clear" w:color="auto" w:fill="auto"/>
            <w:noWrap w:val="0"/>
            <w:vAlign w:val="center"/>
          </w:tcPr>
          <w:p w14:paraId="5F847B4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482DED6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0.01334</w:t>
            </w:r>
          </w:p>
        </w:tc>
      </w:tr>
      <w:tr w14:paraId="14D07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2F3E3B6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8</w:t>
            </w:r>
          </w:p>
        </w:tc>
        <w:tc>
          <w:tcPr>
            <w:tcW w:w="1139" w:type="pct"/>
            <w:tcBorders>
              <w:tl2br w:val="nil"/>
              <w:tr2bl w:val="nil"/>
            </w:tcBorders>
            <w:shd w:val="clear" w:color="auto" w:fill="auto"/>
            <w:noWrap w:val="0"/>
            <w:vAlign w:val="center"/>
          </w:tcPr>
          <w:p w14:paraId="10A3CB7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7AD8ECE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shd w:val="clear" w:color="auto" w:fill="auto"/>
            <w:noWrap w:val="0"/>
            <w:vAlign w:val="center"/>
          </w:tcPr>
          <w:p w14:paraId="1BE7DF7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18.4</w:t>
            </w:r>
          </w:p>
        </w:tc>
        <w:tc>
          <w:tcPr>
            <w:tcW w:w="705" w:type="pct"/>
            <w:tcBorders>
              <w:tl2br w:val="nil"/>
              <w:tr2bl w:val="nil"/>
            </w:tcBorders>
            <w:shd w:val="clear" w:color="auto" w:fill="auto"/>
            <w:noWrap w:val="0"/>
            <w:vAlign w:val="center"/>
          </w:tcPr>
          <w:p w14:paraId="4773FE6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shd w:val="clear" w:color="auto" w:fill="auto"/>
            <w:noWrap w:val="0"/>
            <w:vAlign w:val="center"/>
          </w:tcPr>
          <w:p w14:paraId="4E98389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tcBorders>
              <w:tl2br w:val="nil"/>
              <w:tr2bl w:val="nil"/>
            </w:tcBorders>
            <w:shd w:val="clear" w:color="auto" w:fill="auto"/>
            <w:noWrap w:val="0"/>
            <w:vAlign w:val="center"/>
          </w:tcPr>
          <w:p w14:paraId="377022B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2AE7477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0.00968</w:t>
            </w:r>
          </w:p>
        </w:tc>
      </w:tr>
      <w:tr w14:paraId="448D47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29CF825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z w:val="21"/>
                <w:szCs w:val="21"/>
              </w:rPr>
              <w:t>9</w:t>
            </w:r>
          </w:p>
        </w:tc>
        <w:tc>
          <w:tcPr>
            <w:tcW w:w="1139" w:type="pct"/>
            <w:tcBorders>
              <w:tl2br w:val="nil"/>
              <w:tr2bl w:val="nil"/>
            </w:tcBorders>
            <w:shd w:val="clear" w:color="auto" w:fill="auto"/>
            <w:noWrap w:val="0"/>
            <w:vAlign w:val="center"/>
          </w:tcPr>
          <w:p w14:paraId="2FBAF84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tcBorders>
              <w:tl2br w:val="nil"/>
              <w:tr2bl w:val="nil"/>
            </w:tcBorders>
            <w:shd w:val="clear" w:color="auto" w:fill="auto"/>
            <w:noWrap w:val="0"/>
            <w:vAlign w:val="center"/>
          </w:tcPr>
          <w:p w14:paraId="4C10EB9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tcBorders>
              <w:tl2br w:val="nil"/>
              <w:tr2bl w:val="nil"/>
            </w:tcBorders>
            <w:shd w:val="clear" w:color="auto" w:fill="auto"/>
            <w:noWrap w:val="0"/>
            <w:vAlign w:val="center"/>
          </w:tcPr>
          <w:p w14:paraId="1F1D0F6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16</w:t>
            </w:r>
          </w:p>
        </w:tc>
        <w:tc>
          <w:tcPr>
            <w:tcW w:w="705" w:type="pct"/>
            <w:tcBorders>
              <w:tl2br w:val="nil"/>
              <w:tr2bl w:val="nil"/>
            </w:tcBorders>
            <w:shd w:val="clear" w:color="auto" w:fill="auto"/>
            <w:noWrap w:val="0"/>
            <w:vAlign w:val="center"/>
          </w:tcPr>
          <w:p w14:paraId="78E39C8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233D702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tcBorders>
              <w:tl2br w:val="nil"/>
              <w:tr2bl w:val="nil"/>
            </w:tcBorders>
            <w:shd w:val="clear" w:color="auto" w:fill="auto"/>
            <w:noWrap w:val="0"/>
            <w:vAlign w:val="center"/>
          </w:tcPr>
          <w:p w14:paraId="04BBC3C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1B92774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0.00538</w:t>
            </w:r>
          </w:p>
        </w:tc>
      </w:tr>
      <w:tr w14:paraId="4632E7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300DDBA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0</w:t>
            </w:r>
          </w:p>
        </w:tc>
        <w:tc>
          <w:tcPr>
            <w:tcW w:w="1139" w:type="pct"/>
            <w:tcBorders>
              <w:tl2br w:val="nil"/>
              <w:tr2bl w:val="nil"/>
            </w:tcBorders>
            <w:shd w:val="clear" w:color="auto" w:fill="auto"/>
            <w:noWrap w:val="0"/>
            <w:vAlign w:val="center"/>
          </w:tcPr>
          <w:p w14:paraId="4F3DF16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tcBorders>
              <w:tl2br w:val="nil"/>
              <w:tr2bl w:val="nil"/>
            </w:tcBorders>
            <w:shd w:val="clear" w:color="auto" w:fill="auto"/>
            <w:noWrap w:val="0"/>
            <w:vAlign w:val="center"/>
          </w:tcPr>
          <w:p w14:paraId="4C246EB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tcBorders>
              <w:tl2br w:val="nil"/>
              <w:tr2bl w:val="nil"/>
            </w:tcBorders>
            <w:shd w:val="clear" w:color="auto" w:fill="auto"/>
            <w:noWrap w:val="0"/>
            <w:vAlign w:val="center"/>
          </w:tcPr>
          <w:p w14:paraId="2BE69A2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17</w:t>
            </w:r>
          </w:p>
        </w:tc>
        <w:tc>
          <w:tcPr>
            <w:tcW w:w="705" w:type="pct"/>
            <w:tcBorders>
              <w:tl2br w:val="nil"/>
              <w:tr2bl w:val="nil"/>
            </w:tcBorders>
            <w:shd w:val="clear" w:color="auto" w:fill="auto"/>
            <w:noWrap w:val="0"/>
            <w:vAlign w:val="center"/>
          </w:tcPr>
          <w:p w14:paraId="3E1953B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7E5D63D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tcBorders>
              <w:tl2br w:val="nil"/>
              <w:tr2bl w:val="nil"/>
            </w:tcBorders>
            <w:shd w:val="clear" w:color="auto" w:fill="auto"/>
            <w:noWrap w:val="0"/>
            <w:vAlign w:val="center"/>
          </w:tcPr>
          <w:p w14:paraId="362E826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0FCE281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0.00767</w:t>
            </w:r>
          </w:p>
        </w:tc>
      </w:tr>
      <w:tr w14:paraId="1E1BF5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39DC445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1</w:t>
            </w:r>
          </w:p>
        </w:tc>
        <w:tc>
          <w:tcPr>
            <w:tcW w:w="1139" w:type="pct"/>
            <w:tcBorders>
              <w:tl2br w:val="nil"/>
              <w:tr2bl w:val="nil"/>
            </w:tcBorders>
            <w:shd w:val="clear" w:color="auto" w:fill="auto"/>
            <w:noWrap w:val="0"/>
            <w:vAlign w:val="center"/>
          </w:tcPr>
          <w:p w14:paraId="316C320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tcBorders>
              <w:tl2br w:val="nil"/>
              <w:tr2bl w:val="nil"/>
            </w:tcBorders>
            <w:shd w:val="clear" w:color="auto" w:fill="auto"/>
            <w:noWrap w:val="0"/>
            <w:vAlign w:val="center"/>
          </w:tcPr>
          <w:p w14:paraId="1238870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tcBorders>
              <w:tl2br w:val="nil"/>
              <w:tr2bl w:val="nil"/>
            </w:tcBorders>
            <w:shd w:val="clear" w:color="auto" w:fill="auto"/>
            <w:noWrap w:val="0"/>
            <w:vAlign w:val="center"/>
          </w:tcPr>
          <w:p w14:paraId="4EF0D17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tcBorders>
              <w:tl2br w:val="nil"/>
              <w:tr2bl w:val="nil"/>
            </w:tcBorders>
            <w:shd w:val="clear" w:color="auto" w:fill="auto"/>
            <w:noWrap w:val="0"/>
            <w:vAlign w:val="center"/>
          </w:tcPr>
          <w:p w14:paraId="0F25E48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noWrap w:val="0"/>
            <w:vAlign w:val="center"/>
          </w:tcPr>
          <w:p w14:paraId="376D52B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tcBorders>
              <w:tl2br w:val="nil"/>
              <w:tr2bl w:val="nil"/>
            </w:tcBorders>
            <w:shd w:val="clear" w:color="auto" w:fill="auto"/>
            <w:noWrap w:val="0"/>
            <w:vAlign w:val="center"/>
          </w:tcPr>
          <w:p w14:paraId="1046376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5112F80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0.00841</w:t>
            </w:r>
          </w:p>
        </w:tc>
      </w:tr>
      <w:tr w14:paraId="7FDBA5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0EE5D5E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2</w:t>
            </w:r>
          </w:p>
        </w:tc>
        <w:tc>
          <w:tcPr>
            <w:tcW w:w="1139" w:type="pct"/>
            <w:tcBorders>
              <w:tl2br w:val="nil"/>
              <w:tr2bl w:val="nil"/>
            </w:tcBorders>
            <w:shd w:val="clear" w:color="auto" w:fill="auto"/>
            <w:noWrap w:val="0"/>
            <w:vAlign w:val="center"/>
          </w:tcPr>
          <w:p w14:paraId="2ED73B5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tcBorders>
              <w:tl2br w:val="nil"/>
              <w:tr2bl w:val="nil"/>
            </w:tcBorders>
            <w:shd w:val="clear" w:color="auto" w:fill="auto"/>
            <w:noWrap w:val="0"/>
            <w:vAlign w:val="center"/>
          </w:tcPr>
          <w:p w14:paraId="6B5C8C3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tcBorders>
              <w:tl2br w:val="nil"/>
              <w:tr2bl w:val="nil"/>
            </w:tcBorders>
            <w:shd w:val="clear" w:color="auto" w:fill="auto"/>
            <w:noWrap w:val="0"/>
            <w:vAlign w:val="center"/>
          </w:tcPr>
          <w:p w14:paraId="4B8D4C4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tcBorders>
              <w:tl2br w:val="nil"/>
              <w:tr2bl w:val="nil"/>
            </w:tcBorders>
            <w:shd w:val="clear" w:color="auto" w:fill="auto"/>
            <w:noWrap w:val="0"/>
            <w:vAlign w:val="center"/>
          </w:tcPr>
          <w:p w14:paraId="0B95E84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noWrap w:val="0"/>
            <w:vAlign w:val="center"/>
          </w:tcPr>
          <w:p w14:paraId="457DF46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tcBorders>
              <w:tl2br w:val="nil"/>
              <w:tr2bl w:val="nil"/>
            </w:tcBorders>
            <w:shd w:val="clear" w:color="auto" w:fill="auto"/>
            <w:noWrap w:val="0"/>
            <w:vAlign w:val="center"/>
          </w:tcPr>
          <w:p w14:paraId="1B8199F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083E521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0.00841</w:t>
            </w:r>
          </w:p>
        </w:tc>
      </w:tr>
      <w:tr w14:paraId="0BF63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5E5CF23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3</w:t>
            </w:r>
          </w:p>
        </w:tc>
        <w:tc>
          <w:tcPr>
            <w:tcW w:w="1139" w:type="pct"/>
            <w:tcBorders>
              <w:tl2br w:val="nil"/>
              <w:tr2bl w:val="nil"/>
            </w:tcBorders>
            <w:shd w:val="clear" w:color="auto" w:fill="auto"/>
            <w:noWrap w:val="0"/>
            <w:vAlign w:val="center"/>
          </w:tcPr>
          <w:p w14:paraId="3ADA589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402" w:type="pct"/>
            <w:tcBorders>
              <w:tl2br w:val="nil"/>
              <w:tr2bl w:val="nil"/>
            </w:tcBorders>
            <w:shd w:val="clear" w:color="auto" w:fill="auto"/>
            <w:noWrap w:val="0"/>
            <w:vAlign w:val="center"/>
          </w:tcPr>
          <w:p w14:paraId="04E862E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9</w:t>
            </w:r>
          </w:p>
        </w:tc>
        <w:tc>
          <w:tcPr>
            <w:tcW w:w="595" w:type="pct"/>
            <w:tcBorders>
              <w:tl2br w:val="nil"/>
              <w:tr2bl w:val="nil"/>
            </w:tcBorders>
            <w:noWrap w:val="0"/>
            <w:vAlign w:val="center"/>
          </w:tcPr>
          <w:p w14:paraId="2D26913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18.2</w:t>
            </w:r>
          </w:p>
        </w:tc>
        <w:tc>
          <w:tcPr>
            <w:tcW w:w="705" w:type="pct"/>
            <w:tcBorders>
              <w:tl2br w:val="nil"/>
              <w:tr2bl w:val="nil"/>
            </w:tcBorders>
            <w:noWrap w:val="0"/>
            <w:vAlign w:val="center"/>
          </w:tcPr>
          <w:p w14:paraId="78BB582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0BCB510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tcBorders>
              <w:tl2br w:val="nil"/>
              <w:tr2bl w:val="nil"/>
            </w:tcBorders>
            <w:shd w:val="clear" w:color="auto" w:fill="auto"/>
            <w:noWrap w:val="0"/>
            <w:vAlign w:val="center"/>
          </w:tcPr>
          <w:p w14:paraId="044180F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3D91A9A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0.00887</w:t>
            </w:r>
          </w:p>
        </w:tc>
      </w:tr>
      <w:tr w14:paraId="75C3A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6539A30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4</w:t>
            </w:r>
          </w:p>
        </w:tc>
        <w:tc>
          <w:tcPr>
            <w:tcW w:w="1139" w:type="pct"/>
            <w:tcBorders>
              <w:tl2br w:val="nil"/>
              <w:tr2bl w:val="nil"/>
            </w:tcBorders>
            <w:shd w:val="clear" w:color="auto" w:fill="auto"/>
            <w:noWrap w:val="0"/>
            <w:vAlign w:val="center"/>
          </w:tcPr>
          <w:p w14:paraId="70EEAED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4F1D244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noWrap w:val="0"/>
            <w:vAlign w:val="center"/>
          </w:tcPr>
          <w:p w14:paraId="26D4100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18.4</w:t>
            </w:r>
          </w:p>
        </w:tc>
        <w:tc>
          <w:tcPr>
            <w:tcW w:w="705" w:type="pct"/>
            <w:tcBorders>
              <w:tl2br w:val="nil"/>
              <w:tr2bl w:val="nil"/>
            </w:tcBorders>
            <w:noWrap w:val="0"/>
            <w:vAlign w:val="center"/>
          </w:tcPr>
          <w:p w14:paraId="611FBAC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38C896F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tcBorders>
              <w:tl2br w:val="nil"/>
              <w:tr2bl w:val="nil"/>
            </w:tcBorders>
            <w:shd w:val="clear" w:color="auto" w:fill="auto"/>
            <w:noWrap w:val="0"/>
            <w:vAlign w:val="center"/>
          </w:tcPr>
          <w:p w14:paraId="658EEA1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45E9EAA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0.00968</w:t>
            </w:r>
          </w:p>
        </w:tc>
      </w:tr>
      <w:tr w14:paraId="1C23CB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294DB3D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5</w:t>
            </w:r>
          </w:p>
        </w:tc>
        <w:tc>
          <w:tcPr>
            <w:tcW w:w="1139" w:type="pct"/>
            <w:tcBorders>
              <w:tl2br w:val="nil"/>
              <w:tr2bl w:val="nil"/>
            </w:tcBorders>
            <w:shd w:val="clear" w:color="auto" w:fill="auto"/>
            <w:noWrap w:val="0"/>
            <w:vAlign w:val="center"/>
          </w:tcPr>
          <w:p w14:paraId="79D515F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2F45CEE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noWrap w:val="0"/>
            <w:vAlign w:val="center"/>
          </w:tcPr>
          <w:p w14:paraId="2C5296A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17.6</w:t>
            </w:r>
          </w:p>
        </w:tc>
        <w:tc>
          <w:tcPr>
            <w:tcW w:w="705" w:type="pct"/>
            <w:tcBorders>
              <w:tl2br w:val="nil"/>
              <w:tr2bl w:val="nil"/>
            </w:tcBorders>
            <w:noWrap w:val="0"/>
            <w:vAlign w:val="center"/>
          </w:tcPr>
          <w:p w14:paraId="6722578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068D40F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tcBorders>
              <w:tl2br w:val="nil"/>
              <w:tr2bl w:val="nil"/>
            </w:tcBorders>
            <w:shd w:val="clear" w:color="auto" w:fill="auto"/>
            <w:noWrap w:val="0"/>
            <w:vAlign w:val="center"/>
          </w:tcPr>
          <w:p w14:paraId="184FDC7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5CAE856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0.00968</w:t>
            </w:r>
          </w:p>
        </w:tc>
      </w:tr>
      <w:tr w14:paraId="1FC65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398" w:type="pct"/>
            <w:tcBorders>
              <w:tl2br w:val="nil"/>
              <w:tr2bl w:val="nil"/>
            </w:tcBorders>
            <w:shd w:val="clear" w:color="auto" w:fill="auto"/>
            <w:noWrap w:val="0"/>
            <w:vAlign w:val="center"/>
          </w:tcPr>
          <w:p w14:paraId="06CB9DC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6</w:t>
            </w:r>
          </w:p>
        </w:tc>
        <w:tc>
          <w:tcPr>
            <w:tcW w:w="1139" w:type="pct"/>
            <w:tcBorders>
              <w:tl2br w:val="nil"/>
              <w:tr2bl w:val="nil"/>
            </w:tcBorders>
            <w:shd w:val="clear" w:color="auto" w:fill="auto"/>
            <w:noWrap w:val="0"/>
            <w:vAlign w:val="center"/>
          </w:tcPr>
          <w:p w14:paraId="4FDFBA9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Y4</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tcBorders>
              <w:tl2br w:val="nil"/>
              <w:tr2bl w:val="nil"/>
            </w:tcBorders>
            <w:shd w:val="clear" w:color="auto" w:fill="auto"/>
            <w:noWrap w:val="0"/>
            <w:vAlign w:val="center"/>
          </w:tcPr>
          <w:p w14:paraId="7A51B2E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tcBorders>
              <w:tl2br w:val="nil"/>
              <w:tr2bl w:val="nil"/>
            </w:tcBorders>
            <w:noWrap w:val="0"/>
            <w:vAlign w:val="center"/>
          </w:tcPr>
          <w:p w14:paraId="47BD573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18.2</w:t>
            </w:r>
          </w:p>
        </w:tc>
        <w:tc>
          <w:tcPr>
            <w:tcW w:w="705" w:type="pct"/>
            <w:tcBorders>
              <w:tl2br w:val="nil"/>
              <w:tr2bl w:val="nil"/>
            </w:tcBorders>
            <w:noWrap w:val="0"/>
            <w:vAlign w:val="center"/>
          </w:tcPr>
          <w:p w14:paraId="1060061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3AF6522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tcBorders>
              <w:tl2br w:val="nil"/>
              <w:tr2bl w:val="nil"/>
            </w:tcBorders>
            <w:shd w:val="clear" w:color="auto" w:fill="auto"/>
            <w:noWrap w:val="0"/>
            <w:vAlign w:val="center"/>
          </w:tcPr>
          <w:p w14:paraId="2185385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48DFB9E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0.00968</w:t>
            </w:r>
          </w:p>
        </w:tc>
      </w:tr>
      <w:tr w14:paraId="313C2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5F2DA06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7</w:t>
            </w:r>
          </w:p>
        </w:tc>
        <w:tc>
          <w:tcPr>
            <w:tcW w:w="1139" w:type="pct"/>
            <w:tcBorders>
              <w:tl2br w:val="nil"/>
              <w:tr2bl w:val="nil"/>
            </w:tcBorders>
            <w:shd w:val="clear" w:color="auto" w:fill="auto"/>
            <w:noWrap w:val="0"/>
            <w:vAlign w:val="center"/>
          </w:tcPr>
          <w:p w14:paraId="61317D1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402" w:type="pct"/>
            <w:tcBorders>
              <w:tl2br w:val="nil"/>
              <w:tr2bl w:val="nil"/>
            </w:tcBorders>
            <w:shd w:val="clear" w:color="auto" w:fill="auto"/>
            <w:noWrap w:val="0"/>
            <w:vAlign w:val="center"/>
          </w:tcPr>
          <w:p w14:paraId="772B26C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3</w:t>
            </w:r>
          </w:p>
        </w:tc>
        <w:tc>
          <w:tcPr>
            <w:tcW w:w="595" w:type="pct"/>
            <w:tcBorders>
              <w:tl2br w:val="nil"/>
              <w:tr2bl w:val="nil"/>
            </w:tcBorders>
            <w:noWrap w:val="0"/>
            <w:vAlign w:val="center"/>
          </w:tcPr>
          <w:p w14:paraId="3759DAE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18.2</w:t>
            </w:r>
          </w:p>
        </w:tc>
        <w:tc>
          <w:tcPr>
            <w:tcW w:w="705" w:type="pct"/>
            <w:tcBorders>
              <w:tl2br w:val="nil"/>
              <w:tr2bl w:val="nil"/>
            </w:tcBorders>
            <w:noWrap w:val="0"/>
            <w:vAlign w:val="center"/>
          </w:tcPr>
          <w:p w14:paraId="2791F56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4D8D899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WK1280</w:t>
            </w:r>
          </w:p>
        </w:tc>
        <w:tc>
          <w:tcPr>
            <w:tcW w:w="578" w:type="pct"/>
            <w:tcBorders>
              <w:tl2br w:val="nil"/>
              <w:tr2bl w:val="nil"/>
            </w:tcBorders>
            <w:shd w:val="clear" w:color="auto" w:fill="auto"/>
            <w:noWrap w:val="0"/>
            <w:vAlign w:val="center"/>
          </w:tcPr>
          <w:p w14:paraId="6369EF4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43C2455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0.00656</w:t>
            </w:r>
          </w:p>
        </w:tc>
      </w:tr>
      <w:tr w14:paraId="019EA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654EF88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8</w:t>
            </w:r>
          </w:p>
        </w:tc>
        <w:tc>
          <w:tcPr>
            <w:tcW w:w="1139" w:type="pct"/>
            <w:tcBorders>
              <w:tl2br w:val="nil"/>
              <w:tr2bl w:val="nil"/>
            </w:tcBorders>
            <w:shd w:val="clear" w:color="auto" w:fill="auto"/>
            <w:noWrap w:val="0"/>
            <w:vAlign w:val="center"/>
          </w:tcPr>
          <w:p w14:paraId="3055C8F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tcBorders>
              <w:tl2br w:val="nil"/>
              <w:tr2bl w:val="nil"/>
            </w:tcBorders>
            <w:shd w:val="clear" w:color="auto" w:fill="auto"/>
            <w:noWrap w:val="0"/>
            <w:vAlign w:val="center"/>
          </w:tcPr>
          <w:p w14:paraId="40093F9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tcBorders>
              <w:tl2br w:val="nil"/>
              <w:tr2bl w:val="nil"/>
            </w:tcBorders>
            <w:noWrap w:val="0"/>
            <w:vAlign w:val="center"/>
          </w:tcPr>
          <w:p w14:paraId="7574DA5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18.2</w:t>
            </w:r>
          </w:p>
        </w:tc>
        <w:tc>
          <w:tcPr>
            <w:tcW w:w="705" w:type="pct"/>
            <w:tcBorders>
              <w:tl2br w:val="nil"/>
              <w:tr2bl w:val="nil"/>
            </w:tcBorders>
            <w:noWrap w:val="0"/>
            <w:vAlign w:val="center"/>
          </w:tcPr>
          <w:p w14:paraId="1BD6111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1F35408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WK1290</w:t>
            </w:r>
          </w:p>
        </w:tc>
        <w:tc>
          <w:tcPr>
            <w:tcW w:w="578" w:type="pct"/>
            <w:tcBorders>
              <w:tl2br w:val="nil"/>
              <w:tr2bl w:val="nil"/>
            </w:tcBorders>
            <w:shd w:val="clear" w:color="auto" w:fill="auto"/>
            <w:noWrap w:val="0"/>
            <w:vAlign w:val="center"/>
          </w:tcPr>
          <w:p w14:paraId="4B7B19C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65AFF2C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0.00767</w:t>
            </w:r>
          </w:p>
        </w:tc>
      </w:tr>
      <w:tr w14:paraId="6D481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05A9415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1</w:t>
            </w:r>
            <w:r>
              <w:rPr>
                <w:rFonts w:hint="default" w:ascii="Times New Roman" w:hAnsi="Times New Roman" w:eastAsia="宋体" w:cs="Times New Roman"/>
                <w:color w:val="auto"/>
                <w:sz w:val="21"/>
                <w:szCs w:val="21"/>
              </w:rPr>
              <w:t>9</w:t>
            </w:r>
          </w:p>
        </w:tc>
        <w:tc>
          <w:tcPr>
            <w:tcW w:w="1139" w:type="pct"/>
            <w:tcBorders>
              <w:tl2br w:val="nil"/>
              <w:tr2bl w:val="nil"/>
            </w:tcBorders>
            <w:shd w:val="clear" w:color="auto" w:fill="auto"/>
            <w:noWrap w:val="0"/>
            <w:vAlign w:val="center"/>
          </w:tcPr>
          <w:p w14:paraId="0CD6947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tcBorders>
              <w:tl2br w:val="nil"/>
              <w:tr2bl w:val="nil"/>
            </w:tcBorders>
            <w:shd w:val="clear" w:color="auto" w:fill="auto"/>
            <w:noWrap w:val="0"/>
            <w:vAlign w:val="center"/>
          </w:tcPr>
          <w:p w14:paraId="5016727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tcBorders>
              <w:tl2br w:val="nil"/>
              <w:tr2bl w:val="nil"/>
            </w:tcBorders>
            <w:noWrap w:val="0"/>
            <w:vAlign w:val="center"/>
          </w:tcPr>
          <w:p w14:paraId="61C0B4D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18.2</w:t>
            </w:r>
          </w:p>
        </w:tc>
        <w:tc>
          <w:tcPr>
            <w:tcW w:w="705" w:type="pct"/>
            <w:tcBorders>
              <w:tl2br w:val="nil"/>
              <w:tr2bl w:val="nil"/>
            </w:tcBorders>
            <w:noWrap w:val="0"/>
            <w:vAlign w:val="center"/>
          </w:tcPr>
          <w:p w14:paraId="2AA339E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782752A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tcBorders>
              <w:tl2br w:val="nil"/>
              <w:tr2bl w:val="nil"/>
            </w:tcBorders>
            <w:shd w:val="clear" w:color="auto" w:fill="auto"/>
            <w:noWrap w:val="0"/>
            <w:vAlign w:val="center"/>
          </w:tcPr>
          <w:p w14:paraId="1B9E55D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6BC53EF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0.00767</w:t>
            </w:r>
          </w:p>
        </w:tc>
      </w:tr>
      <w:tr w14:paraId="398D0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1A44E8A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0</w:t>
            </w:r>
          </w:p>
        </w:tc>
        <w:tc>
          <w:tcPr>
            <w:tcW w:w="1139" w:type="pct"/>
            <w:tcBorders>
              <w:tl2br w:val="nil"/>
              <w:tr2bl w:val="nil"/>
            </w:tcBorders>
            <w:shd w:val="clear" w:color="auto" w:fill="auto"/>
            <w:noWrap w:val="0"/>
            <w:vAlign w:val="center"/>
          </w:tcPr>
          <w:p w14:paraId="446ABB7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402" w:type="pct"/>
            <w:tcBorders>
              <w:tl2br w:val="nil"/>
              <w:tr2bl w:val="nil"/>
            </w:tcBorders>
            <w:shd w:val="clear" w:color="auto" w:fill="auto"/>
            <w:noWrap w:val="0"/>
            <w:vAlign w:val="center"/>
          </w:tcPr>
          <w:p w14:paraId="4BBB308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9</w:t>
            </w:r>
          </w:p>
        </w:tc>
        <w:tc>
          <w:tcPr>
            <w:tcW w:w="595" w:type="pct"/>
            <w:tcBorders>
              <w:tl2br w:val="nil"/>
              <w:tr2bl w:val="nil"/>
            </w:tcBorders>
            <w:noWrap w:val="0"/>
            <w:vAlign w:val="center"/>
          </w:tcPr>
          <w:p w14:paraId="6E17166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18.6</w:t>
            </w:r>
          </w:p>
        </w:tc>
        <w:tc>
          <w:tcPr>
            <w:tcW w:w="705" w:type="pct"/>
            <w:tcBorders>
              <w:tl2br w:val="nil"/>
              <w:tr2bl w:val="nil"/>
            </w:tcBorders>
            <w:noWrap w:val="0"/>
            <w:vAlign w:val="center"/>
          </w:tcPr>
          <w:p w14:paraId="54772B4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67EB69D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tcBorders>
              <w:tl2br w:val="nil"/>
              <w:tr2bl w:val="nil"/>
            </w:tcBorders>
            <w:shd w:val="clear" w:color="auto" w:fill="auto"/>
            <w:noWrap w:val="0"/>
            <w:vAlign w:val="center"/>
          </w:tcPr>
          <w:p w14:paraId="4E764A6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440975F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0.00887</w:t>
            </w:r>
          </w:p>
        </w:tc>
      </w:tr>
      <w:tr w14:paraId="4ABA7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4A1203F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1</w:t>
            </w:r>
          </w:p>
        </w:tc>
        <w:tc>
          <w:tcPr>
            <w:tcW w:w="1139" w:type="pct"/>
            <w:tcBorders>
              <w:tl2br w:val="nil"/>
              <w:tr2bl w:val="nil"/>
            </w:tcBorders>
            <w:shd w:val="clear" w:color="auto" w:fill="auto"/>
            <w:noWrap w:val="0"/>
            <w:vAlign w:val="center"/>
          </w:tcPr>
          <w:p w14:paraId="50AF32B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402" w:type="pct"/>
            <w:tcBorders>
              <w:tl2br w:val="nil"/>
              <w:tr2bl w:val="nil"/>
            </w:tcBorders>
            <w:shd w:val="clear" w:color="auto" w:fill="auto"/>
            <w:noWrap w:val="0"/>
            <w:vAlign w:val="center"/>
          </w:tcPr>
          <w:p w14:paraId="790D73F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9</w:t>
            </w:r>
          </w:p>
        </w:tc>
        <w:tc>
          <w:tcPr>
            <w:tcW w:w="595" w:type="pct"/>
            <w:tcBorders>
              <w:tl2br w:val="nil"/>
              <w:tr2bl w:val="nil"/>
            </w:tcBorders>
            <w:noWrap w:val="0"/>
            <w:vAlign w:val="center"/>
          </w:tcPr>
          <w:p w14:paraId="203F409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17.2</w:t>
            </w:r>
          </w:p>
        </w:tc>
        <w:tc>
          <w:tcPr>
            <w:tcW w:w="705" w:type="pct"/>
            <w:tcBorders>
              <w:tl2br w:val="nil"/>
              <w:tr2bl w:val="nil"/>
            </w:tcBorders>
            <w:noWrap w:val="0"/>
            <w:vAlign w:val="center"/>
          </w:tcPr>
          <w:p w14:paraId="63D1C6E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00AE5C2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tcBorders>
              <w:tl2br w:val="nil"/>
              <w:tr2bl w:val="nil"/>
            </w:tcBorders>
            <w:shd w:val="clear" w:color="auto" w:fill="auto"/>
            <w:noWrap w:val="0"/>
            <w:vAlign w:val="center"/>
          </w:tcPr>
          <w:p w14:paraId="2E7B2BF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7BF4B1E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0.00887</w:t>
            </w:r>
          </w:p>
        </w:tc>
      </w:tr>
      <w:tr w14:paraId="7C95B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0367DC7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2</w:t>
            </w:r>
          </w:p>
        </w:tc>
        <w:tc>
          <w:tcPr>
            <w:tcW w:w="1139" w:type="pct"/>
            <w:tcBorders>
              <w:tl2br w:val="nil"/>
              <w:tr2bl w:val="nil"/>
            </w:tcBorders>
            <w:shd w:val="clear" w:color="auto" w:fill="auto"/>
            <w:noWrap w:val="0"/>
            <w:vAlign w:val="center"/>
          </w:tcPr>
          <w:p w14:paraId="23BDC42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402" w:type="pct"/>
            <w:tcBorders>
              <w:tl2br w:val="nil"/>
              <w:tr2bl w:val="nil"/>
            </w:tcBorders>
            <w:shd w:val="clear" w:color="auto" w:fill="auto"/>
            <w:noWrap w:val="0"/>
            <w:vAlign w:val="center"/>
          </w:tcPr>
          <w:p w14:paraId="73621E4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9</w:t>
            </w:r>
          </w:p>
        </w:tc>
        <w:tc>
          <w:tcPr>
            <w:tcW w:w="595" w:type="pct"/>
            <w:tcBorders>
              <w:tl2br w:val="nil"/>
              <w:tr2bl w:val="nil"/>
            </w:tcBorders>
            <w:noWrap w:val="0"/>
            <w:vAlign w:val="center"/>
          </w:tcPr>
          <w:p w14:paraId="76AA016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14.6</w:t>
            </w:r>
          </w:p>
        </w:tc>
        <w:tc>
          <w:tcPr>
            <w:tcW w:w="705" w:type="pct"/>
            <w:tcBorders>
              <w:tl2br w:val="nil"/>
              <w:tr2bl w:val="nil"/>
            </w:tcBorders>
            <w:noWrap w:val="0"/>
            <w:vAlign w:val="center"/>
          </w:tcPr>
          <w:p w14:paraId="363B573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tcBorders>
              <w:tl2br w:val="nil"/>
              <w:tr2bl w:val="nil"/>
            </w:tcBorders>
            <w:noWrap w:val="0"/>
            <w:vAlign w:val="center"/>
          </w:tcPr>
          <w:p w14:paraId="552D98C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tcBorders>
              <w:tl2br w:val="nil"/>
              <w:tr2bl w:val="nil"/>
            </w:tcBorders>
            <w:shd w:val="clear" w:color="auto" w:fill="auto"/>
            <w:noWrap w:val="0"/>
            <w:vAlign w:val="center"/>
          </w:tcPr>
          <w:p w14:paraId="3ED0D28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324F56F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0.00887</w:t>
            </w:r>
          </w:p>
        </w:tc>
      </w:tr>
      <w:tr w14:paraId="052F17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tcBorders>
              <w:tl2br w:val="nil"/>
              <w:tr2bl w:val="nil"/>
            </w:tcBorders>
            <w:shd w:val="clear" w:color="auto" w:fill="auto"/>
            <w:noWrap w:val="0"/>
            <w:vAlign w:val="center"/>
          </w:tcPr>
          <w:p w14:paraId="1BEF61E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3</w:t>
            </w:r>
          </w:p>
        </w:tc>
        <w:tc>
          <w:tcPr>
            <w:tcW w:w="1139" w:type="pct"/>
            <w:tcBorders>
              <w:tl2br w:val="nil"/>
              <w:tr2bl w:val="nil"/>
            </w:tcBorders>
            <w:shd w:val="clear" w:color="auto" w:fill="auto"/>
            <w:noWrap w:val="0"/>
            <w:vAlign w:val="center"/>
          </w:tcPr>
          <w:p w14:paraId="6A759B4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tcBorders>
              <w:tl2br w:val="nil"/>
              <w:tr2bl w:val="nil"/>
            </w:tcBorders>
            <w:shd w:val="clear" w:color="auto" w:fill="auto"/>
            <w:noWrap w:val="0"/>
            <w:vAlign w:val="center"/>
          </w:tcPr>
          <w:p w14:paraId="2842655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tcBorders>
              <w:tl2br w:val="nil"/>
              <w:tr2bl w:val="nil"/>
            </w:tcBorders>
            <w:noWrap w:val="0"/>
            <w:vAlign w:val="center"/>
          </w:tcPr>
          <w:p w14:paraId="663EC30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tcBorders>
              <w:tl2br w:val="nil"/>
              <w:tr2bl w:val="nil"/>
            </w:tcBorders>
            <w:noWrap w:val="0"/>
            <w:vAlign w:val="center"/>
          </w:tcPr>
          <w:p w14:paraId="149186F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tcBorders>
              <w:tl2br w:val="nil"/>
              <w:tr2bl w:val="nil"/>
            </w:tcBorders>
            <w:noWrap w:val="0"/>
            <w:vAlign w:val="center"/>
          </w:tcPr>
          <w:p w14:paraId="0C922A5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tcBorders>
              <w:tl2br w:val="nil"/>
              <w:tr2bl w:val="nil"/>
            </w:tcBorders>
            <w:shd w:val="clear" w:color="auto" w:fill="auto"/>
            <w:noWrap w:val="0"/>
            <w:vAlign w:val="center"/>
          </w:tcPr>
          <w:p w14:paraId="21DB529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tcBorders>
              <w:tl2br w:val="nil"/>
              <w:tr2bl w:val="nil"/>
            </w:tcBorders>
            <w:shd w:val="clear" w:color="auto" w:fill="auto"/>
            <w:noWrap w:val="0"/>
            <w:vAlign w:val="center"/>
          </w:tcPr>
          <w:p w14:paraId="5B1F8C4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0.0079</w:t>
            </w:r>
          </w:p>
        </w:tc>
      </w:tr>
      <w:tr w14:paraId="064EF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04D15EC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4</w:t>
            </w:r>
          </w:p>
        </w:tc>
        <w:tc>
          <w:tcPr>
            <w:tcW w:w="1139" w:type="pct"/>
            <w:shd w:val="clear" w:color="auto" w:fill="auto"/>
            <w:vAlign w:val="center"/>
          </w:tcPr>
          <w:p w14:paraId="41455CE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eastAsia" w:ascii="Times New Roman" w:hAnsi="Times New Roman" w:eastAsia="宋体" w:cs="Times New Roman"/>
                <w:color w:val="auto"/>
                <w:spacing w:val="14"/>
                <w:sz w:val="21"/>
                <w:szCs w:val="21"/>
                <w:lang w:val="en-US" w:eastAsia="zh-CN"/>
              </w:rPr>
              <w:t>Y</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64FFF7E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75C13ED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15.1</w:t>
            </w:r>
          </w:p>
        </w:tc>
        <w:tc>
          <w:tcPr>
            <w:tcW w:w="705" w:type="pct"/>
            <w:vAlign w:val="center"/>
          </w:tcPr>
          <w:p w14:paraId="0CC7AC0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vAlign w:val="center"/>
          </w:tcPr>
          <w:p w14:paraId="6A25593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shd w:val="clear" w:color="auto" w:fill="auto"/>
            <w:vAlign w:val="center"/>
          </w:tcPr>
          <w:p w14:paraId="2A65130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79E6B1C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0.00841</w:t>
            </w:r>
          </w:p>
        </w:tc>
      </w:tr>
      <w:tr w14:paraId="3BBD9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838D2C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5</w:t>
            </w:r>
          </w:p>
        </w:tc>
        <w:tc>
          <w:tcPr>
            <w:tcW w:w="1139" w:type="pct"/>
            <w:shd w:val="clear" w:color="auto" w:fill="auto"/>
            <w:vAlign w:val="center"/>
          </w:tcPr>
          <w:p w14:paraId="6B0E38E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402" w:type="pct"/>
            <w:shd w:val="clear" w:color="auto" w:fill="auto"/>
            <w:vAlign w:val="center"/>
          </w:tcPr>
          <w:p w14:paraId="4F142BC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3</w:t>
            </w:r>
          </w:p>
        </w:tc>
        <w:tc>
          <w:tcPr>
            <w:tcW w:w="595" w:type="pct"/>
            <w:vAlign w:val="center"/>
          </w:tcPr>
          <w:p w14:paraId="7A1A261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13.6</w:t>
            </w:r>
          </w:p>
        </w:tc>
        <w:tc>
          <w:tcPr>
            <w:tcW w:w="705" w:type="pct"/>
            <w:vAlign w:val="center"/>
          </w:tcPr>
          <w:p w14:paraId="4F99F69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vAlign w:val="center"/>
          </w:tcPr>
          <w:p w14:paraId="544E7C1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shd w:val="clear" w:color="auto" w:fill="auto"/>
            <w:vAlign w:val="center"/>
          </w:tcPr>
          <w:p w14:paraId="2F9C217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1582FD7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0.00656</w:t>
            </w:r>
          </w:p>
        </w:tc>
      </w:tr>
      <w:tr w14:paraId="66B53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3CE41FC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6</w:t>
            </w:r>
          </w:p>
        </w:tc>
        <w:tc>
          <w:tcPr>
            <w:tcW w:w="1139" w:type="pct"/>
            <w:shd w:val="clear" w:color="auto" w:fill="auto"/>
            <w:vAlign w:val="center"/>
          </w:tcPr>
          <w:p w14:paraId="2F1A79C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X3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4</w:t>
            </w:r>
          </w:p>
        </w:tc>
        <w:tc>
          <w:tcPr>
            <w:tcW w:w="402" w:type="pct"/>
            <w:shd w:val="clear" w:color="auto" w:fill="auto"/>
            <w:vAlign w:val="center"/>
          </w:tcPr>
          <w:p w14:paraId="5E89220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4</w:t>
            </w:r>
          </w:p>
        </w:tc>
        <w:tc>
          <w:tcPr>
            <w:tcW w:w="595" w:type="pct"/>
            <w:vAlign w:val="center"/>
          </w:tcPr>
          <w:p w14:paraId="0F78128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vAlign w:val="center"/>
          </w:tcPr>
          <w:p w14:paraId="256A73E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vAlign w:val="center"/>
          </w:tcPr>
          <w:p w14:paraId="0BA337A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shd w:val="clear" w:color="auto" w:fill="auto"/>
            <w:vAlign w:val="center"/>
          </w:tcPr>
          <w:p w14:paraId="320571F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3EA7DBA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0.00362</w:t>
            </w:r>
          </w:p>
        </w:tc>
      </w:tr>
      <w:tr w14:paraId="1E0FE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66A76D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1139" w:type="pct"/>
            <w:shd w:val="clear" w:color="auto" w:fill="auto"/>
            <w:vAlign w:val="center"/>
          </w:tcPr>
          <w:p w14:paraId="2D593AE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E</w:t>
            </w:r>
            <w:r>
              <w:rPr>
                <w:rFonts w:hint="default" w:ascii="Times New Roman" w:hAnsi="Times New Roman" w:eastAsia="宋体" w:cs="Times New Roman"/>
                <w:color w:val="auto"/>
                <w:spacing w:val="12"/>
                <w:sz w:val="21"/>
                <w:szCs w:val="21"/>
              </w:rPr>
              <w:t>1</w:t>
            </w:r>
            <w:r>
              <w:rPr>
                <w:rFonts w:hint="eastAsia" w:ascii="Times New Roman" w:hAnsi="Times New Roman" w:eastAsia="宋体" w:cs="Times New Roman"/>
                <w:color w:val="auto"/>
                <w:spacing w:val="12"/>
                <w:sz w:val="21"/>
                <w:szCs w:val="21"/>
                <w:lang w:val="en-US" w:eastAsia="zh-CN"/>
              </w:rPr>
              <w:t>Y</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w:t>
            </w:r>
            <w:r>
              <w:rPr>
                <w:rFonts w:hint="eastAsia" w:ascii="Times New Roman" w:hAnsi="Times New Roman" w:eastAsia="宋体" w:cs="Times New Roman"/>
                <w:color w:val="auto"/>
                <w:spacing w:val="14"/>
                <w:sz w:val="21"/>
                <w:szCs w:val="21"/>
                <w:lang w:val="en-US" w:eastAsia="zh-CN"/>
              </w:rPr>
              <w:t>33</w:t>
            </w:r>
          </w:p>
        </w:tc>
        <w:tc>
          <w:tcPr>
            <w:tcW w:w="402" w:type="pct"/>
            <w:shd w:val="clear" w:color="auto" w:fill="auto"/>
            <w:vAlign w:val="center"/>
          </w:tcPr>
          <w:p w14:paraId="21741D3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33</w:t>
            </w:r>
          </w:p>
        </w:tc>
        <w:tc>
          <w:tcPr>
            <w:tcW w:w="595" w:type="pct"/>
            <w:vAlign w:val="center"/>
          </w:tcPr>
          <w:p w14:paraId="19C95B6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20.43</w:t>
            </w:r>
          </w:p>
        </w:tc>
        <w:tc>
          <w:tcPr>
            <w:tcW w:w="705" w:type="pct"/>
            <w:vAlign w:val="center"/>
          </w:tcPr>
          <w:p w14:paraId="44DBA3C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vAlign w:val="center"/>
          </w:tcPr>
          <w:p w14:paraId="3CB1F73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WK1280</w:t>
            </w:r>
          </w:p>
        </w:tc>
        <w:tc>
          <w:tcPr>
            <w:tcW w:w="578" w:type="pct"/>
            <w:shd w:val="clear" w:color="auto" w:fill="auto"/>
            <w:vAlign w:val="center"/>
          </w:tcPr>
          <w:p w14:paraId="1FCAAE2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52B6F15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0.00714</w:t>
            </w:r>
          </w:p>
        </w:tc>
      </w:tr>
      <w:tr w14:paraId="6B1AA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06EAE16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8</w:t>
            </w:r>
          </w:p>
        </w:tc>
        <w:tc>
          <w:tcPr>
            <w:tcW w:w="1139" w:type="pct"/>
            <w:shd w:val="clear" w:color="auto" w:fill="auto"/>
            <w:vAlign w:val="center"/>
          </w:tcPr>
          <w:p w14:paraId="5F5C622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eastAsia" w:ascii="Times New Roman" w:hAnsi="Times New Roman" w:cs="Times New Roman"/>
                <w:color w:val="auto"/>
                <w:spacing w:val="12"/>
                <w:sz w:val="21"/>
                <w:szCs w:val="21"/>
                <w:lang w:val="en-US" w:eastAsia="zh-CN"/>
              </w:rPr>
              <w:t>1</w:t>
            </w:r>
            <w:r>
              <w:rPr>
                <w:rFonts w:hint="default" w:ascii="Times New Roman" w:hAnsi="Times New Roman" w:eastAsia="宋体" w:cs="Times New Roman"/>
                <w:color w:val="auto"/>
                <w:spacing w:val="14"/>
                <w:sz w:val="21"/>
                <w:szCs w:val="21"/>
              </w:rPr>
              <w:t>-</w:t>
            </w:r>
            <w:r>
              <w:rPr>
                <w:rFonts w:hint="eastAsia" w:ascii="Times New Roman" w:hAnsi="Times New Roman" w:cs="Times New Roman"/>
                <w:color w:val="auto"/>
                <w:spacing w:val="14"/>
                <w:sz w:val="21"/>
                <w:szCs w:val="21"/>
                <w:lang w:val="en-US" w:eastAsia="zh-CN"/>
              </w:rPr>
              <w:t>48</w:t>
            </w:r>
          </w:p>
        </w:tc>
        <w:tc>
          <w:tcPr>
            <w:tcW w:w="402" w:type="pct"/>
            <w:shd w:val="clear" w:color="auto" w:fill="auto"/>
            <w:vAlign w:val="center"/>
          </w:tcPr>
          <w:p w14:paraId="5AC4466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pacing w:val="9"/>
                <w:sz w:val="21"/>
                <w:szCs w:val="21"/>
                <w:lang w:val="en-US" w:eastAsia="zh-CN"/>
              </w:rPr>
              <w:t>48</w:t>
            </w:r>
          </w:p>
        </w:tc>
        <w:tc>
          <w:tcPr>
            <w:tcW w:w="595" w:type="pct"/>
            <w:vAlign w:val="center"/>
          </w:tcPr>
          <w:p w14:paraId="6DB03C0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9.3</w:t>
            </w:r>
          </w:p>
        </w:tc>
        <w:tc>
          <w:tcPr>
            <w:tcW w:w="705" w:type="pct"/>
            <w:vAlign w:val="center"/>
          </w:tcPr>
          <w:p w14:paraId="3D77AF1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vAlign w:val="center"/>
          </w:tcPr>
          <w:p w14:paraId="6F8B003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WK1290</w:t>
            </w:r>
          </w:p>
        </w:tc>
        <w:tc>
          <w:tcPr>
            <w:tcW w:w="578" w:type="pct"/>
            <w:shd w:val="clear" w:color="auto" w:fill="auto"/>
            <w:vAlign w:val="center"/>
          </w:tcPr>
          <w:p w14:paraId="72FD7FB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0E22EA1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0.00443</w:t>
            </w:r>
          </w:p>
        </w:tc>
      </w:tr>
      <w:tr w14:paraId="5E722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F4887A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9</w:t>
            </w:r>
          </w:p>
        </w:tc>
        <w:tc>
          <w:tcPr>
            <w:tcW w:w="1139" w:type="pct"/>
            <w:shd w:val="clear" w:color="auto" w:fill="auto"/>
            <w:vAlign w:val="center"/>
          </w:tcPr>
          <w:p w14:paraId="2FBD6FD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2D1Y5-ZMH3-42</w:t>
            </w:r>
          </w:p>
        </w:tc>
        <w:tc>
          <w:tcPr>
            <w:tcW w:w="402" w:type="pct"/>
            <w:shd w:val="clear" w:color="auto" w:fill="auto"/>
            <w:vAlign w:val="center"/>
          </w:tcPr>
          <w:p w14:paraId="0DE6A97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42</w:t>
            </w:r>
          </w:p>
        </w:tc>
        <w:tc>
          <w:tcPr>
            <w:tcW w:w="595" w:type="pct"/>
            <w:vAlign w:val="center"/>
          </w:tcPr>
          <w:p w14:paraId="6F6E805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53BE8D5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vAlign w:val="center"/>
          </w:tcPr>
          <w:p w14:paraId="778A164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shd w:val="clear" w:color="auto" w:fill="auto"/>
            <w:vAlign w:val="center"/>
          </w:tcPr>
          <w:p w14:paraId="363D10F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730796B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0.00443</w:t>
            </w:r>
          </w:p>
        </w:tc>
      </w:tr>
      <w:tr w14:paraId="66FC1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45E213E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1139" w:type="pct"/>
            <w:shd w:val="clear" w:color="auto" w:fill="auto"/>
            <w:vAlign w:val="center"/>
          </w:tcPr>
          <w:p w14:paraId="1ACBBC1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47B9531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0C814E0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vAlign w:val="center"/>
          </w:tcPr>
          <w:p w14:paraId="3CCCCC9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vAlign w:val="center"/>
          </w:tcPr>
          <w:p w14:paraId="25BAF7D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shd w:val="clear" w:color="auto" w:fill="auto"/>
            <w:vAlign w:val="center"/>
          </w:tcPr>
          <w:p w14:paraId="0104383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0A64D95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0.00516</w:t>
            </w:r>
          </w:p>
        </w:tc>
      </w:tr>
      <w:tr w14:paraId="436FF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587A22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1</w:t>
            </w:r>
          </w:p>
        </w:tc>
        <w:tc>
          <w:tcPr>
            <w:tcW w:w="1139" w:type="pct"/>
            <w:shd w:val="clear" w:color="auto" w:fill="auto"/>
            <w:vAlign w:val="center"/>
          </w:tcPr>
          <w:p w14:paraId="7FC8FA9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shd w:val="clear" w:color="auto" w:fill="auto"/>
            <w:vAlign w:val="center"/>
          </w:tcPr>
          <w:p w14:paraId="4048364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vAlign w:val="center"/>
          </w:tcPr>
          <w:p w14:paraId="22FE1FE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5CA60FF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vAlign w:val="center"/>
          </w:tcPr>
          <w:p w14:paraId="3F86DF3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shd w:val="clear" w:color="auto" w:fill="auto"/>
            <w:vAlign w:val="center"/>
          </w:tcPr>
          <w:p w14:paraId="427D3AC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02D40A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0.00465</w:t>
            </w:r>
          </w:p>
        </w:tc>
      </w:tr>
      <w:tr w14:paraId="5713E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4055D73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2</w:t>
            </w:r>
          </w:p>
        </w:tc>
        <w:tc>
          <w:tcPr>
            <w:tcW w:w="1139" w:type="pct"/>
            <w:shd w:val="clear" w:color="auto" w:fill="auto"/>
            <w:vAlign w:val="center"/>
          </w:tcPr>
          <w:p w14:paraId="1C6FA93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67A7538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4FF9488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vAlign w:val="center"/>
          </w:tcPr>
          <w:p w14:paraId="7D703B4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586" w:type="pct"/>
            <w:vAlign w:val="center"/>
          </w:tcPr>
          <w:p w14:paraId="5696D51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shd w:val="clear" w:color="auto" w:fill="auto"/>
            <w:vAlign w:val="center"/>
          </w:tcPr>
          <w:p w14:paraId="2FC9CAB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66B76F1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0.0048</w:t>
            </w:r>
          </w:p>
        </w:tc>
      </w:tr>
      <w:tr w14:paraId="50D792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82AAE5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1139" w:type="pct"/>
            <w:shd w:val="clear" w:color="auto" w:fill="auto"/>
            <w:vAlign w:val="center"/>
          </w:tcPr>
          <w:p w14:paraId="0A51C39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402" w:type="pct"/>
            <w:shd w:val="clear" w:color="auto" w:fill="auto"/>
            <w:vAlign w:val="center"/>
          </w:tcPr>
          <w:p w14:paraId="08BCA8A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9</w:t>
            </w:r>
          </w:p>
        </w:tc>
        <w:tc>
          <w:tcPr>
            <w:tcW w:w="595" w:type="pct"/>
            <w:vAlign w:val="center"/>
          </w:tcPr>
          <w:p w14:paraId="20CAE28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4D939D8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5D4CF84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shd w:val="clear" w:color="auto" w:fill="auto"/>
            <w:vAlign w:val="center"/>
          </w:tcPr>
          <w:p w14:paraId="42AD54B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FF7B87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0.00417</w:t>
            </w:r>
          </w:p>
        </w:tc>
      </w:tr>
      <w:tr w14:paraId="49660D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5D02A0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4</w:t>
            </w:r>
          </w:p>
        </w:tc>
        <w:tc>
          <w:tcPr>
            <w:tcW w:w="1139" w:type="pct"/>
            <w:shd w:val="clear" w:color="auto" w:fill="auto"/>
            <w:vAlign w:val="center"/>
          </w:tcPr>
          <w:p w14:paraId="496F15D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shd w:val="clear" w:color="auto" w:fill="auto"/>
            <w:vAlign w:val="center"/>
          </w:tcPr>
          <w:p w14:paraId="5293B70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vAlign w:val="center"/>
          </w:tcPr>
          <w:p w14:paraId="73BD427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38D702D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56F88D4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shd w:val="clear" w:color="auto" w:fill="auto"/>
            <w:vAlign w:val="center"/>
          </w:tcPr>
          <w:p w14:paraId="006B4E2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2120130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0.00465</w:t>
            </w:r>
          </w:p>
        </w:tc>
      </w:tr>
      <w:tr w14:paraId="437FD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11F387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5</w:t>
            </w:r>
          </w:p>
        </w:tc>
        <w:tc>
          <w:tcPr>
            <w:tcW w:w="1139" w:type="pct"/>
            <w:shd w:val="clear" w:color="auto" w:fill="auto"/>
            <w:vAlign w:val="center"/>
          </w:tcPr>
          <w:p w14:paraId="30BE655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shd w:val="clear" w:color="auto" w:fill="auto"/>
            <w:vAlign w:val="center"/>
          </w:tcPr>
          <w:p w14:paraId="2AC4C00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vAlign w:val="center"/>
          </w:tcPr>
          <w:p w14:paraId="197200B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346CF2A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09961EE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shd w:val="clear" w:color="auto" w:fill="auto"/>
            <w:vAlign w:val="center"/>
          </w:tcPr>
          <w:p w14:paraId="6E9DC48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6F8DFA7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0.00352</w:t>
            </w:r>
          </w:p>
        </w:tc>
      </w:tr>
      <w:tr w14:paraId="65422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398" w:type="pct"/>
            <w:shd w:val="clear" w:color="auto" w:fill="auto"/>
            <w:vAlign w:val="center"/>
          </w:tcPr>
          <w:p w14:paraId="313FE01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1139" w:type="pct"/>
            <w:shd w:val="clear" w:color="auto" w:fill="auto"/>
            <w:vAlign w:val="center"/>
          </w:tcPr>
          <w:p w14:paraId="17F250E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402" w:type="pct"/>
            <w:shd w:val="clear" w:color="auto" w:fill="auto"/>
            <w:vAlign w:val="center"/>
          </w:tcPr>
          <w:p w14:paraId="23B2A6F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3</w:t>
            </w:r>
          </w:p>
        </w:tc>
        <w:tc>
          <w:tcPr>
            <w:tcW w:w="595" w:type="pct"/>
            <w:vAlign w:val="center"/>
          </w:tcPr>
          <w:p w14:paraId="5351CED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3641AE5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6854958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shd w:val="clear" w:color="auto" w:fill="auto"/>
            <w:vAlign w:val="center"/>
          </w:tcPr>
          <w:p w14:paraId="7A965EB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基本农田</w:t>
            </w:r>
          </w:p>
        </w:tc>
        <w:tc>
          <w:tcPr>
            <w:tcW w:w="594" w:type="pct"/>
            <w:shd w:val="clear" w:color="auto" w:fill="auto"/>
            <w:vAlign w:val="center"/>
          </w:tcPr>
          <w:p w14:paraId="2D168B3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0.00311</w:t>
            </w:r>
          </w:p>
        </w:tc>
      </w:tr>
      <w:tr w14:paraId="4A611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DD3989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7</w:t>
            </w:r>
          </w:p>
        </w:tc>
        <w:tc>
          <w:tcPr>
            <w:tcW w:w="1139" w:type="pct"/>
            <w:shd w:val="clear" w:color="auto" w:fill="auto"/>
            <w:vAlign w:val="center"/>
          </w:tcPr>
          <w:p w14:paraId="30560E1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402" w:type="pct"/>
            <w:shd w:val="clear" w:color="auto" w:fill="auto"/>
            <w:vAlign w:val="center"/>
          </w:tcPr>
          <w:p w14:paraId="16E1243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3</w:t>
            </w:r>
          </w:p>
        </w:tc>
        <w:tc>
          <w:tcPr>
            <w:tcW w:w="595" w:type="pct"/>
            <w:vAlign w:val="center"/>
          </w:tcPr>
          <w:p w14:paraId="5DC8F01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6541EED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4DEF736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shd w:val="clear" w:color="auto" w:fill="auto"/>
            <w:vAlign w:val="center"/>
          </w:tcPr>
          <w:p w14:paraId="454496F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492A68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0.00311</w:t>
            </w:r>
          </w:p>
        </w:tc>
      </w:tr>
      <w:tr w14:paraId="1A763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54B9AF6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8</w:t>
            </w:r>
          </w:p>
        </w:tc>
        <w:tc>
          <w:tcPr>
            <w:tcW w:w="1139" w:type="pct"/>
            <w:shd w:val="clear" w:color="auto" w:fill="auto"/>
            <w:vAlign w:val="center"/>
          </w:tcPr>
          <w:p w14:paraId="12708A6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128FC66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43A3A69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7E7C275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1DC867D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shd w:val="clear" w:color="auto" w:fill="auto"/>
            <w:vAlign w:val="center"/>
          </w:tcPr>
          <w:p w14:paraId="4B264D0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0C63E5F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0.00236</w:t>
            </w:r>
          </w:p>
        </w:tc>
      </w:tr>
      <w:tr w14:paraId="61C6F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15F5AD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9</w:t>
            </w:r>
          </w:p>
        </w:tc>
        <w:tc>
          <w:tcPr>
            <w:tcW w:w="1139" w:type="pct"/>
            <w:shd w:val="clear" w:color="auto" w:fill="auto"/>
            <w:vAlign w:val="center"/>
          </w:tcPr>
          <w:p w14:paraId="2A4CDC7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402" w:type="pct"/>
            <w:shd w:val="clear" w:color="auto" w:fill="auto"/>
            <w:vAlign w:val="center"/>
          </w:tcPr>
          <w:p w14:paraId="5C88B3A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4</w:t>
            </w:r>
            <w:r>
              <w:rPr>
                <w:rFonts w:hint="default" w:ascii="Times New Roman" w:hAnsi="Times New Roman" w:eastAsia="宋体" w:cs="Times New Roman"/>
                <w:color w:val="auto"/>
                <w:sz w:val="21"/>
                <w:szCs w:val="21"/>
              </w:rPr>
              <w:t>2</w:t>
            </w:r>
          </w:p>
        </w:tc>
        <w:tc>
          <w:tcPr>
            <w:tcW w:w="595" w:type="pct"/>
            <w:vAlign w:val="center"/>
          </w:tcPr>
          <w:p w14:paraId="3DCB078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9.9</w:t>
            </w:r>
          </w:p>
        </w:tc>
        <w:tc>
          <w:tcPr>
            <w:tcW w:w="705" w:type="pct"/>
            <w:vAlign w:val="center"/>
          </w:tcPr>
          <w:p w14:paraId="6658FAE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586" w:type="pct"/>
            <w:shd w:val="clear" w:color="auto" w:fill="auto"/>
            <w:vAlign w:val="center"/>
          </w:tcPr>
          <w:p w14:paraId="3E28411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WK1280</w:t>
            </w:r>
          </w:p>
        </w:tc>
        <w:tc>
          <w:tcPr>
            <w:tcW w:w="578" w:type="pct"/>
            <w:shd w:val="clear" w:color="auto" w:fill="auto"/>
            <w:vAlign w:val="center"/>
          </w:tcPr>
          <w:p w14:paraId="27C9F72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0708283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0.0041</w:t>
            </w:r>
          </w:p>
        </w:tc>
      </w:tr>
      <w:tr w14:paraId="597C4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4206E71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0</w:t>
            </w:r>
          </w:p>
        </w:tc>
        <w:tc>
          <w:tcPr>
            <w:tcW w:w="1139" w:type="pct"/>
            <w:shd w:val="clear" w:color="auto" w:fill="auto"/>
            <w:vAlign w:val="center"/>
          </w:tcPr>
          <w:p w14:paraId="44BCB0C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6642FEC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5DE2843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0C944AC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4506AA5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shd w:val="clear" w:color="auto" w:fill="auto"/>
            <w:vAlign w:val="center"/>
          </w:tcPr>
          <w:p w14:paraId="5D69F21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03166A9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0.00272</w:t>
            </w:r>
          </w:p>
        </w:tc>
      </w:tr>
      <w:tr w14:paraId="7DB06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62F30F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1</w:t>
            </w:r>
          </w:p>
        </w:tc>
        <w:tc>
          <w:tcPr>
            <w:tcW w:w="1139" w:type="pct"/>
            <w:shd w:val="clear" w:color="auto" w:fill="auto"/>
            <w:vAlign w:val="center"/>
          </w:tcPr>
          <w:p w14:paraId="39B0B16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3</w:t>
            </w:r>
          </w:p>
        </w:tc>
        <w:tc>
          <w:tcPr>
            <w:tcW w:w="402" w:type="pct"/>
            <w:shd w:val="clear" w:color="auto" w:fill="auto"/>
            <w:vAlign w:val="center"/>
          </w:tcPr>
          <w:p w14:paraId="03B3673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3</w:t>
            </w:r>
          </w:p>
        </w:tc>
        <w:tc>
          <w:tcPr>
            <w:tcW w:w="595" w:type="pct"/>
            <w:vAlign w:val="center"/>
          </w:tcPr>
          <w:p w14:paraId="5F8525C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3BC5015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32BAB0C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shd w:val="clear" w:color="auto" w:fill="auto"/>
            <w:vAlign w:val="center"/>
          </w:tcPr>
          <w:p w14:paraId="6A73143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79EB5B0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0.00311</w:t>
            </w:r>
          </w:p>
        </w:tc>
      </w:tr>
      <w:tr w14:paraId="4A3B40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EE951F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2</w:t>
            </w:r>
          </w:p>
        </w:tc>
        <w:tc>
          <w:tcPr>
            <w:tcW w:w="1139" w:type="pct"/>
            <w:shd w:val="clear" w:color="auto" w:fill="auto"/>
            <w:vAlign w:val="center"/>
          </w:tcPr>
          <w:p w14:paraId="725F789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w:t>
            </w:r>
            <w:r>
              <w:rPr>
                <w:rFonts w:hint="eastAsia" w:ascii="Times New Roman" w:hAnsi="Times New Roman" w:cs="Times New Roman"/>
                <w:color w:val="auto"/>
                <w:spacing w:val="14"/>
                <w:sz w:val="21"/>
                <w:szCs w:val="21"/>
                <w:lang w:val="en-US" w:eastAsia="zh-CN"/>
              </w:rPr>
              <w:t>48</w:t>
            </w:r>
          </w:p>
        </w:tc>
        <w:tc>
          <w:tcPr>
            <w:tcW w:w="402" w:type="pct"/>
            <w:shd w:val="clear" w:color="auto" w:fill="auto"/>
            <w:vAlign w:val="center"/>
          </w:tcPr>
          <w:p w14:paraId="768E1D3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pacing w:val="9"/>
                <w:sz w:val="21"/>
                <w:szCs w:val="21"/>
                <w:lang w:val="en-US" w:eastAsia="zh-CN"/>
              </w:rPr>
              <w:t>48</w:t>
            </w:r>
          </w:p>
        </w:tc>
        <w:tc>
          <w:tcPr>
            <w:tcW w:w="595" w:type="pct"/>
            <w:vAlign w:val="center"/>
          </w:tcPr>
          <w:p w14:paraId="6F622BD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9.9</w:t>
            </w:r>
          </w:p>
        </w:tc>
        <w:tc>
          <w:tcPr>
            <w:tcW w:w="705" w:type="pct"/>
            <w:vAlign w:val="center"/>
          </w:tcPr>
          <w:p w14:paraId="1559A01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1E5BF0C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shd w:val="clear" w:color="auto" w:fill="auto"/>
            <w:vAlign w:val="center"/>
          </w:tcPr>
          <w:p w14:paraId="6534CE2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shd w:val="clear" w:color="auto" w:fill="auto"/>
            <w:vAlign w:val="center"/>
          </w:tcPr>
          <w:p w14:paraId="7511F87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0.00385</w:t>
            </w:r>
          </w:p>
        </w:tc>
      </w:tr>
      <w:tr w14:paraId="46FC9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0B6147E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3</w:t>
            </w:r>
          </w:p>
        </w:tc>
        <w:tc>
          <w:tcPr>
            <w:tcW w:w="1139" w:type="pct"/>
            <w:shd w:val="clear" w:color="auto" w:fill="auto"/>
            <w:vAlign w:val="center"/>
          </w:tcPr>
          <w:p w14:paraId="62193D8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62A9F1B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2642E71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9.9</w:t>
            </w:r>
          </w:p>
        </w:tc>
        <w:tc>
          <w:tcPr>
            <w:tcW w:w="705" w:type="pct"/>
            <w:vAlign w:val="center"/>
          </w:tcPr>
          <w:p w14:paraId="66F7A57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52E8FEE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shd w:val="clear" w:color="auto" w:fill="auto"/>
            <w:vAlign w:val="center"/>
          </w:tcPr>
          <w:p w14:paraId="541E96F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5C3FD6F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0.00264</w:t>
            </w:r>
          </w:p>
        </w:tc>
      </w:tr>
      <w:tr w14:paraId="2F8D6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5BD1635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4</w:t>
            </w:r>
          </w:p>
        </w:tc>
        <w:tc>
          <w:tcPr>
            <w:tcW w:w="1139" w:type="pct"/>
            <w:shd w:val="clear" w:color="auto" w:fill="auto"/>
            <w:vAlign w:val="center"/>
          </w:tcPr>
          <w:p w14:paraId="54A421F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6777345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53ECC43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vAlign w:val="center"/>
          </w:tcPr>
          <w:p w14:paraId="2857E79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984" w:type="dxa"/>
            <w:vAlign w:val="center"/>
          </w:tcPr>
          <w:p w14:paraId="6D8C5F6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shd w:val="clear" w:color="auto" w:fill="auto"/>
            <w:vAlign w:val="center"/>
          </w:tcPr>
          <w:p w14:paraId="238DE68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71EB67E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0.00416</w:t>
            </w:r>
          </w:p>
        </w:tc>
      </w:tr>
      <w:tr w14:paraId="222CBE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732E19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5</w:t>
            </w:r>
          </w:p>
        </w:tc>
        <w:tc>
          <w:tcPr>
            <w:tcW w:w="1139" w:type="pct"/>
            <w:shd w:val="clear" w:color="auto" w:fill="auto"/>
            <w:vAlign w:val="center"/>
          </w:tcPr>
          <w:p w14:paraId="5319695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4BAAEF3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045664B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3A02793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49BFBE9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shd w:val="clear" w:color="auto" w:fill="auto"/>
            <w:vAlign w:val="center"/>
          </w:tcPr>
          <w:p w14:paraId="6A7FC56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94CE42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0.00291</w:t>
            </w:r>
          </w:p>
        </w:tc>
      </w:tr>
      <w:tr w14:paraId="615CA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5169043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6</w:t>
            </w:r>
          </w:p>
        </w:tc>
        <w:tc>
          <w:tcPr>
            <w:tcW w:w="1139" w:type="pct"/>
            <w:shd w:val="clear" w:color="auto" w:fill="auto"/>
            <w:vAlign w:val="center"/>
          </w:tcPr>
          <w:p w14:paraId="03CFAA0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78D68EB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5235C21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4A57830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00885BB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shd w:val="clear" w:color="auto" w:fill="auto"/>
            <w:vAlign w:val="center"/>
          </w:tcPr>
          <w:p w14:paraId="4E29A82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64BD45E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0.00291</w:t>
            </w:r>
          </w:p>
        </w:tc>
      </w:tr>
      <w:tr w14:paraId="2DFEC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4ED9BB0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7</w:t>
            </w:r>
          </w:p>
        </w:tc>
        <w:tc>
          <w:tcPr>
            <w:tcW w:w="1139" w:type="pct"/>
            <w:shd w:val="clear" w:color="auto" w:fill="auto"/>
            <w:vAlign w:val="center"/>
          </w:tcPr>
          <w:p w14:paraId="1062A58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5059FAC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443BCD4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0F2D447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0DAC641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shd w:val="clear" w:color="auto" w:fill="auto"/>
            <w:vAlign w:val="center"/>
          </w:tcPr>
          <w:p w14:paraId="0BD7469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shd w:val="clear" w:color="auto" w:fill="auto"/>
            <w:vAlign w:val="center"/>
          </w:tcPr>
          <w:p w14:paraId="25E2E87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0.00291</w:t>
            </w:r>
          </w:p>
        </w:tc>
      </w:tr>
      <w:tr w14:paraId="75234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E1F5B4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8</w:t>
            </w:r>
          </w:p>
        </w:tc>
        <w:tc>
          <w:tcPr>
            <w:tcW w:w="1139" w:type="pct"/>
            <w:shd w:val="clear" w:color="auto" w:fill="auto"/>
            <w:vAlign w:val="center"/>
          </w:tcPr>
          <w:p w14:paraId="4959091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70035AB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73A9F7C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423EBE35">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3E2004D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WK1280</w:t>
            </w:r>
          </w:p>
        </w:tc>
        <w:tc>
          <w:tcPr>
            <w:tcW w:w="578" w:type="pct"/>
            <w:shd w:val="clear" w:color="auto" w:fill="auto"/>
            <w:vAlign w:val="center"/>
          </w:tcPr>
          <w:p w14:paraId="66D75A7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shd w:val="clear" w:color="auto" w:fill="auto"/>
            <w:vAlign w:val="center"/>
          </w:tcPr>
          <w:p w14:paraId="144F607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0.00253</w:t>
            </w:r>
          </w:p>
        </w:tc>
      </w:tr>
      <w:tr w14:paraId="27DF3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510D72D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4</w:t>
            </w:r>
            <w:r>
              <w:rPr>
                <w:rFonts w:hint="default" w:ascii="Times New Roman" w:hAnsi="Times New Roman" w:eastAsia="宋体" w:cs="Times New Roman"/>
                <w:color w:val="auto"/>
                <w:sz w:val="21"/>
                <w:szCs w:val="21"/>
              </w:rPr>
              <w:t>9</w:t>
            </w:r>
          </w:p>
        </w:tc>
        <w:tc>
          <w:tcPr>
            <w:tcW w:w="1139" w:type="pct"/>
            <w:shd w:val="clear" w:color="auto" w:fill="auto"/>
            <w:vAlign w:val="center"/>
          </w:tcPr>
          <w:p w14:paraId="0611DE3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4</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3B90712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3A6742E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11.4</w:t>
            </w:r>
          </w:p>
        </w:tc>
        <w:tc>
          <w:tcPr>
            <w:tcW w:w="705" w:type="pct"/>
            <w:vAlign w:val="center"/>
          </w:tcPr>
          <w:p w14:paraId="0D41FC6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4F6FADC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WK1290</w:t>
            </w:r>
          </w:p>
        </w:tc>
        <w:tc>
          <w:tcPr>
            <w:tcW w:w="578" w:type="pct"/>
            <w:shd w:val="clear" w:color="auto" w:fill="auto"/>
            <w:vAlign w:val="center"/>
          </w:tcPr>
          <w:p w14:paraId="0BF3791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shd w:val="clear" w:color="auto" w:fill="auto"/>
            <w:vAlign w:val="center"/>
          </w:tcPr>
          <w:p w14:paraId="6EB1365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0.00253</w:t>
            </w:r>
          </w:p>
        </w:tc>
      </w:tr>
      <w:tr w14:paraId="6FF47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5F3DE27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0</w:t>
            </w:r>
          </w:p>
        </w:tc>
        <w:tc>
          <w:tcPr>
            <w:tcW w:w="1139" w:type="pct"/>
            <w:shd w:val="clear" w:color="auto" w:fill="auto"/>
            <w:vAlign w:val="center"/>
          </w:tcPr>
          <w:p w14:paraId="2911466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shd w:val="clear" w:color="auto" w:fill="auto"/>
            <w:vAlign w:val="center"/>
          </w:tcPr>
          <w:p w14:paraId="0A5B0C1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vAlign w:val="center"/>
          </w:tcPr>
          <w:p w14:paraId="7D8DAA9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vAlign w:val="center"/>
          </w:tcPr>
          <w:p w14:paraId="4D2D923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984" w:type="dxa"/>
            <w:vAlign w:val="center"/>
          </w:tcPr>
          <w:p w14:paraId="36411B2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shd w:val="clear" w:color="auto" w:fill="auto"/>
            <w:vAlign w:val="center"/>
          </w:tcPr>
          <w:p w14:paraId="7495430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2A69BE5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0.00684</w:t>
            </w:r>
          </w:p>
        </w:tc>
      </w:tr>
      <w:tr w14:paraId="39EA9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3144E1C6">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1</w:t>
            </w:r>
          </w:p>
        </w:tc>
        <w:tc>
          <w:tcPr>
            <w:tcW w:w="1139" w:type="pct"/>
            <w:shd w:val="clear" w:color="auto" w:fill="auto"/>
            <w:vAlign w:val="center"/>
          </w:tcPr>
          <w:p w14:paraId="4EEBC5F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78E4306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15B16583">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11.1</w:t>
            </w:r>
          </w:p>
        </w:tc>
        <w:tc>
          <w:tcPr>
            <w:tcW w:w="705" w:type="pct"/>
            <w:vAlign w:val="center"/>
          </w:tcPr>
          <w:p w14:paraId="56E16F90">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984" w:type="dxa"/>
            <w:vAlign w:val="center"/>
          </w:tcPr>
          <w:p w14:paraId="468F86A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shd w:val="clear" w:color="auto" w:fill="auto"/>
            <w:vAlign w:val="center"/>
          </w:tcPr>
          <w:p w14:paraId="73FAA7B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一般草地</w:t>
            </w:r>
          </w:p>
        </w:tc>
        <w:tc>
          <w:tcPr>
            <w:tcW w:w="594" w:type="pct"/>
            <w:shd w:val="clear" w:color="auto" w:fill="auto"/>
            <w:vAlign w:val="center"/>
          </w:tcPr>
          <w:p w14:paraId="122A4B5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0.00517</w:t>
            </w:r>
          </w:p>
        </w:tc>
      </w:tr>
      <w:tr w14:paraId="0B3BC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728FDDE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2</w:t>
            </w:r>
          </w:p>
        </w:tc>
        <w:tc>
          <w:tcPr>
            <w:tcW w:w="1139" w:type="pct"/>
            <w:shd w:val="clear" w:color="auto" w:fill="auto"/>
            <w:vAlign w:val="center"/>
          </w:tcPr>
          <w:p w14:paraId="7134075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3</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3E56889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0DDA425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10.4</w:t>
            </w:r>
          </w:p>
        </w:tc>
        <w:tc>
          <w:tcPr>
            <w:tcW w:w="705" w:type="pct"/>
            <w:vAlign w:val="center"/>
          </w:tcPr>
          <w:p w14:paraId="31A9BCA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366DB42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TWZ1833</w:t>
            </w:r>
          </w:p>
        </w:tc>
        <w:tc>
          <w:tcPr>
            <w:tcW w:w="578" w:type="pct"/>
            <w:shd w:val="clear" w:color="auto" w:fill="auto"/>
            <w:vAlign w:val="center"/>
          </w:tcPr>
          <w:p w14:paraId="2092CA9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72CD98E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0.00272</w:t>
            </w:r>
          </w:p>
        </w:tc>
      </w:tr>
      <w:tr w14:paraId="6256C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CE7645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3</w:t>
            </w:r>
          </w:p>
        </w:tc>
        <w:tc>
          <w:tcPr>
            <w:tcW w:w="1139" w:type="pct"/>
            <w:shd w:val="clear" w:color="auto" w:fill="auto"/>
            <w:vAlign w:val="center"/>
          </w:tcPr>
          <w:p w14:paraId="12C1486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0</w:t>
            </w:r>
          </w:p>
        </w:tc>
        <w:tc>
          <w:tcPr>
            <w:tcW w:w="402" w:type="pct"/>
            <w:shd w:val="clear" w:color="auto" w:fill="auto"/>
            <w:vAlign w:val="center"/>
          </w:tcPr>
          <w:p w14:paraId="09FC623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0</w:t>
            </w:r>
          </w:p>
        </w:tc>
        <w:tc>
          <w:tcPr>
            <w:tcW w:w="595" w:type="pct"/>
            <w:vAlign w:val="center"/>
          </w:tcPr>
          <w:p w14:paraId="242661B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9.9</w:t>
            </w:r>
          </w:p>
        </w:tc>
        <w:tc>
          <w:tcPr>
            <w:tcW w:w="705" w:type="pct"/>
            <w:vAlign w:val="center"/>
          </w:tcPr>
          <w:p w14:paraId="1CF713C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4DE8E4C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TWZ2033</w:t>
            </w:r>
          </w:p>
        </w:tc>
        <w:tc>
          <w:tcPr>
            <w:tcW w:w="578" w:type="pct"/>
            <w:shd w:val="clear" w:color="auto" w:fill="auto"/>
            <w:vAlign w:val="center"/>
          </w:tcPr>
          <w:p w14:paraId="096E7C7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020D25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0.00264</w:t>
            </w:r>
          </w:p>
        </w:tc>
      </w:tr>
      <w:tr w14:paraId="313CD7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6E56CE7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4</w:t>
            </w:r>
          </w:p>
        </w:tc>
        <w:tc>
          <w:tcPr>
            <w:tcW w:w="1139" w:type="pct"/>
            <w:shd w:val="clear" w:color="auto" w:fill="auto"/>
            <w:vAlign w:val="center"/>
          </w:tcPr>
          <w:p w14:paraId="31A135A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1Y</w:t>
            </w:r>
            <w:r>
              <w:rPr>
                <w:rFonts w:hint="default" w:ascii="Times New Roman" w:hAnsi="Times New Roman" w:eastAsia="宋体" w:cs="Times New Roman"/>
                <w:color w:val="auto"/>
                <w:spacing w:val="12"/>
                <w:sz w:val="21"/>
                <w:szCs w:val="21"/>
              </w:rPr>
              <w:t>5</w:t>
            </w:r>
            <w:r>
              <w:rPr>
                <w:rFonts w:hint="default" w:ascii="Times New Roman" w:hAnsi="Times New Roman" w:eastAsia="宋体" w:cs="Times New Roman"/>
                <w:color w:val="auto"/>
                <w:spacing w:val="14"/>
                <w:sz w:val="21"/>
                <w:szCs w:val="21"/>
              </w:rPr>
              <w:t>-Z</w:t>
            </w:r>
            <w:r>
              <w:rPr>
                <w:rFonts w:hint="default" w:ascii="Times New Roman" w:hAnsi="Times New Roman" w:eastAsia="宋体" w:cs="Times New Roman"/>
                <w:color w:val="auto"/>
                <w:spacing w:val="12"/>
                <w:sz w:val="21"/>
                <w:szCs w:val="21"/>
              </w:rPr>
              <w:t>M</w:t>
            </w:r>
            <w:r>
              <w:rPr>
                <w:rFonts w:hint="default" w:ascii="Times New Roman" w:hAnsi="Times New Roman" w:eastAsia="宋体" w:cs="Times New Roman"/>
                <w:color w:val="auto"/>
                <w:spacing w:val="14"/>
                <w:sz w:val="21"/>
                <w:szCs w:val="21"/>
              </w:rPr>
              <w:t>H</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-3</w:t>
            </w:r>
            <w:r>
              <w:rPr>
                <w:rFonts w:hint="default" w:ascii="Times New Roman" w:hAnsi="Times New Roman" w:eastAsia="宋体" w:cs="Times New Roman"/>
                <w:color w:val="auto"/>
                <w:sz w:val="21"/>
                <w:szCs w:val="21"/>
              </w:rPr>
              <w:t>6</w:t>
            </w:r>
          </w:p>
        </w:tc>
        <w:tc>
          <w:tcPr>
            <w:tcW w:w="402" w:type="pct"/>
            <w:shd w:val="clear" w:color="auto" w:fill="auto"/>
            <w:vAlign w:val="center"/>
          </w:tcPr>
          <w:p w14:paraId="1C7EF18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3</w:t>
            </w:r>
            <w:r>
              <w:rPr>
                <w:rFonts w:hint="default" w:ascii="Times New Roman" w:hAnsi="Times New Roman" w:eastAsia="宋体" w:cs="Times New Roman"/>
                <w:color w:val="auto"/>
                <w:sz w:val="21"/>
                <w:szCs w:val="21"/>
              </w:rPr>
              <w:t>6</w:t>
            </w:r>
          </w:p>
        </w:tc>
        <w:tc>
          <w:tcPr>
            <w:tcW w:w="595" w:type="pct"/>
            <w:vAlign w:val="center"/>
          </w:tcPr>
          <w:p w14:paraId="2EEA2D0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9.9</w:t>
            </w:r>
          </w:p>
        </w:tc>
        <w:tc>
          <w:tcPr>
            <w:tcW w:w="705" w:type="pct"/>
            <w:vAlign w:val="center"/>
          </w:tcPr>
          <w:p w14:paraId="63CDA416">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单回路直线塔</w:t>
            </w:r>
          </w:p>
        </w:tc>
        <w:tc>
          <w:tcPr>
            <w:tcW w:w="984" w:type="dxa"/>
            <w:vAlign w:val="center"/>
          </w:tcPr>
          <w:p w14:paraId="08DFF39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TWZ2036</w:t>
            </w:r>
          </w:p>
        </w:tc>
        <w:tc>
          <w:tcPr>
            <w:tcW w:w="578" w:type="pct"/>
            <w:shd w:val="clear" w:color="auto" w:fill="auto"/>
            <w:vAlign w:val="center"/>
          </w:tcPr>
          <w:p w14:paraId="29916EE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2F10BC1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0.00343</w:t>
            </w:r>
          </w:p>
        </w:tc>
      </w:tr>
      <w:tr w14:paraId="56A18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2E57D88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5</w:t>
            </w:r>
          </w:p>
        </w:tc>
        <w:tc>
          <w:tcPr>
            <w:tcW w:w="1139" w:type="pct"/>
            <w:shd w:val="clear" w:color="auto" w:fill="auto"/>
            <w:vAlign w:val="center"/>
          </w:tcPr>
          <w:p w14:paraId="7D41B7C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12878AD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2FBF11F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vAlign w:val="center"/>
          </w:tcPr>
          <w:p w14:paraId="15DA266B">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984" w:type="dxa"/>
            <w:vAlign w:val="center"/>
          </w:tcPr>
          <w:p w14:paraId="279C12CF">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TWZ2242</w:t>
            </w:r>
          </w:p>
        </w:tc>
        <w:tc>
          <w:tcPr>
            <w:tcW w:w="578" w:type="pct"/>
            <w:shd w:val="clear" w:color="auto" w:fill="auto"/>
            <w:vAlign w:val="center"/>
          </w:tcPr>
          <w:p w14:paraId="3B71192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11B6BAF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0.00441</w:t>
            </w:r>
          </w:p>
        </w:tc>
      </w:tr>
      <w:tr w14:paraId="751C1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75BA83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6</w:t>
            </w:r>
          </w:p>
        </w:tc>
        <w:tc>
          <w:tcPr>
            <w:tcW w:w="1139" w:type="pct"/>
            <w:shd w:val="clear" w:color="auto" w:fill="auto"/>
            <w:vAlign w:val="center"/>
          </w:tcPr>
          <w:p w14:paraId="271C565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1</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4F24E36A">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0132D70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705" w:type="pct"/>
            <w:vAlign w:val="center"/>
          </w:tcPr>
          <w:p w14:paraId="547D307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单回路转角塔</w:t>
            </w:r>
          </w:p>
        </w:tc>
        <w:tc>
          <w:tcPr>
            <w:tcW w:w="984" w:type="dxa"/>
            <w:vAlign w:val="center"/>
          </w:tcPr>
          <w:p w14:paraId="7C87E8A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TWJ2245</w:t>
            </w:r>
          </w:p>
        </w:tc>
        <w:tc>
          <w:tcPr>
            <w:tcW w:w="578" w:type="pct"/>
            <w:shd w:val="clear" w:color="auto" w:fill="auto"/>
            <w:vAlign w:val="center"/>
          </w:tcPr>
          <w:p w14:paraId="17D5217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6F4FDD6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0.00416</w:t>
            </w:r>
          </w:p>
        </w:tc>
      </w:tr>
      <w:tr w14:paraId="3831F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002D7B3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7</w:t>
            </w:r>
          </w:p>
        </w:tc>
        <w:tc>
          <w:tcPr>
            <w:tcW w:w="1139" w:type="pct"/>
            <w:shd w:val="clear" w:color="auto" w:fill="auto"/>
            <w:vAlign w:val="center"/>
          </w:tcPr>
          <w:p w14:paraId="231E709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420AD3C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17F6311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19.5</w:t>
            </w:r>
          </w:p>
        </w:tc>
        <w:tc>
          <w:tcPr>
            <w:tcW w:w="705" w:type="pct"/>
            <w:vAlign w:val="center"/>
          </w:tcPr>
          <w:p w14:paraId="142FAE52">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双回路</w:t>
            </w:r>
            <w:r>
              <w:rPr>
                <w:rFonts w:hint="default" w:ascii="Times New Roman" w:hAnsi="Times New Roman" w:eastAsia="宋体" w:cs="Times New Roman"/>
                <w:b w:val="0"/>
                <w:bCs w:val="0"/>
                <w:color w:val="auto"/>
                <w:kern w:val="0"/>
                <w:sz w:val="21"/>
                <w:szCs w:val="21"/>
                <w:lang w:val="en-US" w:eastAsia="zh-CN" w:bidi="ar"/>
              </w:rPr>
              <w:t>转角塔</w:t>
            </w:r>
          </w:p>
        </w:tc>
        <w:tc>
          <w:tcPr>
            <w:tcW w:w="984" w:type="dxa"/>
            <w:vAlign w:val="center"/>
          </w:tcPr>
          <w:p w14:paraId="6C4951EE">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WK1070</w:t>
            </w:r>
          </w:p>
        </w:tc>
        <w:tc>
          <w:tcPr>
            <w:tcW w:w="578" w:type="pct"/>
            <w:shd w:val="clear" w:color="auto" w:fill="auto"/>
            <w:vAlign w:val="center"/>
          </w:tcPr>
          <w:p w14:paraId="4728B71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一般耕地</w:t>
            </w:r>
          </w:p>
        </w:tc>
        <w:tc>
          <w:tcPr>
            <w:tcW w:w="594" w:type="pct"/>
            <w:shd w:val="clear" w:color="auto" w:fill="auto"/>
            <w:vAlign w:val="center"/>
          </w:tcPr>
          <w:p w14:paraId="1D5604D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0.0133</w:t>
            </w:r>
          </w:p>
        </w:tc>
      </w:tr>
      <w:tr w14:paraId="26DFC5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1641577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8</w:t>
            </w:r>
          </w:p>
        </w:tc>
        <w:tc>
          <w:tcPr>
            <w:tcW w:w="1139" w:type="pct"/>
            <w:shd w:val="clear" w:color="auto" w:fill="auto"/>
            <w:vAlign w:val="center"/>
          </w:tcPr>
          <w:p w14:paraId="027D700D">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4</w:t>
            </w:r>
          </w:p>
        </w:tc>
        <w:tc>
          <w:tcPr>
            <w:tcW w:w="402" w:type="pct"/>
            <w:shd w:val="clear" w:color="auto" w:fill="auto"/>
            <w:vAlign w:val="center"/>
          </w:tcPr>
          <w:p w14:paraId="74B4091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4</w:t>
            </w:r>
          </w:p>
        </w:tc>
        <w:tc>
          <w:tcPr>
            <w:tcW w:w="595" w:type="pct"/>
            <w:vAlign w:val="center"/>
          </w:tcPr>
          <w:p w14:paraId="12B5F7F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18.6</w:t>
            </w:r>
          </w:p>
        </w:tc>
        <w:tc>
          <w:tcPr>
            <w:tcW w:w="705" w:type="pct"/>
            <w:vAlign w:val="center"/>
          </w:tcPr>
          <w:p w14:paraId="24FBCA6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双回路</w:t>
            </w:r>
            <w:r>
              <w:rPr>
                <w:rFonts w:hint="default" w:ascii="Times New Roman" w:hAnsi="Times New Roman" w:eastAsia="宋体" w:cs="Times New Roman"/>
                <w:b w:val="0"/>
                <w:bCs w:val="0"/>
                <w:color w:val="auto"/>
                <w:kern w:val="0"/>
                <w:sz w:val="21"/>
                <w:szCs w:val="21"/>
                <w:lang w:val="en-US" w:eastAsia="zh-CN" w:bidi="ar"/>
              </w:rPr>
              <w:t>转角塔</w:t>
            </w:r>
          </w:p>
        </w:tc>
        <w:tc>
          <w:tcPr>
            <w:tcW w:w="984" w:type="dxa"/>
            <w:vAlign w:val="center"/>
          </w:tcPr>
          <w:p w14:paraId="06DD1117">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WK1280</w:t>
            </w:r>
          </w:p>
        </w:tc>
        <w:tc>
          <w:tcPr>
            <w:tcW w:w="578" w:type="pct"/>
            <w:shd w:val="clear" w:color="auto" w:fill="auto"/>
            <w:vAlign w:val="center"/>
          </w:tcPr>
          <w:p w14:paraId="73583E1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基本农田</w:t>
            </w:r>
          </w:p>
        </w:tc>
        <w:tc>
          <w:tcPr>
            <w:tcW w:w="594" w:type="pct"/>
            <w:shd w:val="clear" w:color="auto" w:fill="auto"/>
            <w:vAlign w:val="center"/>
          </w:tcPr>
          <w:p w14:paraId="7A3EEE92">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0.0133</w:t>
            </w:r>
          </w:p>
        </w:tc>
      </w:tr>
      <w:tr w14:paraId="25FEE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37F8570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5</w:t>
            </w:r>
            <w:r>
              <w:rPr>
                <w:rFonts w:hint="default" w:ascii="Times New Roman" w:hAnsi="Times New Roman" w:eastAsia="宋体" w:cs="Times New Roman"/>
                <w:color w:val="auto"/>
                <w:sz w:val="21"/>
                <w:szCs w:val="21"/>
              </w:rPr>
              <w:t>9</w:t>
            </w:r>
          </w:p>
        </w:tc>
        <w:tc>
          <w:tcPr>
            <w:tcW w:w="1139" w:type="pct"/>
            <w:shd w:val="clear" w:color="auto" w:fill="auto"/>
            <w:vAlign w:val="center"/>
          </w:tcPr>
          <w:p w14:paraId="50B8AFE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4</w:t>
            </w:r>
          </w:p>
        </w:tc>
        <w:tc>
          <w:tcPr>
            <w:tcW w:w="402" w:type="pct"/>
            <w:shd w:val="clear" w:color="auto" w:fill="auto"/>
            <w:vAlign w:val="center"/>
          </w:tcPr>
          <w:p w14:paraId="16DA0999">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4</w:t>
            </w:r>
          </w:p>
        </w:tc>
        <w:tc>
          <w:tcPr>
            <w:tcW w:w="595" w:type="pct"/>
            <w:vAlign w:val="center"/>
          </w:tcPr>
          <w:p w14:paraId="4EAA19D4">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14.7</w:t>
            </w:r>
          </w:p>
        </w:tc>
        <w:tc>
          <w:tcPr>
            <w:tcW w:w="705" w:type="pct"/>
            <w:vAlign w:val="center"/>
          </w:tcPr>
          <w:p w14:paraId="1BFD7E3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双回路</w:t>
            </w:r>
            <w:r>
              <w:rPr>
                <w:rFonts w:hint="default" w:ascii="Times New Roman" w:hAnsi="Times New Roman" w:eastAsia="宋体" w:cs="Times New Roman"/>
                <w:b w:val="0"/>
                <w:bCs w:val="0"/>
                <w:color w:val="auto"/>
                <w:kern w:val="0"/>
                <w:sz w:val="21"/>
                <w:szCs w:val="21"/>
                <w:lang w:val="en-US" w:eastAsia="zh-CN" w:bidi="ar"/>
              </w:rPr>
              <w:t>转角塔</w:t>
            </w:r>
          </w:p>
        </w:tc>
        <w:tc>
          <w:tcPr>
            <w:tcW w:w="984" w:type="dxa"/>
            <w:vAlign w:val="center"/>
          </w:tcPr>
          <w:p w14:paraId="30E963D1">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WK1290</w:t>
            </w:r>
          </w:p>
        </w:tc>
        <w:tc>
          <w:tcPr>
            <w:tcW w:w="578" w:type="pct"/>
            <w:shd w:val="clear" w:color="auto" w:fill="auto"/>
            <w:vAlign w:val="center"/>
          </w:tcPr>
          <w:p w14:paraId="4CD09D6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基本农田</w:t>
            </w:r>
          </w:p>
        </w:tc>
        <w:tc>
          <w:tcPr>
            <w:tcW w:w="594" w:type="pct"/>
            <w:shd w:val="clear" w:color="auto" w:fill="auto"/>
            <w:vAlign w:val="center"/>
          </w:tcPr>
          <w:p w14:paraId="0F6CB614">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0.00752</w:t>
            </w:r>
          </w:p>
        </w:tc>
      </w:tr>
      <w:tr w14:paraId="471F21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0E59263B">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6</w:t>
            </w:r>
            <w:r>
              <w:rPr>
                <w:rFonts w:hint="default" w:ascii="Times New Roman" w:hAnsi="Times New Roman" w:eastAsia="宋体" w:cs="Times New Roman"/>
                <w:color w:val="auto"/>
                <w:sz w:val="21"/>
                <w:szCs w:val="21"/>
              </w:rPr>
              <w:t>0</w:t>
            </w:r>
          </w:p>
        </w:tc>
        <w:tc>
          <w:tcPr>
            <w:tcW w:w="1139" w:type="pct"/>
            <w:shd w:val="clear" w:color="auto" w:fill="auto"/>
            <w:vAlign w:val="center"/>
          </w:tcPr>
          <w:p w14:paraId="284471EE">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-2</w:t>
            </w:r>
            <w:r>
              <w:rPr>
                <w:rFonts w:hint="default" w:ascii="Times New Roman" w:hAnsi="Times New Roman" w:eastAsia="宋体" w:cs="Times New Roman"/>
                <w:color w:val="auto"/>
                <w:sz w:val="21"/>
                <w:szCs w:val="21"/>
              </w:rPr>
              <w:t>7</w:t>
            </w:r>
          </w:p>
        </w:tc>
        <w:tc>
          <w:tcPr>
            <w:tcW w:w="402" w:type="pct"/>
            <w:shd w:val="clear" w:color="auto" w:fill="auto"/>
            <w:vAlign w:val="center"/>
          </w:tcPr>
          <w:p w14:paraId="0BE569A0">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z w:val="21"/>
                <w:szCs w:val="21"/>
              </w:rPr>
              <w:t>7</w:t>
            </w:r>
          </w:p>
        </w:tc>
        <w:tc>
          <w:tcPr>
            <w:tcW w:w="595" w:type="pct"/>
            <w:vAlign w:val="center"/>
          </w:tcPr>
          <w:p w14:paraId="4B43F3BC">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19.5</w:t>
            </w:r>
          </w:p>
        </w:tc>
        <w:tc>
          <w:tcPr>
            <w:tcW w:w="705" w:type="pct"/>
            <w:vAlign w:val="center"/>
          </w:tcPr>
          <w:p w14:paraId="79D7DC09">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双回路</w:t>
            </w:r>
            <w:r>
              <w:rPr>
                <w:rFonts w:hint="default" w:ascii="Times New Roman" w:hAnsi="Times New Roman" w:eastAsia="宋体" w:cs="Times New Roman"/>
                <w:b w:val="0"/>
                <w:bCs w:val="0"/>
                <w:color w:val="auto"/>
                <w:kern w:val="0"/>
                <w:sz w:val="21"/>
                <w:szCs w:val="21"/>
                <w:lang w:val="en-US" w:eastAsia="zh-CN" w:bidi="ar"/>
              </w:rPr>
              <w:t>转角塔</w:t>
            </w:r>
          </w:p>
        </w:tc>
        <w:tc>
          <w:tcPr>
            <w:tcW w:w="984" w:type="dxa"/>
            <w:vAlign w:val="center"/>
          </w:tcPr>
          <w:p w14:paraId="2F118CAD">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WK1295</w:t>
            </w:r>
          </w:p>
        </w:tc>
        <w:tc>
          <w:tcPr>
            <w:tcW w:w="578" w:type="pct"/>
            <w:shd w:val="clear" w:color="auto" w:fill="auto"/>
            <w:vAlign w:val="center"/>
          </w:tcPr>
          <w:p w14:paraId="6C7E91E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2C33B3A5">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0.0133</w:t>
            </w:r>
          </w:p>
        </w:tc>
      </w:tr>
      <w:tr w14:paraId="6E214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auto"/>
            <w:vAlign w:val="center"/>
          </w:tcPr>
          <w:p w14:paraId="30AE90B1">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N</w:t>
            </w:r>
            <w:r>
              <w:rPr>
                <w:rFonts w:hint="default" w:ascii="Times New Roman" w:hAnsi="Times New Roman" w:eastAsia="宋体" w:cs="Times New Roman"/>
                <w:color w:val="auto"/>
                <w:spacing w:val="14"/>
                <w:sz w:val="21"/>
                <w:szCs w:val="21"/>
              </w:rPr>
              <w:t>6</w:t>
            </w:r>
            <w:r>
              <w:rPr>
                <w:rFonts w:hint="default" w:ascii="Times New Roman" w:hAnsi="Times New Roman" w:eastAsia="宋体" w:cs="Times New Roman"/>
                <w:color w:val="auto"/>
                <w:sz w:val="21"/>
                <w:szCs w:val="21"/>
              </w:rPr>
              <w:t>1</w:t>
            </w:r>
          </w:p>
        </w:tc>
        <w:tc>
          <w:tcPr>
            <w:tcW w:w="1139" w:type="pct"/>
            <w:shd w:val="clear" w:color="auto" w:fill="auto"/>
            <w:vAlign w:val="center"/>
          </w:tcPr>
          <w:p w14:paraId="08384D78">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9"/>
                <w:sz w:val="21"/>
                <w:szCs w:val="21"/>
              </w:rPr>
              <w:t>2</w:t>
            </w:r>
            <w:r>
              <w:rPr>
                <w:rFonts w:hint="default" w:ascii="Times New Roman" w:hAnsi="Times New Roman" w:eastAsia="宋体" w:cs="Times New Roman"/>
                <w:color w:val="auto"/>
                <w:spacing w:val="14"/>
                <w:sz w:val="21"/>
                <w:szCs w:val="21"/>
              </w:rPr>
              <w:t>D</w:t>
            </w:r>
            <w:r>
              <w:rPr>
                <w:rFonts w:hint="default" w:ascii="Times New Roman" w:hAnsi="Times New Roman" w:eastAsia="宋体" w:cs="Times New Roman"/>
                <w:color w:val="auto"/>
                <w:spacing w:val="12"/>
                <w:sz w:val="21"/>
                <w:szCs w:val="21"/>
              </w:rPr>
              <w:t>2</w:t>
            </w:r>
            <w:r>
              <w:rPr>
                <w:rFonts w:hint="default" w:ascii="Times New Roman" w:hAnsi="Times New Roman" w:eastAsia="宋体" w:cs="Times New Roman"/>
                <w:color w:val="auto"/>
                <w:spacing w:val="14"/>
                <w:sz w:val="21"/>
                <w:szCs w:val="21"/>
              </w:rPr>
              <w:t>Y5</w:t>
            </w:r>
            <w:r>
              <w:rPr>
                <w:rFonts w:hint="default" w:ascii="Times New Roman" w:hAnsi="Times New Roman" w:eastAsia="宋体" w:cs="Times New Roman"/>
                <w:color w:val="auto"/>
                <w:spacing w:val="12"/>
                <w:sz w:val="21"/>
                <w:szCs w:val="21"/>
              </w:rPr>
              <w:t>-</w:t>
            </w:r>
            <w:r>
              <w:rPr>
                <w:rFonts w:hint="default" w:ascii="Times New Roman" w:hAnsi="Times New Roman" w:eastAsia="宋体" w:cs="Times New Roman"/>
                <w:color w:val="auto"/>
                <w:spacing w:val="14"/>
                <w:sz w:val="21"/>
                <w:szCs w:val="21"/>
              </w:rPr>
              <w:t>J</w:t>
            </w:r>
            <w:r>
              <w:rPr>
                <w:rFonts w:hint="default" w:ascii="Times New Roman" w:hAnsi="Times New Roman" w:eastAsia="宋体" w:cs="Times New Roman"/>
                <w:color w:val="auto"/>
                <w:spacing w:val="12"/>
                <w:sz w:val="21"/>
                <w:szCs w:val="21"/>
              </w:rPr>
              <w:t>D</w:t>
            </w:r>
            <w:r>
              <w:rPr>
                <w:rFonts w:hint="default" w:ascii="Times New Roman" w:hAnsi="Times New Roman" w:eastAsia="宋体" w:cs="Times New Roman"/>
                <w:color w:val="auto"/>
                <w:spacing w:val="14"/>
                <w:sz w:val="21"/>
                <w:szCs w:val="21"/>
              </w:rPr>
              <w:t>-3</w:t>
            </w:r>
            <w:r>
              <w:rPr>
                <w:rFonts w:hint="eastAsia" w:ascii="Times New Roman" w:hAnsi="Times New Roman" w:cs="Times New Roman"/>
                <w:color w:val="auto"/>
                <w:spacing w:val="14"/>
                <w:sz w:val="21"/>
                <w:szCs w:val="21"/>
                <w:lang w:val="en-US" w:eastAsia="zh-CN"/>
              </w:rPr>
              <w:t>6</w:t>
            </w:r>
          </w:p>
        </w:tc>
        <w:tc>
          <w:tcPr>
            <w:tcW w:w="402" w:type="pct"/>
            <w:shd w:val="clear" w:color="auto" w:fill="auto"/>
            <w:vAlign w:val="center"/>
          </w:tcPr>
          <w:p w14:paraId="404DD6F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pacing w:val="9"/>
                <w:sz w:val="21"/>
                <w:szCs w:val="21"/>
                <w:lang w:val="en-US" w:eastAsia="zh-CN"/>
              </w:rPr>
              <w:t>36</w:t>
            </w:r>
          </w:p>
        </w:tc>
        <w:tc>
          <w:tcPr>
            <w:tcW w:w="595" w:type="pct"/>
            <w:vAlign w:val="center"/>
          </w:tcPr>
          <w:p w14:paraId="6929A84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20</w:t>
            </w:r>
          </w:p>
        </w:tc>
        <w:tc>
          <w:tcPr>
            <w:tcW w:w="705" w:type="pct"/>
            <w:vAlign w:val="center"/>
          </w:tcPr>
          <w:p w14:paraId="5C5B04D8">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双回路</w:t>
            </w:r>
            <w:r>
              <w:rPr>
                <w:rFonts w:hint="default" w:ascii="Times New Roman" w:hAnsi="Times New Roman" w:eastAsia="宋体" w:cs="Times New Roman"/>
                <w:b w:val="0"/>
                <w:bCs w:val="0"/>
                <w:color w:val="auto"/>
                <w:kern w:val="0"/>
                <w:sz w:val="21"/>
                <w:szCs w:val="21"/>
                <w:lang w:val="en-US" w:eastAsia="zh-CN" w:bidi="ar"/>
              </w:rPr>
              <w:t>转角塔</w:t>
            </w:r>
          </w:p>
        </w:tc>
        <w:tc>
          <w:tcPr>
            <w:tcW w:w="984" w:type="dxa"/>
            <w:vAlign w:val="center"/>
          </w:tcPr>
          <w:p w14:paraId="1B253F0A">
            <w:pPr>
              <w:keepNext w:val="0"/>
              <w:keepLines w:val="0"/>
              <w:pageBreakBefore w:val="0"/>
              <w:widowControl/>
              <w:wordWrap/>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WK16100</w:t>
            </w:r>
          </w:p>
        </w:tc>
        <w:tc>
          <w:tcPr>
            <w:tcW w:w="578" w:type="pct"/>
            <w:shd w:val="clear" w:color="auto" w:fill="auto"/>
            <w:vAlign w:val="center"/>
          </w:tcPr>
          <w:p w14:paraId="72442633">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一般林地</w:t>
            </w:r>
          </w:p>
        </w:tc>
        <w:tc>
          <w:tcPr>
            <w:tcW w:w="594" w:type="pct"/>
            <w:shd w:val="clear" w:color="auto" w:fill="auto"/>
            <w:vAlign w:val="center"/>
          </w:tcPr>
          <w:p w14:paraId="6490B25F">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0.01545</w:t>
            </w:r>
          </w:p>
        </w:tc>
      </w:tr>
      <w:tr w14:paraId="6F280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405" w:type="pct"/>
            <w:gridSpan w:val="7"/>
            <w:shd w:val="clear" w:color="auto" w:fill="auto"/>
            <w:vAlign w:val="center"/>
          </w:tcPr>
          <w:p w14:paraId="692CFB87">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合计</w:t>
            </w:r>
          </w:p>
        </w:tc>
        <w:tc>
          <w:tcPr>
            <w:tcW w:w="594" w:type="pct"/>
            <w:shd w:val="clear" w:color="auto" w:fill="auto"/>
            <w:vAlign w:val="center"/>
          </w:tcPr>
          <w:p w14:paraId="39AB4B4C">
            <w:pPr>
              <w:pStyle w:val="51"/>
              <w:keepNext w:val="0"/>
              <w:keepLines w:val="0"/>
              <w:pageBreakBefore w:val="0"/>
              <w:widowControl w:val="0"/>
              <w:kinsoku w:val="0"/>
              <w:wordWrap/>
              <w:overflowPunct w:val="0"/>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0.38</w:t>
            </w:r>
          </w:p>
        </w:tc>
      </w:tr>
    </w:tbl>
    <w:p w14:paraId="04F76F70">
      <w:pPr>
        <w:pStyle w:val="4"/>
        <w:adjustRightInd w:val="0"/>
        <w:snapToGrid w:val="0"/>
        <w:spacing w:line="440" w:lineRule="exact"/>
        <w:rPr>
          <w:rFonts w:hint="eastAsia" w:ascii="Times New Roman" w:hAnsi="Times New Roman" w:eastAsia="宋体" w:cs="Times New Roman"/>
          <w:color w:val="auto"/>
        </w:rPr>
      </w:pPr>
      <w:bookmarkStart w:id="150" w:name="_Toc5955"/>
      <w:bookmarkStart w:id="151" w:name="_Toc14507"/>
      <w:bookmarkStart w:id="152" w:name="_Toc25140"/>
      <w:r>
        <w:rPr>
          <w:rFonts w:ascii="Times New Roman" w:hAnsi="Times New Roman" w:eastAsia="宋体" w:cs="Times New Roman"/>
          <w:color w:val="auto"/>
        </w:rPr>
        <w:t>3.2 电磁环境影响因素识别</w:t>
      </w:r>
      <w:bookmarkEnd w:id="150"/>
      <w:bookmarkEnd w:id="151"/>
      <w:bookmarkEnd w:id="152"/>
    </w:p>
    <w:p w14:paraId="099118D1">
      <w:pPr>
        <w:pStyle w:val="5"/>
        <w:adjustRightInd w:val="0"/>
        <w:snapToGrid w:val="0"/>
        <w:spacing w:line="440" w:lineRule="exact"/>
        <w:rPr>
          <w:rFonts w:hint="eastAsia" w:ascii="Times New Roman" w:hAnsi="Times New Roman" w:cs="Times New Roman"/>
          <w:color w:val="auto"/>
        </w:rPr>
      </w:pPr>
      <w:bookmarkStart w:id="153" w:name="_Toc15996"/>
      <w:bookmarkStart w:id="154" w:name="_Toc8291"/>
      <w:r>
        <w:rPr>
          <w:rFonts w:ascii="Times New Roman" w:hAnsi="Times New Roman" w:cs="Times New Roman"/>
          <w:color w:val="auto"/>
        </w:rPr>
        <w:t>3.2.1施工期</w:t>
      </w:r>
      <w:bookmarkEnd w:id="153"/>
      <w:bookmarkEnd w:id="154"/>
    </w:p>
    <w:p w14:paraId="71664867">
      <w:pPr>
        <w:adjustRightInd w:val="0"/>
        <w:snapToGrid w:val="0"/>
        <w:spacing w:line="440" w:lineRule="exact"/>
        <w:ind w:firstLine="480" w:firstLineChars="200"/>
        <w:jc w:val="left"/>
        <w:rPr>
          <w:rFonts w:hint="eastAsia" w:ascii="Times New Roman" w:hAnsi="Times New Roman" w:cs="Times New Roman"/>
          <w:color w:val="auto"/>
          <w:sz w:val="24"/>
          <w:szCs w:val="24"/>
        </w:rPr>
      </w:pPr>
      <w:r>
        <w:rPr>
          <w:rFonts w:ascii="Times New Roman" w:hAnsi="Times New Roman" w:cs="Times New Roman"/>
          <w:color w:val="auto"/>
          <w:sz w:val="24"/>
          <w:szCs w:val="24"/>
        </w:rPr>
        <w:t>施工期间，本项目为220kV输变电项目，工程施工主要是输电线路施工，输电线路施工主要有塔基基础开挖、输电线路架设等。施工时，变电站及输电线路不带电，无电磁影响。</w:t>
      </w:r>
    </w:p>
    <w:p w14:paraId="4861FB9C">
      <w:pPr>
        <w:pStyle w:val="5"/>
        <w:adjustRightInd w:val="0"/>
        <w:snapToGrid w:val="0"/>
        <w:spacing w:line="440" w:lineRule="exact"/>
        <w:rPr>
          <w:rFonts w:hint="eastAsia" w:ascii="Times New Roman" w:hAnsi="Times New Roman" w:cs="Times New Roman"/>
          <w:color w:val="auto"/>
        </w:rPr>
      </w:pPr>
      <w:bookmarkStart w:id="155" w:name="_Toc7772"/>
      <w:bookmarkStart w:id="156" w:name="_Toc23117"/>
      <w:r>
        <w:rPr>
          <w:rFonts w:ascii="Times New Roman" w:hAnsi="Times New Roman" w:cs="Times New Roman"/>
          <w:color w:val="auto"/>
        </w:rPr>
        <w:t>3.2.2运行期</w:t>
      </w:r>
      <w:bookmarkEnd w:id="155"/>
      <w:bookmarkEnd w:id="156"/>
    </w:p>
    <w:p w14:paraId="090E9087">
      <w:pPr>
        <w:adjustRightInd w:val="0"/>
        <w:snapToGrid w:val="0"/>
        <w:spacing w:line="440" w:lineRule="exact"/>
        <w:ind w:firstLine="480" w:firstLineChars="200"/>
        <w:jc w:val="left"/>
        <w:rPr>
          <w:rFonts w:hint="eastAsia" w:ascii="Times New Roman" w:hAnsi="Times New Roman" w:cs="Times New Roman"/>
          <w:color w:val="auto"/>
          <w:sz w:val="24"/>
          <w:szCs w:val="24"/>
        </w:rPr>
      </w:pPr>
      <w:r>
        <w:rPr>
          <w:rFonts w:ascii="Times New Roman" w:hAnsi="Times New Roman" w:cs="Times New Roman"/>
          <w:color w:val="auto"/>
          <w:sz w:val="24"/>
          <w:szCs w:val="24"/>
        </w:rPr>
        <w:t>根据本工程的性质，输电线路运行期的环境影响主要有工频电场、工频磁场以及噪声，输电线路运行期不产生废气、废水、固体废物。</w:t>
      </w:r>
    </w:p>
    <w:p w14:paraId="585716B1">
      <w:pPr>
        <w:adjustRightInd w:val="0"/>
        <w:snapToGrid w:val="0"/>
        <w:spacing w:line="440" w:lineRule="exact"/>
        <w:ind w:firstLine="480" w:firstLineChars="200"/>
        <w:jc w:val="left"/>
        <w:rPr>
          <w:rFonts w:hint="eastAsia" w:ascii="Times New Roman" w:hAnsi="Times New Roman" w:cs="Times New Roman"/>
          <w:b/>
          <w:bCs/>
          <w:color w:val="auto"/>
          <w:kern w:val="44"/>
          <w:sz w:val="28"/>
          <w:szCs w:val="44"/>
        </w:rPr>
      </w:pPr>
      <w:r>
        <w:rPr>
          <w:rFonts w:ascii="Times New Roman" w:hAnsi="Times New Roman" w:cs="Times New Roman"/>
          <w:color w:val="auto"/>
          <w:sz w:val="24"/>
          <w:szCs w:val="24"/>
        </w:rPr>
        <w:t>输电线路运行时，输电线路（高电位）与大地（零电位）之间的位差，形成较强的工频（50Hz）电场；电流通过，产生一定的工频磁场。</w:t>
      </w:r>
      <w:r>
        <w:rPr>
          <w:rFonts w:ascii="Times New Roman" w:hAnsi="Times New Roman" w:cs="Times New Roman"/>
          <w:color w:val="auto"/>
        </w:rPr>
        <w:br w:type="page"/>
      </w:r>
    </w:p>
    <w:p w14:paraId="3AF646A2">
      <w:pPr>
        <w:pStyle w:val="3"/>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cs="Times New Roman"/>
          <w:color w:val="auto"/>
        </w:rPr>
      </w:pPr>
      <w:bookmarkStart w:id="157" w:name="_Toc6948"/>
      <w:bookmarkStart w:id="158" w:name="_Toc74062923"/>
      <w:r>
        <w:rPr>
          <w:rFonts w:ascii="Times New Roman" w:hAnsi="Times New Roman" w:cs="Times New Roman"/>
          <w:color w:val="auto"/>
        </w:rPr>
        <w:t>4 电磁环境质量现状</w:t>
      </w:r>
      <w:bookmarkEnd w:id="157"/>
    </w:p>
    <w:p w14:paraId="1FF3E45F">
      <w:pPr>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szCs w:val="24"/>
        </w:rPr>
      </w:pPr>
      <w:r>
        <w:rPr>
          <w:rFonts w:ascii="Times New Roman" w:hAnsi="Times New Roman" w:cs="Times New Roman"/>
          <w:color w:val="auto"/>
          <w:sz w:val="24"/>
          <w:szCs w:val="24"/>
        </w:rPr>
        <w:t>为了解本项目区域电磁环境质量现状，</w:t>
      </w:r>
      <w:r>
        <w:rPr>
          <w:rFonts w:ascii="Times New Roman" w:hAnsi="Times New Roman"/>
          <w:color w:val="auto"/>
          <w:sz w:val="24"/>
          <w:szCs w:val="24"/>
        </w:rPr>
        <w:t>202</w:t>
      </w:r>
      <w:r>
        <w:rPr>
          <w:rFonts w:hint="eastAsia" w:ascii="Times New Roman" w:hAnsi="Times New Roman"/>
          <w:color w:val="auto"/>
          <w:sz w:val="24"/>
          <w:szCs w:val="24"/>
          <w:lang w:val="en-US" w:eastAsia="zh-CN"/>
        </w:rPr>
        <w:t>6</w:t>
      </w:r>
      <w:r>
        <w:rPr>
          <w:rFonts w:ascii="Times New Roman" w:hAnsi="Times New Roman"/>
          <w:color w:val="auto"/>
          <w:sz w:val="24"/>
          <w:szCs w:val="24"/>
        </w:rPr>
        <w:t>年</w:t>
      </w:r>
      <w:r>
        <w:rPr>
          <w:rFonts w:hint="eastAsia" w:ascii="Times New Roman" w:hAnsi="Times New Roman"/>
          <w:color w:val="auto"/>
          <w:sz w:val="24"/>
          <w:szCs w:val="24"/>
          <w:lang w:val="en-US" w:eastAsia="zh-CN"/>
        </w:rPr>
        <w:t>5</w:t>
      </w:r>
      <w:r>
        <w:rPr>
          <w:rFonts w:ascii="Times New Roman" w:hAnsi="Times New Roman"/>
          <w:color w:val="auto"/>
          <w:sz w:val="24"/>
          <w:szCs w:val="24"/>
        </w:rPr>
        <w:t>月</w:t>
      </w:r>
      <w:r>
        <w:rPr>
          <w:rFonts w:hint="eastAsia" w:ascii="Times New Roman" w:hAnsi="Times New Roman"/>
          <w:color w:val="auto"/>
          <w:sz w:val="24"/>
          <w:szCs w:val="24"/>
          <w:lang w:val="en-US" w:eastAsia="zh-CN"/>
        </w:rPr>
        <w:t>31</w:t>
      </w:r>
      <w:r>
        <w:rPr>
          <w:rFonts w:ascii="Times New Roman" w:hAnsi="Times New Roman"/>
          <w:color w:val="auto"/>
          <w:sz w:val="24"/>
          <w:szCs w:val="24"/>
        </w:rPr>
        <w:t>日</w:t>
      </w:r>
      <w:r>
        <w:rPr>
          <w:rFonts w:ascii="Times New Roman" w:hAnsi="Times New Roman" w:cs="Times New Roman"/>
          <w:color w:val="auto"/>
          <w:sz w:val="24"/>
          <w:szCs w:val="24"/>
        </w:rPr>
        <w:t>，</w:t>
      </w:r>
      <w:r>
        <w:rPr>
          <w:rFonts w:hint="eastAsia" w:ascii="Times New Roman" w:hAnsi="Times New Roman"/>
          <w:color w:val="auto"/>
          <w:sz w:val="24"/>
          <w:szCs w:val="24"/>
          <w:lang w:eastAsia="zh-CN"/>
        </w:rPr>
        <w:t>贵州元烁环境检测技术有限公司</w:t>
      </w:r>
      <w:r>
        <w:rPr>
          <w:rFonts w:ascii="Times New Roman" w:hAnsi="Times New Roman" w:cs="Times New Roman"/>
          <w:color w:val="auto"/>
          <w:sz w:val="24"/>
          <w:szCs w:val="24"/>
        </w:rPr>
        <w:t>对输电线路工频电场和工频磁场进行了现状监测，并出具了</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eastAsia="zh-CN"/>
        </w:rPr>
        <w:t>六合一至乐业变220kV送出线路工程</w:t>
      </w:r>
      <w:r>
        <w:rPr>
          <w:rFonts w:hint="default" w:ascii="Times New Roman" w:hAnsi="Times New Roman" w:eastAsia="宋体" w:cs="Times New Roman"/>
          <w:color w:val="auto"/>
          <w:sz w:val="24"/>
          <w:szCs w:val="24"/>
        </w:rPr>
        <w:t>环境质量现状监测报告》（报告编号：</w:t>
      </w:r>
      <w:r>
        <w:rPr>
          <w:rFonts w:hint="default" w:ascii="Times New Roman" w:hAnsi="Times New Roman" w:eastAsia="宋体" w:cs="Times New Roman"/>
          <w:color w:val="auto"/>
          <w:sz w:val="24"/>
          <w:szCs w:val="24"/>
          <w:lang w:val="en-US" w:eastAsia="zh-CN"/>
        </w:rPr>
        <w:t>YSBG202605258</w:t>
      </w:r>
      <w:r>
        <w:rPr>
          <w:rFonts w:hint="default" w:ascii="Times New Roman" w:hAnsi="Times New Roman" w:eastAsia="宋体" w:cs="Times New Roman"/>
          <w:color w:val="auto"/>
          <w:sz w:val="24"/>
          <w:szCs w:val="24"/>
        </w:rPr>
        <w:t>号）</w:t>
      </w:r>
      <w:r>
        <w:rPr>
          <w:rFonts w:hint="eastAsia" w:ascii="Times New Roman" w:hAnsi="Times New Roman" w:cs="Times New Roman"/>
          <w:color w:val="auto"/>
          <w:sz w:val="24"/>
          <w:szCs w:val="24"/>
        </w:rPr>
        <w:t>。</w:t>
      </w:r>
    </w:p>
    <w:p w14:paraId="7E62BA67">
      <w:pPr>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szCs w:val="24"/>
        </w:rPr>
      </w:pPr>
      <w:r>
        <w:rPr>
          <w:rFonts w:ascii="Times New Roman" w:hAnsi="Times New Roman" w:cs="Times New Roman"/>
          <w:color w:val="auto"/>
          <w:sz w:val="24"/>
          <w:szCs w:val="24"/>
          <w:highlight w:val="none"/>
        </w:rPr>
        <w:t>同时，</w:t>
      </w:r>
      <w:r>
        <w:rPr>
          <w:rFonts w:hint="eastAsia" w:ascii="Times New Roman" w:hAnsi="Times New Roman"/>
          <w:color w:val="auto"/>
          <w:sz w:val="24"/>
          <w:szCs w:val="24"/>
          <w:highlight w:val="none"/>
        </w:rPr>
        <w:t>本次评价时，</w:t>
      </w:r>
      <w:r>
        <w:rPr>
          <w:rFonts w:ascii="Times New Roman" w:hAnsi="Times New Roman"/>
          <w:color w:val="auto"/>
          <w:sz w:val="24"/>
          <w:szCs w:val="24"/>
          <w:highlight w:val="none"/>
        </w:rPr>
        <w:t>拟</w:t>
      </w:r>
      <w:r>
        <w:rPr>
          <w:rFonts w:ascii="Times New Roman" w:hAnsi="Times New Roman"/>
          <w:color w:val="auto"/>
          <w:sz w:val="24"/>
          <w:szCs w:val="24"/>
        </w:rPr>
        <w:t>建</w:t>
      </w:r>
      <w:r>
        <w:rPr>
          <w:rFonts w:hint="default" w:ascii="Times New Roman" w:hAnsi="Times New Roman"/>
          <w:color w:val="auto"/>
          <w:sz w:val="24"/>
          <w:szCs w:val="24"/>
          <w:lang w:val="en-US" w:eastAsia="zh-CN"/>
        </w:rPr>
        <w:t>220kV</w:t>
      </w:r>
      <w:r>
        <w:rPr>
          <w:rFonts w:hint="eastAsia" w:ascii="Times New Roman" w:hAnsi="Times New Roman"/>
          <w:color w:val="auto"/>
          <w:sz w:val="24"/>
          <w:szCs w:val="24"/>
          <w:lang w:val="en-US" w:eastAsia="zh-CN"/>
        </w:rPr>
        <w:t>六合一</w:t>
      </w:r>
      <w:r>
        <w:rPr>
          <w:rFonts w:hint="default" w:ascii="Times New Roman" w:hAnsi="Times New Roman"/>
          <w:color w:val="auto"/>
          <w:sz w:val="24"/>
          <w:szCs w:val="24"/>
          <w:lang w:val="en-US" w:eastAsia="zh-CN"/>
        </w:rPr>
        <w:t>升压站</w:t>
      </w:r>
      <w:r>
        <w:rPr>
          <w:rFonts w:hint="eastAsia" w:ascii="Times New Roman" w:hAnsi="Times New Roman"/>
          <w:color w:val="auto"/>
          <w:sz w:val="24"/>
          <w:szCs w:val="24"/>
          <w:lang w:val="en-US" w:eastAsia="zh-CN"/>
        </w:rPr>
        <w:t>、500kV乐业变电站</w:t>
      </w:r>
      <w:r>
        <w:rPr>
          <w:rFonts w:ascii="Times New Roman" w:hAnsi="Times New Roman"/>
          <w:color w:val="auto"/>
          <w:sz w:val="24"/>
          <w:szCs w:val="24"/>
        </w:rPr>
        <w:t>正在建设中，因此，本次评价</w:t>
      </w:r>
      <w:r>
        <w:rPr>
          <w:rFonts w:hint="default" w:ascii="Times New Roman" w:hAnsi="Times New Roman"/>
          <w:color w:val="auto"/>
          <w:sz w:val="24"/>
          <w:szCs w:val="24"/>
          <w:lang w:val="en-US" w:eastAsia="zh-CN"/>
        </w:rPr>
        <w:t>220kV</w:t>
      </w:r>
      <w:r>
        <w:rPr>
          <w:rFonts w:hint="eastAsia" w:ascii="Times New Roman" w:hAnsi="Times New Roman"/>
          <w:color w:val="auto"/>
          <w:sz w:val="24"/>
          <w:szCs w:val="24"/>
          <w:lang w:val="en-US" w:eastAsia="zh-CN"/>
        </w:rPr>
        <w:t>六合一</w:t>
      </w:r>
      <w:r>
        <w:rPr>
          <w:rFonts w:hint="default" w:ascii="Times New Roman" w:hAnsi="Times New Roman"/>
          <w:color w:val="auto"/>
          <w:sz w:val="24"/>
          <w:szCs w:val="24"/>
          <w:lang w:val="en-US" w:eastAsia="zh-CN"/>
        </w:rPr>
        <w:t>升压站</w:t>
      </w:r>
      <w:r>
        <w:rPr>
          <w:rFonts w:hint="eastAsia" w:ascii="Times New Roman" w:hAnsi="Times New Roman"/>
          <w:color w:val="auto"/>
          <w:sz w:val="24"/>
          <w:szCs w:val="24"/>
          <w:lang w:val="en-US" w:eastAsia="zh-CN"/>
        </w:rPr>
        <w:t>电磁</w:t>
      </w:r>
      <w:r>
        <w:rPr>
          <w:rFonts w:ascii="Times New Roman" w:hAnsi="Times New Roman"/>
          <w:color w:val="auto"/>
          <w:sz w:val="24"/>
          <w:szCs w:val="24"/>
        </w:rPr>
        <w:t>环境现状引用</w:t>
      </w:r>
      <w:r>
        <w:rPr>
          <w:rFonts w:hint="eastAsia" w:ascii="Times New Roman" w:hAnsi="Times New Roman"/>
          <w:color w:val="auto"/>
          <w:sz w:val="24"/>
          <w:szCs w:val="24"/>
          <w:lang w:eastAsia="zh-CN"/>
        </w:rPr>
        <w:t>《乐业镇六合村一期光伏项目（复合型光伏发电项目）</w:t>
      </w:r>
      <w:r>
        <w:rPr>
          <w:rFonts w:hint="eastAsia" w:ascii="Times New Roman" w:hAnsi="Times New Roman"/>
          <w:color w:val="auto"/>
          <w:sz w:val="24"/>
          <w:szCs w:val="24"/>
          <w:lang w:val="en-US" w:eastAsia="zh-CN"/>
        </w:rPr>
        <w:t>环境影响报告表</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中云南中科检测技术有限公司于2022年4月8日对拟建升压站站址中心的电磁环境现状监测数据；500kV乐业变电磁</w:t>
      </w:r>
      <w:r>
        <w:rPr>
          <w:rFonts w:ascii="Times New Roman" w:hAnsi="Times New Roman"/>
          <w:color w:val="auto"/>
          <w:sz w:val="24"/>
          <w:szCs w:val="24"/>
        </w:rPr>
        <w:t>环境现状引用</w:t>
      </w:r>
      <w:r>
        <w:rPr>
          <w:rFonts w:hint="eastAsia" w:ascii="Times New Roman" w:hAnsi="Times New Roman"/>
          <w:color w:val="auto"/>
          <w:sz w:val="24"/>
          <w:szCs w:val="24"/>
          <w:lang w:eastAsia="zh-CN"/>
        </w:rPr>
        <w:t>《500千伏乐业输变电工程</w:t>
      </w:r>
      <w:r>
        <w:rPr>
          <w:rFonts w:hint="eastAsia" w:ascii="Times New Roman" w:hAnsi="Times New Roman"/>
          <w:color w:val="auto"/>
          <w:sz w:val="24"/>
          <w:szCs w:val="24"/>
          <w:lang w:val="en-US" w:eastAsia="zh-CN"/>
        </w:rPr>
        <w:t>环境影响报告书</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中云南科环环境工程咨询有限公司2024年4月25日对拟建升压站站址中心的电磁环境现状监测数据（报告编号：科环检字【2024】-0422002）。</w:t>
      </w:r>
    </w:p>
    <w:p w14:paraId="21F25A8B">
      <w:pPr>
        <w:pStyle w:val="4"/>
        <w:adjustRightInd w:val="0"/>
        <w:snapToGrid w:val="0"/>
        <w:spacing w:line="440" w:lineRule="exact"/>
        <w:rPr>
          <w:rFonts w:hint="eastAsia" w:ascii="Times New Roman" w:hAnsi="Times New Roman" w:eastAsia="宋体" w:cs="Times New Roman"/>
          <w:color w:val="auto"/>
        </w:rPr>
      </w:pPr>
      <w:bookmarkStart w:id="159" w:name="_Toc397"/>
      <w:r>
        <w:rPr>
          <w:rFonts w:ascii="Times New Roman" w:hAnsi="Times New Roman" w:eastAsia="宋体" w:cs="Times New Roman"/>
          <w:color w:val="auto"/>
        </w:rPr>
        <w:t>4.1监测因子及监测频次</w:t>
      </w:r>
      <w:bookmarkEnd w:id="159"/>
    </w:p>
    <w:p w14:paraId="6510C578">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监测因子：工频电场、工频磁场。</w:t>
      </w:r>
    </w:p>
    <w:p w14:paraId="00ADC308">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监测频次：各监测点位监测1次。</w:t>
      </w:r>
    </w:p>
    <w:p w14:paraId="3C2A71B0">
      <w:pPr>
        <w:pStyle w:val="4"/>
        <w:adjustRightInd w:val="0"/>
        <w:snapToGrid w:val="0"/>
        <w:spacing w:line="440" w:lineRule="exact"/>
        <w:rPr>
          <w:rFonts w:hint="eastAsia" w:ascii="Times New Roman" w:hAnsi="Times New Roman" w:eastAsia="宋体" w:cs="Times New Roman"/>
          <w:color w:val="auto"/>
        </w:rPr>
      </w:pPr>
      <w:bookmarkStart w:id="160" w:name="_Toc13683"/>
      <w:r>
        <w:rPr>
          <w:rFonts w:ascii="Times New Roman" w:hAnsi="Times New Roman" w:eastAsia="宋体" w:cs="Times New Roman"/>
          <w:color w:val="auto"/>
        </w:rPr>
        <w:t>4.2监测点位及布点方法</w:t>
      </w:r>
      <w:bookmarkEnd w:id="160"/>
    </w:p>
    <w:p w14:paraId="21A69611">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（1）布点原则</w:t>
      </w:r>
    </w:p>
    <w:p w14:paraId="5C154EBF">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根据《环境影响评价技术导则  输变电》（HJ24-2020）的相关要求，在变电站围墙外且距离围墙5m、地面1.5m高度处布设监测点及输电线路敏感点在敏感点建筑物外</w:t>
      </w: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m、距离地面1.5m高处布设监测点。</w:t>
      </w:r>
    </w:p>
    <w:p w14:paraId="0545E7AB">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（2）监测点布设</w:t>
      </w:r>
    </w:p>
    <w:p w14:paraId="1D5BE669">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根据上述布点原则，本项目</w:t>
      </w:r>
      <w:r>
        <w:rPr>
          <w:rFonts w:hint="eastAsia" w:ascii="Times New Roman" w:hAnsi="Times New Roman" w:cs="Times New Roman"/>
          <w:color w:val="auto"/>
          <w:sz w:val="24"/>
          <w:szCs w:val="24"/>
          <w:lang w:val="en-US" w:eastAsia="zh-CN"/>
        </w:rPr>
        <w:t>线路</w:t>
      </w:r>
      <w:r>
        <w:rPr>
          <w:rFonts w:ascii="Times New Roman" w:hAnsi="Times New Roman" w:cs="Times New Roman"/>
          <w:color w:val="auto"/>
          <w:sz w:val="24"/>
          <w:szCs w:val="24"/>
        </w:rPr>
        <w:t>涉及</w:t>
      </w:r>
      <w:r>
        <w:rPr>
          <w:rFonts w:hint="eastAsia" w:ascii="Times New Roman" w:hAnsi="Times New Roman" w:cs="Times New Roman"/>
          <w:color w:val="auto"/>
          <w:sz w:val="24"/>
          <w:szCs w:val="24"/>
          <w:lang w:val="en-US" w:eastAsia="zh-CN"/>
        </w:rPr>
        <w:t>7处</w:t>
      </w:r>
      <w:r>
        <w:rPr>
          <w:rFonts w:ascii="Times New Roman" w:hAnsi="Times New Roman" w:cs="Times New Roman"/>
          <w:color w:val="auto"/>
          <w:sz w:val="24"/>
          <w:szCs w:val="24"/>
        </w:rPr>
        <w:t>敏感点，</w:t>
      </w:r>
      <w:r>
        <w:rPr>
          <w:rFonts w:ascii="Times New Roman" w:hAnsi="Times New Roman"/>
          <w:color w:val="auto"/>
          <w:sz w:val="24"/>
          <w:szCs w:val="24"/>
        </w:rPr>
        <w:t>按照要求，布设</w:t>
      </w:r>
      <w:r>
        <w:rPr>
          <w:rFonts w:hint="eastAsia" w:ascii="Times New Roman" w:hAnsi="Times New Roman"/>
          <w:color w:val="auto"/>
          <w:sz w:val="24"/>
          <w:szCs w:val="24"/>
          <w:lang w:val="en-US" w:eastAsia="zh-CN"/>
        </w:rPr>
        <w:t>7</w:t>
      </w:r>
      <w:r>
        <w:rPr>
          <w:rFonts w:ascii="Times New Roman" w:hAnsi="Times New Roman"/>
          <w:color w:val="auto"/>
          <w:sz w:val="24"/>
          <w:szCs w:val="24"/>
        </w:rPr>
        <w:t>个</w:t>
      </w:r>
      <w:r>
        <w:rPr>
          <w:rFonts w:hint="eastAsia" w:ascii="Times New Roman" w:hAnsi="Times New Roman"/>
          <w:color w:val="auto"/>
          <w:sz w:val="24"/>
          <w:szCs w:val="24"/>
          <w:lang w:eastAsia="zh-CN"/>
        </w:rPr>
        <w:t>线路</w:t>
      </w:r>
      <w:r>
        <w:rPr>
          <w:rFonts w:ascii="Times New Roman" w:hAnsi="Times New Roman"/>
          <w:color w:val="auto"/>
          <w:sz w:val="24"/>
          <w:szCs w:val="24"/>
        </w:rPr>
        <w:t>监测点</w:t>
      </w:r>
      <w:r>
        <w:rPr>
          <w:rFonts w:ascii="Times New Roman" w:hAnsi="Times New Roman" w:cs="Times New Roman"/>
          <w:color w:val="auto"/>
          <w:sz w:val="24"/>
          <w:szCs w:val="24"/>
        </w:rPr>
        <w:t>进行现状监测；电磁环境现状监测布点见表4-1。</w:t>
      </w:r>
    </w:p>
    <w:p w14:paraId="10F659D5">
      <w:pPr>
        <w:adjustRightInd w:val="0"/>
        <w:snapToGrid w:val="0"/>
        <w:jc w:val="center"/>
        <w:rPr>
          <w:rFonts w:hint="eastAsia" w:ascii="Times New Roman" w:hAnsi="Times New Roman" w:cs="Times New Roman"/>
          <w:b/>
          <w:bCs/>
          <w:color w:val="auto"/>
          <w:sz w:val="24"/>
          <w:szCs w:val="24"/>
        </w:rPr>
      </w:pPr>
      <w:r>
        <w:rPr>
          <w:rFonts w:ascii="Times New Roman" w:hAnsi="Times New Roman" w:cs="Times New Roman"/>
          <w:b/>
          <w:bCs/>
          <w:color w:val="auto"/>
          <w:sz w:val="24"/>
          <w:szCs w:val="24"/>
        </w:rPr>
        <w:t>表4-1  电磁环境现状监测布点表</w:t>
      </w:r>
    </w:p>
    <w:tbl>
      <w:tblPr>
        <w:tblStyle w:val="27"/>
        <w:tblW w:w="493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74"/>
        <w:gridCol w:w="3989"/>
        <w:gridCol w:w="1794"/>
        <w:gridCol w:w="1791"/>
        <w:gridCol w:w="625"/>
      </w:tblGrid>
      <w:tr w14:paraId="7D2AD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3" w:type="pct"/>
            <w:tcBorders>
              <w:tl2br w:val="nil"/>
              <w:tr2bl w:val="nil"/>
            </w:tcBorders>
            <w:vAlign w:val="center"/>
          </w:tcPr>
          <w:p w14:paraId="19CC5A37">
            <w:pPr>
              <w:adjustRightInd w:val="0"/>
              <w:snapToGrid w:val="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序号</w:t>
            </w:r>
          </w:p>
        </w:tc>
        <w:tc>
          <w:tcPr>
            <w:tcW w:w="2299" w:type="pct"/>
            <w:tcBorders>
              <w:tl2br w:val="nil"/>
              <w:tr2bl w:val="nil"/>
            </w:tcBorders>
            <w:vAlign w:val="center"/>
          </w:tcPr>
          <w:p w14:paraId="0FB893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rPr>
            </w:pPr>
            <w:r>
              <w:rPr>
                <w:rFonts w:hint="default" w:ascii="Times New Roman" w:hAnsi="Times New Roman" w:eastAsia="宋体" w:cs="Times New Roman"/>
                <w:b/>
                <w:bCs/>
                <w:color w:val="auto"/>
                <w:sz w:val="21"/>
                <w:szCs w:val="21"/>
                <w:lang w:val="en-US" w:eastAsia="zh-CN"/>
              </w:rPr>
              <w:t>监测点位</w:t>
            </w:r>
          </w:p>
        </w:tc>
        <w:tc>
          <w:tcPr>
            <w:tcW w:w="1034" w:type="pct"/>
            <w:tcBorders>
              <w:tl2br w:val="nil"/>
              <w:tr2bl w:val="nil"/>
            </w:tcBorders>
            <w:vAlign w:val="center"/>
          </w:tcPr>
          <w:p w14:paraId="69459E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rPr>
            </w:pPr>
            <w:r>
              <w:rPr>
                <w:rFonts w:hint="default" w:ascii="Times New Roman" w:hAnsi="Times New Roman" w:eastAsia="宋体" w:cs="Times New Roman"/>
                <w:b/>
                <w:bCs/>
                <w:color w:val="auto"/>
                <w:sz w:val="21"/>
                <w:szCs w:val="21"/>
                <w:lang w:val="en-US" w:eastAsia="zh-CN"/>
              </w:rPr>
              <w:t>位置关系</w:t>
            </w:r>
          </w:p>
        </w:tc>
        <w:tc>
          <w:tcPr>
            <w:tcW w:w="1032" w:type="pct"/>
            <w:tcBorders>
              <w:tl2br w:val="nil"/>
              <w:tr2bl w:val="nil"/>
            </w:tcBorders>
            <w:vAlign w:val="center"/>
          </w:tcPr>
          <w:p w14:paraId="292AE6A7">
            <w:pPr>
              <w:adjustRightInd w:val="0"/>
              <w:snapToGrid w:val="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布点原则</w:t>
            </w:r>
          </w:p>
        </w:tc>
        <w:tc>
          <w:tcPr>
            <w:tcW w:w="360" w:type="pct"/>
            <w:tcBorders>
              <w:tl2br w:val="nil"/>
              <w:tr2bl w:val="nil"/>
            </w:tcBorders>
            <w:vAlign w:val="center"/>
          </w:tcPr>
          <w:p w14:paraId="5261BF69">
            <w:pPr>
              <w:adjustRightInd w:val="0"/>
              <w:snapToGrid w:val="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备注</w:t>
            </w:r>
          </w:p>
        </w:tc>
      </w:tr>
      <w:tr w14:paraId="1A69E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3" w:type="pct"/>
            <w:tcBorders>
              <w:tl2br w:val="nil"/>
              <w:tr2bl w:val="nil"/>
            </w:tcBorders>
            <w:vAlign w:val="center"/>
          </w:tcPr>
          <w:p w14:paraId="60BA7962">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2299" w:type="pct"/>
            <w:tcBorders>
              <w:tl2br w:val="nil"/>
              <w:tr2bl w:val="nil"/>
            </w:tcBorders>
            <w:shd w:val="clear" w:color="auto" w:fill="auto"/>
            <w:vAlign w:val="center"/>
          </w:tcPr>
          <w:p w14:paraId="28E8C7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w:t>
            </w:r>
            <w:r>
              <w:rPr>
                <w:rFonts w:hint="eastAsia" w:ascii="Times New Roman" w:hAnsi="Times New Roman" w:cs="Times New Roman"/>
                <w:b w:val="0"/>
                <w:bCs w:val="0"/>
                <w:color w:val="auto"/>
                <w:sz w:val="21"/>
                <w:szCs w:val="21"/>
                <w:lang w:val="en-US" w:eastAsia="zh-CN"/>
              </w:rPr>
              <w:t>1</w:t>
            </w:r>
            <w:r>
              <w:rPr>
                <w:rFonts w:hint="default" w:ascii="Times New Roman" w:hAnsi="Times New Roman" w:cs="Times New Roman"/>
                <w:b w:val="0"/>
                <w:bCs w:val="0"/>
                <w:color w:val="auto"/>
                <w:sz w:val="21"/>
                <w:szCs w:val="21"/>
                <w:lang w:val="en-US" w:eastAsia="zh-CN"/>
              </w:rPr>
              <w:t>~N</w:t>
            </w:r>
            <w:r>
              <w:rPr>
                <w:rFonts w:hint="eastAsia" w:ascii="Times New Roman" w:hAnsi="Times New Roman" w:cs="Times New Roman"/>
                <w:b w:val="0"/>
                <w:bCs w:val="0"/>
                <w:color w:val="auto"/>
                <w:sz w:val="21"/>
                <w:szCs w:val="21"/>
                <w:lang w:val="en-US" w:eastAsia="zh-CN"/>
              </w:rPr>
              <w:t>2</w:t>
            </w:r>
            <w:r>
              <w:rPr>
                <w:rFonts w:hint="default" w:ascii="Times New Roman" w:hAnsi="Times New Roman" w:cs="Times New Roman"/>
                <w:b w:val="0"/>
                <w:bCs w:val="0"/>
                <w:color w:val="auto"/>
                <w:sz w:val="21"/>
                <w:szCs w:val="21"/>
                <w:lang w:val="en-US" w:eastAsia="zh-CN"/>
              </w:rPr>
              <w:t>之间六合村居民1#</w:t>
            </w:r>
          </w:p>
        </w:tc>
        <w:tc>
          <w:tcPr>
            <w:tcW w:w="1034" w:type="pct"/>
            <w:tcBorders>
              <w:tl2br w:val="nil"/>
              <w:tr2bl w:val="nil"/>
            </w:tcBorders>
            <w:shd w:val="clear" w:color="auto" w:fill="auto"/>
            <w:vAlign w:val="center"/>
          </w:tcPr>
          <w:p w14:paraId="692293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北侧22m</w:t>
            </w:r>
          </w:p>
        </w:tc>
        <w:tc>
          <w:tcPr>
            <w:tcW w:w="1032" w:type="pct"/>
            <w:vMerge w:val="restart"/>
            <w:tcBorders>
              <w:tl2br w:val="nil"/>
              <w:tr2bl w:val="nil"/>
            </w:tcBorders>
            <w:vAlign w:val="center"/>
          </w:tcPr>
          <w:p w14:paraId="178902E4">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设置在</w:t>
            </w:r>
            <w:r>
              <w:rPr>
                <w:rFonts w:hint="default" w:ascii="Times New Roman" w:hAnsi="Times New Roman" w:cs="Times New Roman"/>
                <w:color w:val="auto"/>
                <w:szCs w:val="21"/>
                <w:lang w:val="en-US" w:eastAsia="zh-CN"/>
              </w:rPr>
              <w:t>建筑物</w:t>
            </w:r>
            <w:r>
              <w:rPr>
                <w:rFonts w:hint="default" w:ascii="Times New Roman" w:hAnsi="Times New Roman" w:cs="Times New Roman"/>
                <w:color w:val="auto"/>
                <w:szCs w:val="21"/>
              </w:rPr>
              <w:t>外</w:t>
            </w:r>
            <w:r>
              <w:rPr>
                <w:rFonts w:hint="default" w:ascii="Times New Roman" w:hAnsi="Times New Roman" w:cs="Times New Roman"/>
                <w:color w:val="auto"/>
                <w:szCs w:val="21"/>
                <w:lang w:val="en-US" w:eastAsia="zh-CN"/>
              </w:rPr>
              <w:t>1</w:t>
            </w:r>
            <w:r>
              <w:rPr>
                <w:rFonts w:hint="default" w:ascii="Times New Roman" w:hAnsi="Times New Roman" w:cs="Times New Roman"/>
                <w:color w:val="auto"/>
                <w:szCs w:val="21"/>
              </w:rPr>
              <w:t>m、距离地面1.5m高处；</w:t>
            </w:r>
          </w:p>
        </w:tc>
        <w:tc>
          <w:tcPr>
            <w:tcW w:w="360" w:type="pct"/>
            <w:vMerge w:val="restart"/>
            <w:tcBorders>
              <w:tl2br w:val="nil"/>
              <w:tr2bl w:val="nil"/>
            </w:tcBorders>
            <w:vAlign w:val="center"/>
          </w:tcPr>
          <w:p w14:paraId="12FA4E57">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现状</w:t>
            </w:r>
            <w:r>
              <w:rPr>
                <w:rFonts w:hint="default" w:ascii="Times New Roman" w:hAnsi="Times New Roman" w:cs="Times New Roman"/>
                <w:color w:val="auto"/>
                <w:szCs w:val="21"/>
              </w:rPr>
              <w:t>监测</w:t>
            </w:r>
          </w:p>
        </w:tc>
      </w:tr>
      <w:tr w14:paraId="0FE08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3" w:type="pct"/>
            <w:tcBorders>
              <w:tl2br w:val="nil"/>
              <w:tr2bl w:val="nil"/>
            </w:tcBorders>
            <w:vAlign w:val="center"/>
          </w:tcPr>
          <w:p w14:paraId="46F47A86">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2</w:t>
            </w:r>
          </w:p>
        </w:tc>
        <w:tc>
          <w:tcPr>
            <w:tcW w:w="2299" w:type="pct"/>
            <w:tcBorders>
              <w:tl2br w:val="nil"/>
              <w:tr2bl w:val="nil"/>
            </w:tcBorders>
            <w:shd w:val="clear" w:color="auto" w:fill="auto"/>
            <w:vAlign w:val="center"/>
          </w:tcPr>
          <w:p w14:paraId="5A864D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塔基N11~N12之间石灰窑散户2#</w:t>
            </w:r>
          </w:p>
        </w:tc>
        <w:tc>
          <w:tcPr>
            <w:tcW w:w="1034" w:type="pct"/>
            <w:tcBorders>
              <w:tl2br w:val="nil"/>
              <w:tr2bl w:val="nil"/>
            </w:tcBorders>
            <w:shd w:val="clear" w:color="auto" w:fill="auto"/>
            <w:vAlign w:val="center"/>
          </w:tcPr>
          <w:p w14:paraId="187429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sz w:val="21"/>
                <w:szCs w:val="21"/>
                <w:lang w:val="en-US" w:eastAsia="zh-CN"/>
              </w:rPr>
              <w:t>东</w:t>
            </w:r>
            <w:r>
              <w:rPr>
                <w:rFonts w:hint="default" w:ascii="Times New Roman" w:hAnsi="Times New Roman" w:cs="Times New Roman"/>
                <w:b w:val="0"/>
                <w:bCs w:val="0"/>
                <w:color w:val="auto"/>
                <w:sz w:val="21"/>
                <w:szCs w:val="21"/>
                <w:lang w:val="en-US" w:eastAsia="zh-CN"/>
              </w:rPr>
              <w:t>侧30m</w:t>
            </w:r>
          </w:p>
        </w:tc>
        <w:tc>
          <w:tcPr>
            <w:tcW w:w="1032" w:type="pct"/>
            <w:vMerge w:val="continue"/>
            <w:tcBorders>
              <w:tl2br w:val="nil"/>
              <w:tr2bl w:val="nil"/>
            </w:tcBorders>
            <w:vAlign w:val="center"/>
          </w:tcPr>
          <w:p w14:paraId="6A005471">
            <w:pPr>
              <w:adjustRightInd w:val="0"/>
              <w:snapToGrid w:val="0"/>
              <w:jc w:val="center"/>
              <w:rPr>
                <w:rFonts w:hint="default" w:ascii="Times New Roman" w:hAnsi="Times New Roman" w:cs="Times New Roman"/>
                <w:color w:val="auto"/>
                <w:szCs w:val="21"/>
              </w:rPr>
            </w:pPr>
          </w:p>
        </w:tc>
        <w:tc>
          <w:tcPr>
            <w:tcW w:w="360" w:type="pct"/>
            <w:vMerge w:val="continue"/>
            <w:tcBorders>
              <w:tl2br w:val="nil"/>
              <w:tr2bl w:val="nil"/>
            </w:tcBorders>
            <w:vAlign w:val="center"/>
          </w:tcPr>
          <w:p w14:paraId="705390B6">
            <w:pPr>
              <w:adjustRightInd w:val="0"/>
              <w:snapToGrid w:val="0"/>
              <w:jc w:val="center"/>
              <w:rPr>
                <w:rFonts w:hint="default" w:ascii="Times New Roman" w:hAnsi="Times New Roman" w:cs="Times New Roman"/>
                <w:color w:val="auto"/>
                <w:szCs w:val="21"/>
              </w:rPr>
            </w:pPr>
          </w:p>
        </w:tc>
      </w:tr>
      <w:tr w14:paraId="5D5B1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3" w:type="pct"/>
            <w:tcBorders>
              <w:tl2br w:val="nil"/>
              <w:tr2bl w:val="nil"/>
            </w:tcBorders>
            <w:vAlign w:val="center"/>
          </w:tcPr>
          <w:p w14:paraId="496F9E89">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3</w:t>
            </w:r>
          </w:p>
        </w:tc>
        <w:tc>
          <w:tcPr>
            <w:tcW w:w="2299" w:type="pct"/>
            <w:tcBorders>
              <w:tl2br w:val="nil"/>
              <w:tr2bl w:val="nil"/>
            </w:tcBorders>
            <w:shd w:val="clear" w:color="auto" w:fill="auto"/>
            <w:vAlign w:val="center"/>
          </w:tcPr>
          <w:p w14:paraId="7807D7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塔基N23~N24之间隧道工棚3#</w:t>
            </w:r>
          </w:p>
        </w:tc>
        <w:tc>
          <w:tcPr>
            <w:tcW w:w="1034" w:type="pct"/>
            <w:tcBorders>
              <w:tl2br w:val="nil"/>
              <w:tr2bl w:val="nil"/>
            </w:tcBorders>
            <w:shd w:val="clear" w:color="auto" w:fill="auto"/>
            <w:vAlign w:val="center"/>
          </w:tcPr>
          <w:p w14:paraId="55003C1F">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kern w:val="2"/>
                <w:sz w:val="21"/>
                <w:szCs w:val="21"/>
                <w:lang w:val="en-US" w:eastAsia="zh-CN" w:bidi="ar-SA"/>
              </w:rPr>
              <w:t>南侧32m</w:t>
            </w:r>
          </w:p>
        </w:tc>
        <w:tc>
          <w:tcPr>
            <w:tcW w:w="1032" w:type="pct"/>
            <w:vMerge w:val="continue"/>
            <w:tcBorders>
              <w:tl2br w:val="nil"/>
              <w:tr2bl w:val="nil"/>
            </w:tcBorders>
            <w:vAlign w:val="center"/>
          </w:tcPr>
          <w:p w14:paraId="54A26CD8">
            <w:pPr>
              <w:adjustRightInd w:val="0"/>
              <w:snapToGrid w:val="0"/>
              <w:jc w:val="center"/>
              <w:rPr>
                <w:rFonts w:hint="default" w:ascii="Times New Roman" w:hAnsi="Times New Roman" w:cs="Times New Roman"/>
                <w:color w:val="auto"/>
                <w:szCs w:val="21"/>
              </w:rPr>
            </w:pPr>
          </w:p>
        </w:tc>
        <w:tc>
          <w:tcPr>
            <w:tcW w:w="360" w:type="pct"/>
            <w:vMerge w:val="continue"/>
            <w:tcBorders>
              <w:tl2br w:val="nil"/>
              <w:tr2bl w:val="nil"/>
            </w:tcBorders>
            <w:vAlign w:val="center"/>
          </w:tcPr>
          <w:p w14:paraId="49610EA3">
            <w:pPr>
              <w:adjustRightInd w:val="0"/>
              <w:snapToGrid w:val="0"/>
              <w:jc w:val="center"/>
              <w:rPr>
                <w:rFonts w:hint="default" w:ascii="Times New Roman" w:hAnsi="Times New Roman" w:cs="Times New Roman"/>
                <w:color w:val="auto"/>
                <w:szCs w:val="21"/>
              </w:rPr>
            </w:pPr>
          </w:p>
        </w:tc>
      </w:tr>
      <w:tr w14:paraId="388518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3" w:type="pct"/>
            <w:tcBorders>
              <w:tl2br w:val="nil"/>
              <w:tr2bl w:val="nil"/>
            </w:tcBorders>
            <w:vAlign w:val="center"/>
          </w:tcPr>
          <w:p w14:paraId="32670F3A">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4</w:t>
            </w:r>
          </w:p>
        </w:tc>
        <w:tc>
          <w:tcPr>
            <w:tcW w:w="2299" w:type="pct"/>
            <w:tcBorders>
              <w:tl2br w:val="nil"/>
              <w:tr2bl w:val="nil"/>
            </w:tcBorders>
            <w:shd w:val="clear" w:color="auto" w:fill="auto"/>
            <w:vAlign w:val="center"/>
          </w:tcPr>
          <w:p w14:paraId="70EFA1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塔基N29~N30之间叶家冲散户4#</w:t>
            </w:r>
          </w:p>
        </w:tc>
        <w:tc>
          <w:tcPr>
            <w:tcW w:w="1034" w:type="pct"/>
            <w:tcBorders>
              <w:tl2br w:val="nil"/>
              <w:tr2bl w:val="nil"/>
            </w:tcBorders>
            <w:shd w:val="clear" w:color="auto" w:fill="auto"/>
            <w:vAlign w:val="center"/>
          </w:tcPr>
          <w:p w14:paraId="785D99B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东侧40m</w:t>
            </w:r>
          </w:p>
        </w:tc>
        <w:tc>
          <w:tcPr>
            <w:tcW w:w="1032" w:type="pct"/>
            <w:vMerge w:val="continue"/>
            <w:tcBorders>
              <w:tl2br w:val="nil"/>
              <w:tr2bl w:val="nil"/>
            </w:tcBorders>
            <w:vAlign w:val="center"/>
          </w:tcPr>
          <w:p w14:paraId="1A2120D0">
            <w:pPr>
              <w:adjustRightInd w:val="0"/>
              <w:snapToGrid w:val="0"/>
              <w:jc w:val="center"/>
              <w:rPr>
                <w:rFonts w:hint="default" w:ascii="Times New Roman" w:hAnsi="Times New Roman" w:cs="Times New Roman"/>
                <w:color w:val="auto"/>
                <w:szCs w:val="21"/>
              </w:rPr>
            </w:pPr>
          </w:p>
        </w:tc>
        <w:tc>
          <w:tcPr>
            <w:tcW w:w="360" w:type="pct"/>
            <w:vMerge w:val="continue"/>
            <w:tcBorders>
              <w:tl2br w:val="nil"/>
              <w:tr2bl w:val="nil"/>
            </w:tcBorders>
            <w:vAlign w:val="center"/>
          </w:tcPr>
          <w:p w14:paraId="52A16742">
            <w:pPr>
              <w:adjustRightInd w:val="0"/>
              <w:snapToGrid w:val="0"/>
              <w:jc w:val="center"/>
              <w:rPr>
                <w:rFonts w:hint="default" w:ascii="Times New Roman" w:hAnsi="Times New Roman" w:cs="Times New Roman"/>
                <w:color w:val="auto"/>
                <w:szCs w:val="21"/>
              </w:rPr>
            </w:pPr>
          </w:p>
        </w:tc>
      </w:tr>
      <w:tr w14:paraId="1B808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0" w:type="auto"/>
          </w:tcPr>
          <w:p w14:paraId="2D89C15E">
            <w:pPr>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5</w:t>
            </w:r>
          </w:p>
        </w:tc>
        <w:tc>
          <w:tcPr>
            <w:tcW w:w="0" w:type="auto"/>
            <w:shd w:val="clear" w:color="auto" w:fill="auto"/>
            <w:vAlign w:val="center"/>
          </w:tcPr>
          <w:p w14:paraId="3ED84B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塔基N50~N51之间中梁子散户5#</w:t>
            </w:r>
          </w:p>
        </w:tc>
        <w:tc>
          <w:tcPr>
            <w:tcW w:w="0" w:type="auto"/>
            <w:shd w:val="clear" w:color="auto" w:fill="auto"/>
            <w:vAlign w:val="center"/>
          </w:tcPr>
          <w:p w14:paraId="2D97B7D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东侧30m</w:t>
            </w:r>
          </w:p>
        </w:tc>
        <w:tc>
          <w:tcPr>
            <w:tcW w:w="1032" w:type="pct"/>
            <w:vMerge w:val="continue"/>
          </w:tcPr>
          <w:p w14:paraId="56872C20">
            <w:pPr>
              <w:adjustRightInd w:val="0"/>
              <w:snapToGrid w:val="0"/>
              <w:jc w:val="center"/>
              <w:rPr>
                <w:rFonts w:hint="default" w:ascii="Times New Roman" w:hAnsi="Times New Roman" w:cs="Times New Roman"/>
                <w:color w:val="auto"/>
                <w:szCs w:val="21"/>
              </w:rPr>
            </w:pPr>
          </w:p>
        </w:tc>
        <w:tc>
          <w:tcPr>
            <w:tcW w:w="360" w:type="pct"/>
            <w:vMerge w:val="continue"/>
          </w:tcPr>
          <w:p w14:paraId="659D607B">
            <w:pPr>
              <w:adjustRightInd w:val="0"/>
              <w:snapToGrid w:val="0"/>
              <w:jc w:val="center"/>
              <w:rPr>
                <w:rFonts w:hint="default" w:ascii="Times New Roman" w:hAnsi="Times New Roman" w:cs="Times New Roman"/>
                <w:color w:val="auto"/>
                <w:szCs w:val="21"/>
              </w:rPr>
            </w:pPr>
          </w:p>
        </w:tc>
      </w:tr>
      <w:tr w14:paraId="5921E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0" w:type="auto"/>
          </w:tcPr>
          <w:p w14:paraId="7F9979DC">
            <w:pPr>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6</w:t>
            </w:r>
          </w:p>
        </w:tc>
        <w:tc>
          <w:tcPr>
            <w:tcW w:w="0" w:type="auto"/>
            <w:shd w:val="clear" w:color="auto" w:fill="auto"/>
            <w:vAlign w:val="center"/>
          </w:tcPr>
          <w:p w14:paraId="44FE9E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塔基N57~N58之间国道停车区用房6#</w:t>
            </w:r>
          </w:p>
        </w:tc>
        <w:tc>
          <w:tcPr>
            <w:tcW w:w="0" w:type="auto"/>
            <w:shd w:val="clear" w:color="auto" w:fill="auto"/>
            <w:vAlign w:val="center"/>
          </w:tcPr>
          <w:p w14:paraId="3B17611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北侧40m</w:t>
            </w:r>
          </w:p>
        </w:tc>
        <w:tc>
          <w:tcPr>
            <w:tcW w:w="1032" w:type="pct"/>
            <w:vMerge w:val="continue"/>
          </w:tcPr>
          <w:p w14:paraId="0299157E">
            <w:pPr>
              <w:adjustRightInd w:val="0"/>
              <w:snapToGrid w:val="0"/>
              <w:jc w:val="center"/>
              <w:rPr>
                <w:rFonts w:hint="default" w:ascii="Times New Roman" w:hAnsi="Times New Roman" w:cs="Times New Roman"/>
                <w:color w:val="auto"/>
                <w:szCs w:val="21"/>
              </w:rPr>
            </w:pPr>
          </w:p>
        </w:tc>
        <w:tc>
          <w:tcPr>
            <w:tcW w:w="360" w:type="pct"/>
            <w:vMerge w:val="continue"/>
          </w:tcPr>
          <w:p w14:paraId="11135DF5">
            <w:pPr>
              <w:adjustRightInd w:val="0"/>
              <w:snapToGrid w:val="0"/>
              <w:jc w:val="center"/>
              <w:rPr>
                <w:rFonts w:hint="default" w:ascii="Times New Roman" w:hAnsi="Times New Roman" w:cs="Times New Roman"/>
                <w:color w:val="auto"/>
                <w:szCs w:val="21"/>
              </w:rPr>
            </w:pPr>
          </w:p>
        </w:tc>
      </w:tr>
      <w:tr w14:paraId="321D1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0" w:type="auto"/>
          </w:tcPr>
          <w:p w14:paraId="3959FFC4">
            <w:pPr>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7</w:t>
            </w:r>
          </w:p>
        </w:tc>
        <w:tc>
          <w:tcPr>
            <w:tcW w:w="0" w:type="auto"/>
            <w:shd w:val="clear" w:color="auto" w:fill="auto"/>
            <w:vAlign w:val="center"/>
          </w:tcPr>
          <w:p w14:paraId="33405C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塔基N57~N58之间山背后村散户7#</w:t>
            </w:r>
          </w:p>
        </w:tc>
        <w:tc>
          <w:tcPr>
            <w:tcW w:w="0" w:type="auto"/>
            <w:shd w:val="clear" w:color="auto" w:fill="auto"/>
            <w:vAlign w:val="center"/>
          </w:tcPr>
          <w:p w14:paraId="3F0712A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南侧16m</w:t>
            </w:r>
          </w:p>
        </w:tc>
        <w:tc>
          <w:tcPr>
            <w:tcW w:w="1032" w:type="pct"/>
            <w:vMerge w:val="continue"/>
          </w:tcPr>
          <w:p w14:paraId="746C20E8">
            <w:pPr>
              <w:adjustRightInd w:val="0"/>
              <w:snapToGrid w:val="0"/>
              <w:jc w:val="center"/>
              <w:rPr>
                <w:rFonts w:hint="default" w:ascii="Times New Roman" w:hAnsi="Times New Roman" w:cs="Times New Roman"/>
                <w:color w:val="auto"/>
                <w:szCs w:val="21"/>
              </w:rPr>
            </w:pPr>
          </w:p>
        </w:tc>
        <w:tc>
          <w:tcPr>
            <w:tcW w:w="360" w:type="pct"/>
            <w:vMerge w:val="continue"/>
          </w:tcPr>
          <w:p w14:paraId="780BD87C">
            <w:pPr>
              <w:adjustRightInd w:val="0"/>
              <w:snapToGrid w:val="0"/>
              <w:jc w:val="center"/>
              <w:rPr>
                <w:rFonts w:hint="default" w:ascii="Times New Roman" w:hAnsi="Times New Roman" w:cs="Times New Roman"/>
                <w:color w:val="auto"/>
                <w:szCs w:val="21"/>
              </w:rPr>
            </w:pPr>
          </w:p>
        </w:tc>
      </w:tr>
    </w:tbl>
    <w:p w14:paraId="56D85278">
      <w:pPr>
        <w:pStyle w:val="59"/>
        <w:tabs>
          <w:tab w:val="left" w:pos="1330"/>
        </w:tabs>
        <w:adjustRightInd w:val="0"/>
        <w:snapToGrid w:val="0"/>
        <w:spacing w:before="0" w:beforeAutospacing="0" w:after="0" w:afterAutospacing="0" w:line="440" w:lineRule="exact"/>
        <w:ind w:firstLine="480"/>
        <w:jc w:val="both"/>
        <w:rPr>
          <w:rFonts w:hint="eastAsia" w:ascii="Times New Roman" w:hAnsi="Times New Roman" w:cs="Times New Roman"/>
          <w:color w:val="auto"/>
          <w:sz w:val="24"/>
          <w:szCs w:val="24"/>
        </w:rPr>
      </w:pPr>
      <w:r>
        <w:rPr>
          <w:rFonts w:ascii="Times New Roman" w:hAnsi="Times New Roman" w:cs="Times New Roman"/>
          <w:color w:val="auto"/>
          <w:sz w:val="24"/>
          <w:szCs w:val="24"/>
        </w:rPr>
        <w:t>本次电磁环境现状监测布点示意图详见附图5。</w:t>
      </w:r>
    </w:p>
    <w:p w14:paraId="3655C148">
      <w:pPr>
        <w:pStyle w:val="59"/>
        <w:tabs>
          <w:tab w:val="left" w:pos="1330"/>
        </w:tabs>
        <w:adjustRightInd w:val="0"/>
        <w:snapToGrid w:val="0"/>
        <w:spacing w:before="0" w:beforeAutospacing="0" w:after="0" w:afterAutospacing="0" w:line="440" w:lineRule="exact"/>
        <w:ind w:firstLine="480"/>
        <w:jc w:val="both"/>
        <w:rPr>
          <w:rFonts w:hint="eastAsia" w:ascii="Times New Roman" w:hAnsi="Times New Roman" w:cs="Times New Roman"/>
          <w:color w:val="auto"/>
          <w:sz w:val="24"/>
          <w:szCs w:val="24"/>
        </w:rPr>
      </w:pPr>
      <w:r>
        <w:rPr>
          <w:rFonts w:ascii="Times New Roman" w:hAnsi="Times New Roman" w:cs="Times New Roman"/>
          <w:color w:val="auto"/>
          <w:sz w:val="24"/>
          <w:szCs w:val="24"/>
        </w:rPr>
        <w:t>（3）监测布点的合理性、代表性分析</w:t>
      </w:r>
    </w:p>
    <w:p w14:paraId="4F5BA7CC">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线路涉及</w:t>
      </w:r>
      <w:r>
        <w:rPr>
          <w:rFonts w:hint="eastAsia" w:ascii="Times New Roman" w:hAnsi="Times New Roman" w:cs="Times New Roman"/>
          <w:color w:val="auto"/>
          <w:sz w:val="24"/>
          <w:szCs w:val="24"/>
          <w:lang w:val="en-US" w:eastAsia="zh-CN"/>
        </w:rPr>
        <w:t>7处</w:t>
      </w:r>
      <w:r>
        <w:rPr>
          <w:rFonts w:ascii="Times New Roman" w:hAnsi="Times New Roman" w:cs="Times New Roman"/>
          <w:color w:val="auto"/>
          <w:sz w:val="24"/>
          <w:szCs w:val="24"/>
        </w:rPr>
        <w:t>电磁环境敏感目标。本次新建220kV输电线路，布置</w:t>
      </w:r>
      <w:r>
        <w:rPr>
          <w:rFonts w:hint="eastAsia" w:ascii="Times New Roman" w:hAnsi="Times New Roman" w:cs="Times New Roman"/>
          <w:color w:val="auto"/>
          <w:sz w:val="24"/>
          <w:szCs w:val="24"/>
          <w:lang w:val="en-US" w:eastAsia="zh-CN"/>
        </w:rPr>
        <w:t>7</w:t>
      </w:r>
      <w:r>
        <w:rPr>
          <w:rFonts w:ascii="Times New Roman" w:hAnsi="Times New Roman" w:cs="Times New Roman"/>
          <w:color w:val="auto"/>
          <w:sz w:val="24"/>
          <w:szCs w:val="24"/>
        </w:rPr>
        <w:t>个电磁环境监测点。</w:t>
      </w:r>
      <w:r>
        <w:rPr>
          <w:rFonts w:ascii="Times New Roman" w:hAnsi="Times New Roman" w:cs="Times New Roman"/>
          <w:color w:val="auto"/>
          <w:sz w:val="24"/>
          <w:szCs w:val="24"/>
          <w:highlight w:val="none"/>
        </w:rPr>
        <w:t>同时，</w:t>
      </w:r>
      <w:r>
        <w:rPr>
          <w:rFonts w:hint="eastAsia" w:ascii="Times New Roman" w:hAnsi="Times New Roman" w:cs="Times New Roman"/>
          <w:color w:val="auto"/>
          <w:sz w:val="24"/>
          <w:szCs w:val="24"/>
          <w:highlight w:val="none"/>
        </w:rPr>
        <w:t>因本次评价时，</w:t>
      </w:r>
      <w:r>
        <w:rPr>
          <w:rFonts w:hint="eastAsia" w:ascii="Times New Roman" w:hAnsi="Times New Roman" w:cs="Times New Roman"/>
          <w:color w:val="auto"/>
          <w:sz w:val="24"/>
          <w:szCs w:val="24"/>
          <w:highlight w:val="none"/>
          <w:lang w:val="en-US" w:eastAsia="zh-CN"/>
        </w:rPr>
        <w:t>拟建</w:t>
      </w:r>
      <w:r>
        <w:rPr>
          <w:rFonts w:hint="default" w:ascii="Times New Roman" w:hAnsi="Times New Roman"/>
          <w:color w:val="auto"/>
          <w:sz w:val="24"/>
          <w:szCs w:val="24"/>
          <w:highlight w:val="none"/>
          <w:lang w:val="en-US" w:eastAsia="zh-CN"/>
        </w:rPr>
        <w:t>220kV</w:t>
      </w:r>
      <w:r>
        <w:rPr>
          <w:rFonts w:hint="eastAsia" w:ascii="Times New Roman" w:hAnsi="Times New Roman"/>
          <w:color w:val="auto"/>
          <w:sz w:val="24"/>
          <w:szCs w:val="24"/>
          <w:highlight w:val="none"/>
          <w:lang w:val="en-US" w:eastAsia="zh-CN"/>
        </w:rPr>
        <w:t>六合一</w:t>
      </w:r>
      <w:r>
        <w:rPr>
          <w:rFonts w:hint="default" w:ascii="Times New Roman" w:hAnsi="Times New Roman"/>
          <w:color w:val="auto"/>
          <w:sz w:val="24"/>
          <w:szCs w:val="24"/>
          <w:highlight w:val="none"/>
          <w:lang w:val="en-US" w:eastAsia="zh-CN"/>
        </w:rPr>
        <w:t>升压站</w:t>
      </w:r>
      <w:r>
        <w:rPr>
          <w:rFonts w:hint="eastAsia" w:ascii="Times New Roman" w:hAnsi="Times New Roman"/>
          <w:color w:val="auto"/>
          <w:sz w:val="24"/>
          <w:szCs w:val="24"/>
          <w:highlight w:val="none"/>
          <w:lang w:val="en-US" w:eastAsia="zh-CN"/>
        </w:rPr>
        <w:t>、500kV乐业变电站</w:t>
      </w:r>
      <w:r>
        <w:rPr>
          <w:rFonts w:ascii="Times New Roman" w:hAnsi="Times New Roman" w:cs="Times New Roman"/>
          <w:color w:val="auto"/>
          <w:sz w:val="24"/>
          <w:szCs w:val="24"/>
          <w:highlight w:val="none"/>
        </w:rPr>
        <w:t>正在建设中，因此，</w:t>
      </w:r>
      <w:r>
        <w:rPr>
          <w:rFonts w:hint="eastAsia" w:ascii="Times New Roman" w:hAnsi="Times New Roman" w:cs="Times New Roman"/>
          <w:color w:val="auto"/>
          <w:sz w:val="24"/>
          <w:szCs w:val="24"/>
          <w:highlight w:val="none"/>
          <w:lang w:val="en-US" w:eastAsia="zh-CN"/>
        </w:rPr>
        <w:t>本次评</w:t>
      </w:r>
      <w:r>
        <w:rPr>
          <w:rFonts w:hint="eastAsia" w:ascii="Times New Roman" w:hAnsi="Times New Roman" w:cs="Times New Roman"/>
          <w:color w:val="auto"/>
          <w:sz w:val="24"/>
          <w:szCs w:val="24"/>
          <w:lang w:val="en-US" w:eastAsia="zh-CN"/>
        </w:rPr>
        <w:t>价引用环评阶段现状监测数据。</w:t>
      </w:r>
      <w:r>
        <w:rPr>
          <w:rFonts w:ascii="Times New Roman" w:hAnsi="Times New Roman" w:cs="Times New Roman"/>
          <w:color w:val="auto"/>
          <w:sz w:val="24"/>
          <w:szCs w:val="24"/>
        </w:rPr>
        <w:t>因此，监测布点兼顾环境特征的代表性和典型性，监测结果可充分反映评价范围内的电磁环境现状，监测点位符合《环境影响评价技术导则  输变电》（HJ24-2020）、《交流输变电工程电磁环境监测方法（试行）》（HJ681-2013）等的相关要求。</w:t>
      </w:r>
    </w:p>
    <w:p w14:paraId="6151B4FF">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因此，本工程现状监测布点合理，且具有代表性。</w:t>
      </w:r>
    </w:p>
    <w:p w14:paraId="30633C42">
      <w:pPr>
        <w:pStyle w:val="4"/>
        <w:adjustRightInd w:val="0"/>
        <w:snapToGrid w:val="0"/>
        <w:spacing w:line="440" w:lineRule="exact"/>
        <w:rPr>
          <w:rFonts w:hint="eastAsia" w:ascii="Times New Roman" w:hAnsi="Times New Roman" w:eastAsia="宋体" w:cs="Times New Roman"/>
          <w:color w:val="auto"/>
        </w:rPr>
      </w:pPr>
      <w:bookmarkStart w:id="161" w:name="_Toc32398"/>
      <w:r>
        <w:rPr>
          <w:rFonts w:ascii="Times New Roman" w:hAnsi="Times New Roman" w:eastAsia="宋体" w:cs="Times New Roman"/>
          <w:color w:val="auto"/>
        </w:rPr>
        <w:t>4.3监测时间及气象条件</w:t>
      </w:r>
      <w:bookmarkEnd w:id="161"/>
    </w:p>
    <w:p w14:paraId="4C620C2F">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监测时间：202</w:t>
      </w: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t>年</w:t>
      </w: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月</w:t>
      </w:r>
      <w:r>
        <w:rPr>
          <w:rFonts w:hint="eastAsia" w:ascii="Times New Roman" w:hAnsi="Times New Roman" w:cs="Times New Roman"/>
          <w:color w:val="auto"/>
          <w:sz w:val="24"/>
          <w:szCs w:val="24"/>
          <w:lang w:val="en-US" w:eastAsia="zh-CN"/>
        </w:rPr>
        <w:t>31</w:t>
      </w:r>
      <w:r>
        <w:rPr>
          <w:rFonts w:ascii="Times New Roman" w:hAnsi="Times New Roman" w:cs="Times New Roman"/>
          <w:color w:val="auto"/>
          <w:sz w:val="24"/>
          <w:szCs w:val="24"/>
        </w:rPr>
        <w:t>日。</w:t>
      </w:r>
    </w:p>
    <w:p w14:paraId="2905F3D8">
      <w:pPr>
        <w:adjustRightInd w:val="0"/>
        <w:snapToGrid w:val="0"/>
        <w:spacing w:line="440" w:lineRule="exact"/>
        <w:ind w:firstLine="480" w:firstLineChars="200"/>
        <w:rPr>
          <w:rFonts w:hint="eastAsia"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环境条件：天气：</w:t>
      </w:r>
      <w:r>
        <w:rPr>
          <w:rFonts w:hint="eastAsia" w:ascii="Times New Roman" w:hAnsi="Times New Roman" w:cs="Times New Roman"/>
          <w:color w:val="auto"/>
          <w:sz w:val="24"/>
          <w:szCs w:val="24"/>
          <w:highlight w:val="none"/>
          <w:lang w:val="en-US" w:eastAsia="zh-CN"/>
        </w:rPr>
        <w:t>多云</w:t>
      </w:r>
      <w:r>
        <w:rPr>
          <w:rFonts w:hint="eastAsia" w:ascii="Times New Roman" w:hAnsi="Times New Roman" w:cs="Times New Roman"/>
          <w:color w:val="auto"/>
          <w:sz w:val="24"/>
          <w:szCs w:val="24"/>
          <w:highlight w:val="none"/>
          <w:lang w:eastAsia="zh-CN"/>
        </w:rPr>
        <w:t>；</w:t>
      </w:r>
      <w:r>
        <w:rPr>
          <w:rFonts w:ascii="Times New Roman" w:hAnsi="Times New Roman" w:cs="Times New Roman"/>
          <w:color w:val="auto"/>
          <w:sz w:val="24"/>
          <w:szCs w:val="24"/>
          <w:highlight w:val="none"/>
        </w:rPr>
        <w:t>环境温度：</w:t>
      </w:r>
      <w:r>
        <w:rPr>
          <w:rFonts w:hint="eastAsia" w:ascii="Times New Roman" w:hAnsi="Times New Roman" w:cs="Times New Roman"/>
          <w:color w:val="auto"/>
          <w:sz w:val="24"/>
          <w:szCs w:val="24"/>
          <w:highlight w:val="none"/>
          <w:lang w:val="en-US" w:eastAsia="zh-CN"/>
        </w:rPr>
        <w:t>15~27</w:t>
      </w:r>
      <w:r>
        <w:rPr>
          <w:rFonts w:ascii="Times New Roman" w:hAnsi="Times New Roman" w:cs="Times New Roman"/>
          <w:color w:val="auto"/>
          <w:sz w:val="24"/>
          <w:szCs w:val="24"/>
          <w:highlight w:val="none"/>
        </w:rPr>
        <w:t xml:space="preserve">℃  </w:t>
      </w:r>
      <w:r>
        <w:rPr>
          <w:rFonts w:hint="eastAsia" w:ascii="Times New Roman" w:hAnsi="Times New Roman" w:cs="Times New Roman"/>
          <w:color w:val="auto"/>
          <w:sz w:val="24"/>
          <w:szCs w:val="24"/>
          <w:highlight w:val="none"/>
        </w:rPr>
        <w:t>风速</w:t>
      </w:r>
      <w:r>
        <w:rPr>
          <w:rFonts w:hint="eastAsia" w:ascii="Times New Roman" w:hAnsi="Times New Roman" w:cs="Times New Roman"/>
          <w:color w:val="auto"/>
          <w:sz w:val="24"/>
          <w:szCs w:val="24"/>
          <w:highlight w:val="none"/>
          <w:lang w:val="en-US" w:eastAsia="zh-CN"/>
        </w:rPr>
        <w:t>0.5~2.2</w:t>
      </w:r>
      <w:r>
        <w:rPr>
          <w:rFonts w:hint="eastAsia" w:ascii="Times New Roman" w:hAnsi="Times New Roman" w:cs="Times New Roman"/>
          <w:color w:val="auto"/>
          <w:sz w:val="24"/>
          <w:szCs w:val="24"/>
          <w:highlight w:val="none"/>
        </w:rPr>
        <w:t>m/s，风向：西南风；大气压：77.6~78.5kPa</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湿度：48~56%</w:t>
      </w:r>
      <w:r>
        <w:rPr>
          <w:rFonts w:hint="eastAsia" w:ascii="Times New Roman" w:hAnsi="Times New Roman" w:cs="Times New Roman"/>
          <w:color w:val="auto"/>
          <w:sz w:val="24"/>
          <w:szCs w:val="24"/>
          <w:highlight w:val="none"/>
        </w:rPr>
        <w:t>。</w:t>
      </w:r>
    </w:p>
    <w:p w14:paraId="4BEE6E90">
      <w:pPr>
        <w:pStyle w:val="4"/>
        <w:adjustRightInd w:val="0"/>
        <w:snapToGrid w:val="0"/>
        <w:spacing w:line="440" w:lineRule="exact"/>
        <w:rPr>
          <w:rFonts w:hint="eastAsia" w:ascii="Times New Roman" w:hAnsi="Times New Roman" w:eastAsia="宋体" w:cs="Times New Roman"/>
          <w:color w:val="auto"/>
        </w:rPr>
      </w:pPr>
      <w:bookmarkStart w:id="162" w:name="_Toc26181"/>
      <w:r>
        <w:rPr>
          <w:rFonts w:ascii="Times New Roman" w:hAnsi="Times New Roman" w:eastAsia="宋体" w:cs="Times New Roman"/>
          <w:color w:val="auto"/>
        </w:rPr>
        <w:t>4.4质量保证</w:t>
      </w:r>
      <w:bookmarkEnd w:id="162"/>
    </w:p>
    <w:p w14:paraId="1515D828">
      <w:pPr>
        <w:adjustRightInd w:val="0"/>
        <w:snapToGrid w:val="0"/>
        <w:spacing w:line="440" w:lineRule="exact"/>
        <w:ind w:firstLine="480" w:firstLineChars="200"/>
        <w:rPr>
          <w:rFonts w:hint="eastAsia" w:ascii="Times New Roman" w:hAnsi="Times New Roman" w:eastAsia="宋体" w:cs="Times New Roman"/>
          <w:color w:val="auto"/>
          <w:sz w:val="24"/>
          <w:szCs w:val="24"/>
          <w:lang w:eastAsia="zh-CN"/>
        </w:rPr>
      </w:pPr>
      <w:r>
        <w:rPr>
          <w:rFonts w:ascii="Times New Roman" w:hAnsi="Times New Roman" w:cs="Times New Roman"/>
          <w:color w:val="auto"/>
          <w:sz w:val="24"/>
          <w:szCs w:val="24"/>
        </w:rPr>
        <w:t>1）监测单位：</w:t>
      </w:r>
      <w:r>
        <w:rPr>
          <w:rFonts w:hint="eastAsia" w:ascii="Times New Roman" w:hAnsi="Times New Roman"/>
          <w:color w:val="auto"/>
          <w:sz w:val="24"/>
          <w:szCs w:val="24"/>
          <w:lang w:eastAsia="zh-CN"/>
        </w:rPr>
        <w:t>贵州元烁环境检测技术有限公司</w:t>
      </w:r>
    </w:p>
    <w:p w14:paraId="110A9FEE">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2）监测方法</w:t>
      </w:r>
    </w:p>
    <w:p w14:paraId="0543D723">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《交流输变电工程电磁环境监测方法》（HJ681-2013）。</w:t>
      </w:r>
    </w:p>
    <w:p w14:paraId="3E8FE0B1">
      <w:pPr>
        <w:adjustRightInd w:val="0"/>
        <w:snapToGrid w:val="0"/>
        <w:jc w:val="center"/>
        <w:rPr>
          <w:rFonts w:hint="eastAsia" w:ascii="Times New Roman" w:hAnsi="Times New Roman" w:cs="Times New Roman"/>
          <w:b/>
          <w:bCs/>
          <w:color w:val="auto"/>
          <w:sz w:val="24"/>
          <w:szCs w:val="24"/>
        </w:rPr>
      </w:pPr>
      <w:r>
        <w:rPr>
          <w:rFonts w:ascii="Times New Roman" w:hAnsi="Times New Roman" w:cs="Times New Roman"/>
          <w:b/>
          <w:bCs/>
          <w:color w:val="auto"/>
          <w:sz w:val="24"/>
          <w:szCs w:val="24"/>
        </w:rPr>
        <w:t>表4-</w:t>
      </w:r>
      <w:r>
        <w:rPr>
          <w:rFonts w:hint="eastAsia" w:ascii="Times New Roman" w:hAnsi="Times New Roman" w:cs="Times New Roman"/>
          <w:b/>
          <w:bCs/>
          <w:color w:val="auto"/>
          <w:sz w:val="24"/>
          <w:szCs w:val="24"/>
        </w:rPr>
        <w:t>2</w:t>
      </w:r>
      <w:r>
        <w:rPr>
          <w:rFonts w:ascii="Times New Roman" w:hAnsi="Times New Roman" w:cs="Times New Roman"/>
          <w:b/>
          <w:bCs/>
          <w:color w:val="auto"/>
          <w:sz w:val="24"/>
          <w:szCs w:val="24"/>
        </w:rPr>
        <w:t xml:space="preserve">  检测分析方法</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1"/>
        <w:gridCol w:w="3438"/>
        <w:gridCol w:w="2002"/>
        <w:gridCol w:w="991"/>
        <w:gridCol w:w="1213"/>
      </w:tblGrid>
      <w:tr w14:paraId="6AFB5A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21409153">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检测项目</w:t>
            </w:r>
          </w:p>
        </w:tc>
        <w:tc>
          <w:tcPr>
            <w:tcW w:w="1920" w:type="pct"/>
            <w:tcBorders>
              <w:tl2br w:val="nil"/>
              <w:tr2bl w:val="nil"/>
            </w:tcBorders>
            <w:vAlign w:val="center"/>
          </w:tcPr>
          <w:p w14:paraId="6198D77A">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检测方法依据标准代号</w:t>
            </w:r>
          </w:p>
          <w:p w14:paraId="25036C14">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及名称</w:t>
            </w:r>
          </w:p>
        </w:tc>
        <w:tc>
          <w:tcPr>
            <w:tcW w:w="1119" w:type="pct"/>
            <w:tcBorders>
              <w:tl2br w:val="nil"/>
              <w:tr2bl w:val="nil"/>
            </w:tcBorders>
            <w:vAlign w:val="center"/>
          </w:tcPr>
          <w:p w14:paraId="335E7E72">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主要检测仪器设备型号及名称、编号</w:t>
            </w:r>
          </w:p>
        </w:tc>
        <w:tc>
          <w:tcPr>
            <w:tcW w:w="554" w:type="pct"/>
            <w:tcBorders>
              <w:tl2br w:val="nil"/>
              <w:tr2bl w:val="nil"/>
            </w:tcBorders>
            <w:vAlign w:val="center"/>
          </w:tcPr>
          <w:p w14:paraId="6136E70D">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检测</w:t>
            </w:r>
          </w:p>
          <w:p w14:paraId="74509CD8">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人员</w:t>
            </w:r>
          </w:p>
        </w:tc>
        <w:tc>
          <w:tcPr>
            <w:tcW w:w="678" w:type="pct"/>
            <w:tcBorders>
              <w:tl2br w:val="nil"/>
              <w:tr2bl w:val="nil"/>
            </w:tcBorders>
            <w:vAlign w:val="center"/>
          </w:tcPr>
          <w:p w14:paraId="1ED0F974">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最低检出限或范围</w:t>
            </w:r>
          </w:p>
        </w:tc>
      </w:tr>
      <w:tr w14:paraId="3E52B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3EF9D272">
            <w:pPr>
              <w:adjustRightInd w:val="0"/>
              <w:snapToGrid w:val="0"/>
              <w:jc w:val="center"/>
              <w:rPr>
                <w:rFonts w:hint="eastAsia" w:ascii="Times New Roman" w:hAnsi="Times New Roman" w:cs="Times New Roman"/>
                <w:bCs/>
                <w:color w:val="auto"/>
                <w:szCs w:val="21"/>
              </w:rPr>
            </w:pPr>
            <w:r>
              <w:rPr>
                <w:rFonts w:ascii="Times New Roman" w:hAnsi="Times New Roman" w:cs="Times New Roman"/>
                <w:bCs/>
                <w:color w:val="auto"/>
                <w:szCs w:val="21"/>
              </w:rPr>
              <w:t>工频电场</w:t>
            </w:r>
          </w:p>
        </w:tc>
        <w:tc>
          <w:tcPr>
            <w:tcW w:w="1920" w:type="pct"/>
            <w:vMerge w:val="restart"/>
            <w:tcBorders>
              <w:tl2br w:val="nil"/>
              <w:tr2bl w:val="nil"/>
            </w:tcBorders>
            <w:vAlign w:val="center"/>
          </w:tcPr>
          <w:p w14:paraId="4FFCC2FA">
            <w:pPr>
              <w:pStyle w:val="56"/>
              <w:adjustRightInd w:val="0"/>
              <w:snapToGrid w:val="0"/>
              <w:jc w:val="center"/>
              <w:rPr>
                <w:rFonts w:hint="eastAsia" w:ascii="Times New Roman" w:hAnsi="Times New Roman" w:cs="Times New Roman"/>
                <w:color w:val="auto"/>
              </w:rPr>
            </w:pPr>
            <w:r>
              <w:rPr>
                <w:rFonts w:hint="eastAsia" w:ascii="Times New Roman" w:hAnsi="Times New Roman" w:cs="Times New Roman"/>
                <w:color w:val="auto"/>
              </w:rPr>
              <w:t>交流输变压工程电磁环境监测方法（试行）HJ681-2013</w:t>
            </w:r>
          </w:p>
        </w:tc>
        <w:tc>
          <w:tcPr>
            <w:tcW w:w="1119" w:type="pct"/>
            <w:vMerge w:val="restart"/>
            <w:tcBorders>
              <w:tl2br w:val="nil"/>
              <w:tr2bl w:val="nil"/>
            </w:tcBorders>
            <w:vAlign w:val="center"/>
          </w:tcPr>
          <w:p w14:paraId="050B6111">
            <w:pPr>
              <w:pStyle w:val="56"/>
              <w:adjustRightInd w:val="0"/>
              <w:snapToGrid w:val="0"/>
              <w:jc w:val="center"/>
              <w:rPr>
                <w:rFonts w:hint="eastAsia" w:ascii="Times New Roman" w:hAnsi="Times New Roman" w:cs="Times New Roman"/>
                <w:color w:val="auto"/>
              </w:rPr>
            </w:pPr>
            <w:r>
              <w:rPr>
                <w:rFonts w:hint="eastAsia" w:ascii="Times New Roman" w:hAnsi="Times New Roman" w:cs="Times New Roman"/>
                <w:color w:val="auto"/>
              </w:rPr>
              <w:t>RJ-5工频电磁场测试仪</w:t>
            </w:r>
          </w:p>
        </w:tc>
        <w:tc>
          <w:tcPr>
            <w:tcW w:w="554" w:type="pct"/>
            <w:vMerge w:val="restart"/>
            <w:tcBorders>
              <w:tl2br w:val="nil"/>
              <w:tr2bl w:val="nil"/>
            </w:tcBorders>
            <w:vAlign w:val="center"/>
          </w:tcPr>
          <w:p w14:paraId="60F7A9B9">
            <w:pPr>
              <w:adjustRightInd w:val="0"/>
              <w:snapToGrid w:val="0"/>
              <w:jc w:val="center"/>
              <w:rPr>
                <w:rFonts w:hint="eastAsia" w:ascii="Times New Roman" w:hAnsi="Times New Roman" w:eastAsia="宋体" w:cs="Times New Roman"/>
                <w:bCs/>
                <w:color w:val="auto"/>
                <w:szCs w:val="21"/>
                <w:highlight w:val="green"/>
                <w:lang w:eastAsia="zh-CN"/>
              </w:rPr>
            </w:pPr>
            <w:r>
              <w:rPr>
                <w:rFonts w:hint="eastAsia" w:ascii="Times New Roman" w:hAnsi="Times New Roman" w:cs="Times New Roman"/>
                <w:bCs/>
                <w:color w:val="auto"/>
                <w:szCs w:val="21"/>
                <w:lang w:val="en-US" w:eastAsia="zh-CN"/>
              </w:rPr>
              <w:t>/</w:t>
            </w:r>
          </w:p>
        </w:tc>
        <w:tc>
          <w:tcPr>
            <w:tcW w:w="678" w:type="pct"/>
            <w:tcBorders>
              <w:tl2br w:val="nil"/>
              <w:tr2bl w:val="nil"/>
            </w:tcBorders>
            <w:vAlign w:val="center"/>
          </w:tcPr>
          <w:p w14:paraId="4CC15679">
            <w:pPr>
              <w:pStyle w:val="56"/>
              <w:adjustRightInd w:val="0"/>
              <w:snapToGrid w:val="0"/>
              <w:jc w:val="center"/>
              <w:rPr>
                <w:rFonts w:hint="default" w:ascii="Times New Roman" w:hAnsi="Times New Roman" w:eastAsia="宋体" w:cs="Times New Roman"/>
                <w:color w:val="auto"/>
                <w:kern w:val="2"/>
                <w:lang w:val="en-US" w:eastAsia="zh-CN"/>
              </w:rPr>
            </w:pPr>
            <w:r>
              <w:rPr>
                <w:rFonts w:hint="eastAsia" w:cs="Times New Roman"/>
                <w:color w:val="auto"/>
                <w:kern w:val="2"/>
                <w:lang w:val="en-US" w:eastAsia="zh-CN"/>
              </w:rPr>
              <w:t>0.01V/m</w:t>
            </w:r>
          </w:p>
        </w:tc>
      </w:tr>
      <w:tr w14:paraId="673D0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6A9DEF5E">
            <w:pPr>
              <w:adjustRightInd w:val="0"/>
              <w:snapToGrid w:val="0"/>
              <w:jc w:val="center"/>
              <w:rPr>
                <w:rFonts w:hint="eastAsia" w:ascii="Times New Roman" w:hAnsi="Times New Roman" w:cs="Times New Roman"/>
                <w:bCs/>
                <w:color w:val="auto"/>
                <w:szCs w:val="21"/>
              </w:rPr>
            </w:pPr>
            <w:r>
              <w:rPr>
                <w:rFonts w:ascii="Times New Roman" w:hAnsi="Times New Roman" w:cs="Times New Roman"/>
                <w:bCs/>
                <w:color w:val="auto"/>
                <w:szCs w:val="21"/>
              </w:rPr>
              <w:t>工频磁场</w:t>
            </w:r>
          </w:p>
        </w:tc>
        <w:tc>
          <w:tcPr>
            <w:tcW w:w="1920" w:type="pct"/>
            <w:vMerge w:val="continue"/>
            <w:tcBorders>
              <w:tl2br w:val="nil"/>
              <w:tr2bl w:val="nil"/>
            </w:tcBorders>
            <w:vAlign w:val="center"/>
          </w:tcPr>
          <w:p w14:paraId="203518A5">
            <w:pPr>
              <w:pStyle w:val="56"/>
              <w:adjustRightInd w:val="0"/>
              <w:snapToGrid w:val="0"/>
              <w:jc w:val="center"/>
              <w:rPr>
                <w:rFonts w:hint="eastAsia" w:ascii="Times New Roman" w:hAnsi="Times New Roman" w:cs="Times New Roman"/>
                <w:color w:val="auto"/>
                <w:kern w:val="2"/>
              </w:rPr>
            </w:pPr>
          </w:p>
        </w:tc>
        <w:tc>
          <w:tcPr>
            <w:tcW w:w="1119" w:type="pct"/>
            <w:vMerge w:val="continue"/>
            <w:tcBorders>
              <w:tl2br w:val="nil"/>
              <w:tr2bl w:val="nil"/>
            </w:tcBorders>
            <w:vAlign w:val="center"/>
          </w:tcPr>
          <w:p w14:paraId="2A6E0518">
            <w:pPr>
              <w:pStyle w:val="56"/>
              <w:adjustRightInd w:val="0"/>
              <w:snapToGrid w:val="0"/>
              <w:jc w:val="center"/>
              <w:rPr>
                <w:rFonts w:hint="eastAsia" w:ascii="Times New Roman" w:hAnsi="Times New Roman" w:cs="Times New Roman"/>
                <w:color w:val="auto"/>
                <w:kern w:val="2"/>
                <w:highlight w:val="green"/>
              </w:rPr>
            </w:pPr>
          </w:p>
        </w:tc>
        <w:tc>
          <w:tcPr>
            <w:tcW w:w="554" w:type="pct"/>
            <w:vMerge w:val="continue"/>
            <w:tcBorders>
              <w:tl2br w:val="nil"/>
              <w:tr2bl w:val="nil"/>
            </w:tcBorders>
            <w:vAlign w:val="center"/>
          </w:tcPr>
          <w:p w14:paraId="3DF94894">
            <w:pPr>
              <w:adjustRightInd w:val="0"/>
              <w:snapToGrid w:val="0"/>
              <w:jc w:val="center"/>
              <w:rPr>
                <w:rFonts w:hint="eastAsia" w:ascii="Times New Roman" w:hAnsi="Times New Roman" w:cs="Times New Roman"/>
                <w:bCs/>
                <w:color w:val="auto"/>
                <w:szCs w:val="21"/>
                <w:highlight w:val="green"/>
              </w:rPr>
            </w:pPr>
          </w:p>
        </w:tc>
        <w:tc>
          <w:tcPr>
            <w:tcW w:w="678" w:type="pct"/>
            <w:tcBorders>
              <w:tl2br w:val="nil"/>
              <w:tr2bl w:val="nil"/>
            </w:tcBorders>
            <w:vAlign w:val="center"/>
          </w:tcPr>
          <w:p w14:paraId="43E3014D">
            <w:pPr>
              <w:pStyle w:val="56"/>
              <w:adjustRightInd w:val="0"/>
              <w:snapToGrid w:val="0"/>
              <w:jc w:val="center"/>
              <w:rPr>
                <w:rFonts w:hint="eastAsia" w:ascii="Times New Roman" w:hAnsi="Times New Roman" w:cs="Times New Roman"/>
                <w:color w:val="auto"/>
                <w:kern w:val="2"/>
              </w:rPr>
            </w:pPr>
            <w:r>
              <w:rPr>
                <w:rFonts w:ascii="Times New Roman" w:hAnsi="Times New Roman" w:cs="Times New Roman"/>
                <w:color w:val="auto"/>
                <w:kern w:val="2"/>
              </w:rPr>
              <w:t>0.</w:t>
            </w:r>
            <w:r>
              <w:rPr>
                <w:rFonts w:hint="eastAsia" w:ascii="Times New Roman" w:hAnsi="Times New Roman" w:cs="Times New Roman"/>
                <w:color w:val="auto"/>
                <w:kern w:val="2"/>
              </w:rPr>
              <w:t>0</w:t>
            </w:r>
            <w:r>
              <w:rPr>
                <w:rFonts w:ascii="Times New Roman" w:hAnsi="Times New Roman" w:cs="Times New Roman"/>
                <w:color w:val="auto"/>
                <w:kern w:val="2"/>
              </w:rPr>
              <w:t>1μT</w:t>
            </w:r>
          </w:p>
        </w:tc>
      </w:tr>
    </w:tbl>
    <w:p w14:paraId="4F56397E">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3）监测仪器</w:t>
      </w:r>
    </w:p>
    <w:p w14:paraId="69B5EF1D">
      <w:pPr>
        <w:adjustRightInd w:val="0"/>
        <w:snapToGrid w:val="0"/>
        <w:jc w:val="center"/>
        <w:rPr>
          <w:rFonts w:hint="eastAsia" w:ascii="Times New Roman" w:hAnsi="Times New Roman" w:cs="Times New Roman"/>
          <w:b/>
          <w:bCs/>
          <w:color w:val="auto"/>
          <w:sz w:val="24"/>
          <w:szCs w:val="24"/>
        </w:rPr>
      </w:pPr>
      <w:r>
        <w:rPr>
          <w:rFonts w:ascii="Times New Roman" w:hAnsi="Times New Roman" w:cs="Times New Roman"/>
          <w:b/>
          <w:bCs/>
          <w:color w:val="auto"/>
          <w:sz w:val="24"/>
          <w:szCs w:val="24"/>
        </w:rPr>
        <w:t>表4-</w:t>
      </w:r>
      <w:r>
        <w:rPr>
          <w:rFonts w:hint="eastAsia" w:ascii="Times New Roman" w:hAnsi="Times New Roman" w:cs="Times New Roman"/>
          <w:b/>
          <w:bCs/>
          <w:color w:val="auto"/>
          <w:sz w:val="24"/>
          <w:szCs w:val="24"/>
        </w:rPr>
        <w:t>3</w:t>
      </w:r>
      <w:r>
        <w:rPr>
          <w:rFonts w:ascii="Times New Roman" w:hAnsi="Times New Roman" w:cs="Times New Roman"/>
          <w:b/>
          <w:bCs/>
          <w:color w:val="auto"/>
          <w:sz w:val="24"/>
          <w:szCs w:val="24"/>
        </w:rPr>
        <w:t xml:space="preserve">  电磁环境监测仪器一览表</w:t>
      </w:r>
    </w:p>
    <w:tbl>
      <w:tblPr>
        <w:tblStyle w:val="52"/>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03"/>
        <w:gridCol w:w="1195"/>
        <w:gridCol w:w="2061"/>
        <w:gridCol w:w="975"/>
        <w:gridCol w:w="1188"/>
        <w:gridCol w:w="1460"/>
        <w:gridCol w:w="1248"/>
      </w:tblGrid>
      <w:tr w14:paraId="327821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553" w:hRule="atLeast"/>
        </w:trPr>
        <w:tc>
          <w:tcPr>
            <w:tcW w:w="345" w:type="pct"/>
            <w:tcBorders>
              <w:tl2br w:val="nil"/>
              <w:tr2bl w:val="nil"/>
            </w:tcBorders>
            <w:vAlign w:val="center"/>
          </w:tcPr>
          <w:p w14:paraId="32FA64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样品类别</w:t>
            </w:r>
          </w:p>
        </w:tc>
        <w:tc>
          <w:tcPr>
            <w:tcW w:w="684" w:type="pct"/>
            <w:tcBorders>
              <w:tl2br w:val="nil"/>
              <w:tr2bl w:val="nil"/>
            </w:tcBorders>
            <w:vAlign w:val="center"/>
          </w:tcPr>
          <w:p w14:paraId="4F181D8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检测项目</w:t>
            </w:r>
          </w:p>
        </w:tc>
        <w:tc>
          <w:tcPr>
            <w:tcW w:w="1180" w:type="pct"/>
            <w:tcBorders>
              <w:tl2br w:val="nil"/>
              <w:tr2bl w:val="nil"/>
            </w:tcBorders>
            <w:vAlign w:val="center"/>
          </w:tcPr>
          <w:p w14:paraId="7E1BB79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检测方法名称及编号</w:t>
            </w:r>
          </w:p>
        </w:tc>
        <w:tc>
          <w:tcPr>
            <w:tcW w:w="558" w:type="pct"/>
            <w:tcBorders>
              <w:tl2br w:val="nil"/>
              <w:tr2bl w:val="nil"/>
            </w:tcBorders>
            <w:vAlign w:val="center"/>
          </w:tcPr>
          <w:p w14:paraId="7D1F53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仪器型号及名称</w:t>
            </w:r>
          </w:p>
        </w:tc>
        <w:tc>
          <w:tcPr>
            <w:tcW w:w="680" w:type="pct"/>
            <w:tcBorders>
              <w:tl2br w:val="nil"/>
              <w:tr2bl w:val="nil"/>
            </w:tcBorders>
            <w:vAlign w:val="center"/>
          </w:tcPr>
          <w:p w14:paraId="6F63A7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仪器检出</w:t>
            </w:r>
          </w:p>
          <w:p w14:paraId="4B55A9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限或范围</w:t>
            </w:r>
          </w:p>
        </w:tc>
        <w:tc>
          <w:tcPr>
            <w:tcW w:w="836" w:type="pct"/>
            <w:tcBorders>
              <w:tl2br w:val="nil"/>
              <w:tr2bl w:val="nil"/>
            </w:tcBorders>
            <w:vAlign w:val="center"/>
          </w:tcPr>
          <w:p w14:paraId="116640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校准证书/仪器编号</w:t>
            </w:r>
          </w:p>
        </w:tc>
        <w:tc>
          <w:tcPr>
            <w:tcW w:w="714" w:type="pct"/>
            <w:tcBorders>
              <w:tl2br w:val="nil"/>
              <w:tr2bl w:val="nil"/>
            </w:tcBorders>
            <w:vAlign w:val="center"/>
          </w:tcPr>
          <w:p w14:paraId="5156AA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证书有效期</w:t>
            </w:r>
          </w:p>
        </w:tc>
      </w:tr>
      <w:tr w14:paraId="167D4D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345" w:type="pct"/>
            <w:vMerge w:val="restart"/>
            <w:tcBorders>
              <w:tl2br w:val="nil"/>
              <w:tr2bl w:val="nil"/>
            </w:tcBorders>
            <w:vAlign w:val="center"/>
          </w:tcPr>
          <w:p w14:paraId="49033C1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电磁辐射</w:t>
            </w:r>
          </w:p>
        </w:tc>
        <w:tc>
          <w:tcPr>
            <w:tcW w:w="684" w:type="pct"/>
            <w:tcBorders>
              <w:tl2br w:val="nil"/>
              <w:tr2bl w:val="nil"/>
            </w:tcBorders>
            <w:vAlign w:val="center"/>
          </w:tcPr>
          <w:p w14:paraId="3DB2C07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工频电场</w:t>
            </w:r>
          </w:p>
        </w:tc>
        <w:tc>
          <w:tcPr>
            <w:tcW w:w="1180" w:type="pct"/>
            <w:vMerge w:val="restart"/>
            <w:tcBorders>
              <w:tl2br w:val="nil"/>
              <w:tr2bl w:val="nil"/>
            </w:tcBorders>
            <w:vAlign w:val="center"/>
          </w:tcPr>
          <w:p w14:paraId="309C2F4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《交流输变电工程电</w:t>
            </w:r>
          </w:p>
          <w:p w14:paraId="0211A4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磁环境监测方法</w:t>
            </w:r>
          </w:p>
          <w:p w14:paraId="475AC1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试行</w:t>
            </w:r>
            <w:r>
              <w:rPr>
                <w:rFonts w:hint="eastAsia"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》HJ 681-2013</w:t>
            </w:r>
          </w:p>
        </w:tc>
        <w:tc>
          <w:tcPr>
            <w:tcW w:w="558" w:type="pct"/>
            <w:vMerge w:val="restart"/>
            <w:tcBorders>
              <w:tl2br w:val="nil"/>
              <w:tr2bl w:val="nil"/>
            </w:tcBorders>
            <w:vAlign w:val="center"/>
          </w:tcPr>
          <w:p w14:paraId="0346412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RJ-5工频电磁场测试仪</w:t>
            </w:r>
          </w:p>
        </w:tc>
        <w:tc>
          <w:tcPr>
            <w:tcW w:w="680" w:type="pct"/>
            <w:tcBorders>
              <w:tl2br w:val="nil"/>
              <w:tr2bl w:val="nil"/>
            </w:tcBorders>
            <w:vAlign w:val="center"/>
          </w:tcPr>
          <w:p w14:paraId="054856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0.01V/m</w:t>
            </w:r>
          </w:p>
        </w:tc>
        <w:tc>
          <w:tcPr>
            <w:tcW w:w="836" w:type="pct"/>
            <w:tcBorders>
              <w:tl2br w:val="nil"/>
              <w:tr2bl w:val="nil"/>
            </w:tcBorders>
            <w:vAlign w:val="center"/>
          </w:tcPr>
          <w:p w14:paraId="5CBADD1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JL250700179</w:t>
            </w:r>
          </w:p>
          <w:p w14:paraId="1C7D22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7/YS-XC197</w:t>
            </w:r>
          </w:p>
        </w:tc>
        <w:tc>
          <w:tcPr>
            <w:tcW w:w="714" w:type="pct"/>
            <w:tcBorders>
              <w:tl2br w:val="nil"/>
              <w:tr2bl w:val="nil"/>
            </w:tcBorders>
            <w:vAlign w:val="center"/>
          </w:tcPr>
          <w:p w14:paraId="6F37FD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2026年7月22日</w:t>
            </w:r>
          </w:p>
        </w:tc>
      </w:tr>
      <w:tr w14:paraId="102F0E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345" w:type="pct"/>
            <w:vMerge w:val="continue"/>
            <w:tcBorders>
              <w:tl2br w:val="nil"/>
              <w:tr2bl w:val="nil"/>
            </w:tcBorders>
            <w:vAlign w:val="center"/>
          </w:tcPr>
          <w:p w14:paraId="699381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684" w:type="pct"/>
            <w:tcBorders>
              <w:tl2br w:val="nil"/>
              <w:tr2bl w:val="nil"/>
            </w:tcBorders>
            <w:vAlign w:val="center"/>
          </w:tcPr>
          <w:p w14:paraId="4FF893F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工频磁场</w:t>
            </w:r>
          </w:p>
        </w:tc>
        <w:tc>
          <w:tcPr>
            <w:tcW w:w="1180" w:type="pct"/>
            <w:vMerge w:val="continue"/>
            <w:tcBorders>
              <w:tl2br w:val="nil"/>
              <w:tr2bl w:val="nil"/>
            </w:tcBorders>
            <w:vAlign w:val="center"/>
          </w:tcPr>
          <w:p w14:paraId="7DB115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58" w:type="pct"/>
            <w:vMerge w:val="continue"/>
            <w:tcBorders>
              <w:tl2br w:val="nil"/>
              <w:tr2bl w:val="nil"/>
            </w:tcBorders>
            <w:vAlign w:val="center"/>
          </w:tcPr>
          <w:p w14:paraId="232EBC1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680" w:type="pct"/>
            <w:tcBorders>
              <w:tl2br w:val="nil"/>
              <w:tr2bl w:val="nil"/>
            </w:tcBorders>
            <w:vAlign w:val="center"/>
          </w:tcPr>
          <w:p w14:paraId="4E34D26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0.01μT</w:t>
            </w:r>
          </w:p>
        </w:tc>
        <w:tc>
          <w:tcPr>
            <w:tcW w:w="836" w:type="pct"/>
            <w:tcBorders>
              <w:tl2br w:val="nil"/>
              <w:tr2bl w:val="nil"/>
            </w:tcBorders>
            <w:vAlign w:val="center"/>
          </w:tcPr>
          <w:p w14:paraId="63465D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JL250700179</w:t>
            </w:r>
          </w:p>
          <w:p w14:paraId="04F1E8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8/YS-XC198</w:t>
            </w:r>
          </w:p>
        </w:tc>
        <w:tc>
          <w:tcPr>
            <w:tcW w:w="714" w:type="pct"/>
            <w:tcBorders>
              <w:tl2br w:val="nil"/>
              <w:tr2bl w:val="nil"/>
            </w:tcBorders>
            <w:vAlign w:val="center"/>
          </w:tcPr>
          <w:p w14:paraId="66BE7C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2026年7月22日</w:t>
            </w:r>
          </w:p>
        </w:tc>
      </w:tr>
    </w:tbl>
    <w:p w14:paraId="34734E8A">
      <w:pPr>
        <w:adjustRightInd w:val="0"/>
        <w:snapToGrid w:val="0"/>
        <w:jc w:val="center"/>
        <w:rPr>
          <w:rFonts w:hint="eastAsia" w:ascii="Times New Roman" w:hAnsi="Times New Roman" w:cs="Times New Roman"/>
          <w:b/>
          <w:bCs/>
          <w:color w:val="auto"/>
          <w:sz w:val="24"/>
          <w:szCs w:val="24"/>
        </w:rPr>
      </w:pPr>
    </w:p>
    <w:p w14:paraId="40B1A187">
      <w:pPr>
        <w:pStyle w:val="4"/>
        <w:adjustRightInd w:val="0"/>
        <w:snapToGrid w:val="0"/>
        <w:spacing w:line="440" w:lineRule="exact"/>
        <w:rPr>
          <w:rFonts w:hint="eastAsia" w:ascii="Times New Roman" w:hAnsi="Times New Roman" w:eastAsia="宋体" w:cs="Times New Roman"/>
          <w:color w:val="auto"/>
        </w:rPr>
      </w:pPr>
      <w:bookmarkStart w:id="163" w:name="_Toc20924"/>
      <w:r>
        <w:rPr>
          <w:rFonts w:ascii="Times New Roman" w:hAnsi="Times New Roman" w:eastAsia="宋体" w:cs="Times New Roman"/>
          <w:color w:val="auto"/>
        </w:rPr>
        <w:t>4.5质量控制</w:t>
      </w:r>
      <w:bookmarkEnd w:id="163"/>
    </w:p>
    <w:p w14:paraId="44C22C57">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为保证监测结果的准</w:t>
      </w:r>
      <w:r>
        <w:rPr>
          <w:rFonts w:hint="eastAsia" w:ascii="Times New Roman" w:hAnsi="Times New Roman" w:cs="Times New Roman"/>
          <w:color w:val="auto"/>
          <w:sz w:val="24"/>
          <w:szCs w:val="24"/>
          <w:lang w:eastAsia="zh-CN"/>
        </w:rPr>
        <w:t>确性</w:t>
      </w:r>
      <w:r>
        <w:rPr>
          <w:rFonts w:ascii="Times New Roman" w:hAnsi="Times New Roman" w:cs="Times New Roman"/>
          <w:color w:val="auto"/>
          <w:sz w:val="24"/>
          <w:szCs w:val="24"/>
        </w:rPr>
        <w:t>，本次现状监测采样及样品分析均严格按照《环境监测技术规范》等要求进行，实施全程序质量控制。监测人员经考核并持有合格证书，所有监测仪器经计量部门检定并在有效期内，所有监测数据严格实行三级审核制度。</w:t>
      </w:r>
    </w:p>
    <w:p w14:paraId="36A091F2">
      <w:pPr>
        <w:pStyle w:val="4"/>
        <w:adjustRightInd w:val="0"/>
        <w:snapToGrid w:val="0"/>
        <w:spacing w:line="440" w:lineRule="exact"/>
        <w:rPr>
          <w:rFonts w:hint="eastAsia" w:ascii="Times New Roman" w:hAnsi="Times New Roman" w:eastAsia="宋体" w:cs="Times New Roman"/>
          <w:color w:val="auto"/>
        </w:rPr>
      </w:pPr>
      <w:bookmarkStart w:id="164" w:name="_Toc9336"/>
      <w:r>
        <w:rPr>
          <w:rFonts w:ascii="Times New Roman" w:hAnsi="Times New Roman" w:eastAsia="宋体" w:cs="Times New Roman"/>
          <w:color w:val="auto"/>
        </w:rPr>
        <w:t>4.6监测结果及分析</w:t>
      </w:r>
      <w:bookmarkEnd w:id="164"/>
    </w:p>
    <w:p w14:paraId="07004DA3">
      <w:pPr>
        <w:adjustRightInd w:val="0"/>
        <w:snapToGrid w:val="0"/>
        <w:spacing w:line="440" w:lineRule="exact"/>
        <w:ind w:firstLine="482" w:firstLineChars="200"/>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（1）本次监测结果分析</w:t>
      </w:r>
    </w:p>
    <w:p w14:paraId="312EE444">
      <w:pPr>
        <w:adjustRightInd w:val="0"/>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根据监测报告，本次现状监测结果见下表。</w:t>
      </w:r>
    </w:p>
    <w:p w14:paraId="0CAF43EC">
      <w:pPr>
        <w:adjustRightInd w:val="0"/>
        <w:snapToGrid w:val="0"/>
        <w:jc w:val="center"/>
        <w:rPr>
          <w:rFonts w:hint="eastAsia" w:ascii="Times New Roman" w:hAnsi="Times New Roman" w:cs="Times New Roman"/>
          <w:b/>
          <w:bCs/>
          <w:color w:val="auto"/>
          <w:sz w:val="24"/>
          <w:szCs w:val="24"/>
        </w:rPr>
      </w:pPr>
      <w:r>
        <w:rPr>
          <w:rFonts w:ascii="Times New Roman" w:hAnsi="Times New Roman" w:cs="Times New Roman"/>
          <w:b/>
          <w:bCs/>
          <w:color w:val="auto"/>
          <w:sz w:val="24"/>
          <w:szCs w:val="24"/>
        </w:rPr>
        <w:t>表4-</w:t>
      </w:r>
      <w:r>
        <w:rPr>
          <w:rFonts w:hint="eastAsia" w:ascii="Times New Roman" w:hAnsi="Times New Roman" w:cs="Times New Roman"/>
          <w:b/>
          <w:bCs/>
          <w:color w:val="auto"/>
          <w:sz w:val="24"/>
          <w:szCs w:val="24"/>
        </w:rPr>
        <w:t>8</w:t>
      </w:r>
      <w:r>
        <w:rPr>
          <w:rFonts w:ascii="Times New Roman" w:hAnsi="Times New Roman" w:cs="Times New Roman"/>
          <w:b/>
          <w:bCs/>
          <w:color w:val="auto"/>
          <w:sz w:val="24"/>
          <w:szCs w:val="24"/>
        </w:rPr>
        <w:t xml:space="preserve">  本</w:t>
      </w:r>
      <w:r>
        <w:rPr>
          <w:rFonts w:hint="eastAsia" w:ascii="Times New Roman" w:hAnsi="Times New Roman" w:cs="Times New Roman"/>
          <w:b/>
          <w:bCs/>
          <w:color w:val="auto"/>
          <w:sz w:val="24"/>
          <w:szCs w:val="24"/>
        </w:rPr>
        <w:t>次</w:t>
      </w:r>
      <w:r>
        <w:rPr>
          <w:rFonts w:ascii="Times New Roman" w:hAnsi="Times New Roman" w:cs="Times New Roman"/>
          <w:b/>
          <w:bCs/>
          <w:color w:val="auto"/>
          <w:sz w:val="24"/>
          <w:szCs w:val="24"/>
        </w:rPr>
        <w:t>工频电场、工频磁场现状监测结果</w:t>
      </w:r>
    </w:p>
    <w:tbl>
      <w:tblPr>
        <w:tblStyle w:val="52"/>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928"/>
        <w:gridCol w:w="995"/>
        <w:gridCol w:w="1097"/>
        <w:gridCol w:w="1141"/>
        <w:gridCol w:w="1130"/>
        <w:gridCol w:w="980"/>
        <w:gridCol w:w="702"/>
        <w:gridCol w:w="1013"/>
        <w:gridCol w:w="744"/>
      </w:tblGrid>
      <w:tr w14:paraId="06E5E6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0" w:hRule="atLeast"/>
        </w:trPr>
        <w:tc>
          <w:tcPr>
            <w:tcW w:w="532" w:type="pct"/>
            <w:vMerge w:val="restart"/>
            <w:tcBorders>
              <w:tl2br w:val="nil"/>
              <w:tr2bl w:val="nil"/>
            </w:tcBorders>
            <w:vAlign w:val="center"/>
          </w:tcPr>
          <w:p w14:paraId="13E25D0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检测点位</w:t>
            </w:r>
          </w:p>
        </w:tc>
        <w:tc>
          <w:tcPr>
            <w:tcW w:w="1198" w:type="pct"/>
            <w:gridSpan w:val="2"/>
            <w:vMerge w:val="restart"/>
            <w:tcBorders>
              <w:tl2br w:val="nil"/>
              <w:tr2bl w:val="nil"/>
            </w:tcBorders>
            <w:vAlign w:val="center"/>
          </w:tcPr>
          <w:p w14:paraId="733FBA5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检测时间/次数</w:t>
            </w:r>
          </w:p>
        </w:tc>
        <w:tc>
          <w:tcPr>
            <w:tcW w:w="1301" w:type="pct"/>
            <w:gridSpan w:val="2"/>
            <w:tcBorders>
              <w:tl2br w:val="nil"/>
              <w:tr2bl w:val="nil"/>
            </w:tcBorders>
            <w:vAlign w:val="center"/>
          </w:tcPr>
          <w:p w14:paraId="51226C8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检测结果</w:t>
            </w:r>
          </w:p>
        </w:tc>
        <w:tc>
          <w:tcPr>
            <w:tcW w:w="1967" w:type="pct"/>
            <w:gridSpan w:val="4"/>
            <w:tcBorders>
              <w:tl2br w:val="nil"/>
              <w:tr2bl w:val="nil"/>
            </w:tcBorders>
            <w:vAlign w:val="center"/>
          </w:tcPr>
          <w:p w14:paraId="0A9E3A9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标准限值/评价结果</w:t>
            </w:r>
          </w:p>
        </w:tc>
      </w:tr>
      <w:tr w14:paraId="7202D0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DC4FDB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1198" w:type="pct"/>
            <w:gridSpan w:val="2"/>
            <w:vMerge w:val="continue"/>
            <w:tcBorders>
              <w:tl2br w:val="nil"/>
              <w:tr2bl w:val="nil"/>
            </w:tcBorders>
            <w:vAlign w:val="center"/>
          </w:tcPr>
          <w:p w14:paraId="2A77FC8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654" w:type="pct"/>
            <w:tcBorders>
              <w:tl2br w:val="nil"/>
              <w:tr2bl w:val="nil"/>
            </w:tcBorders>
            <w:vAlign w:val="center"/>
          </w:tcPr>
          <w:p w14:paraId="0BCB11C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工频电场</w:t>
            </w:r>
            <w:r>
              <w:rPr>
                <w:rFonts w:hint="default" w:ascii="Times New Roman" w:hAnsi="Times New Roman" w:eastAsia="宋体" w:cs="Times New Roman"/>
                <w:b/>
                <w:bCs/>
                <w:color w:val="auto"/>
                <w:spacing w:val="1"/>
                <w:sz w:val="21"/>
                <w:szCs w:val="21"/>
              </w:rPr>
              <w:t>（V/m）</w:t>
            </w:r>
          </w:p>
        </w:tc>
        <w:tc>
          <w:tcPr>
            <w:tcW w:w="647" w:type="pct"/>
            <w:tcBorders>
              <w:tl2br w:val="nil"/>
              <w:tr2bl w:val="nil"/>
            </w:tcBorders>
            <w:vAlign w:val="center"/>
          </w:tcPr>
          <w:p w14:paraId="50ED643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工频磁场</w:t>
            </w:r>
            <w:r>
              <w:rPr>
                <w:rFonts w:hint="default" w:ascii="Times New Roman" w:hAnsi="Times New Roman" w:eastAsia="宋体" w:cs="Times New Roman"/>
                <w:b/>
                <w:bCs/>
                <w:color w:val="auto"/>
                <w:spacing w:val="6"/>
                <w:sz w:val="21"/>
                <w:szCs w:val="21"/>
                <w:lang w:eastAsia="zh-CN"/>
              </w:rPr>
              <w:t>（</w:t>
            </w:r>
            <w:r>
              <w:rPr>
                <w:rFonts w:hint="default" w:ascii="Times New Roman" w:hAnsi="Times New Roman" w:eastAsia="宋体" w:cs="Times New Roman"/>
                <w:b/>
                <w:bCs/>
                <w:color w:val="auto"/>
                <w:sz w:val="21"/>
                <w:szCs w:val="21"/>
              </w:rPr>
              <w:t>μT）</w:t>
            </w:r>
          </w:p>
        </w:tc>
        <w:tc>
          <w:tcPr>
            <w:tcW w:w="561" w:type="pct"/>
            <w:tcBorders>
              <w:tl2br w:val="nil"/>
              <w:tr2bl w:val="nil"/>
            </w:tcBorders>
            <w:vAlign w:val="center"/>
          </w:tcPr>
          <w:p w14:paraId="65D4F21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工频电场</w:t>
            </w:r>
            <w:r>
              <w:rPr>
                <w:rFonts w:hint="default" w:ascii="Times New Roman" w:hAnsi="Times New Roman" w:eastAsia="宋体" w:cs="Times New Roman"/>
                <w:b/>
                <w:bCs/>
                <w:color w:val="auto"/>
                <w:spacing w:val="1"/>
                <w:sz w:val="21"/>
                <w:szCs w:val="21"/>
              </w:rPr>
              <w:t>（V/m）</w:t>
            </w:r>
          </w:p>
        </w:tc>
        <w:tc>
          <w:tcPr>
            <w:tcW w:w="402" w:type="pct"/>
            <w:tcBorders>
              <w:tl2br w:val="nil"/>
              <w:tr2bl w:val="nil"/>
            </w:tcBorders>
            <w:vAlign w:val="center"/>
          </w:tcPr>
          <w:p w14:paraId="65AF969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评价</w:t>
            </w:r>
            <w:r>
              <w:rPr>
                <w:rFonts w:hint="default" w:ascii="Times New Roman" w:hAnsi="Times New Roman" w:eastAsia="宋体" w:cs="Times New Roman"/>
                <w:b/>
                <w:bCs/>
                <w:color w:val="auto"/>
                <w:spacing w:val="2"/>
                <w:sz w:val="21"/>
                <w:szCs w:val="21"/>
              </w:rPr>
              <w:t>结果</w:t>
            </w:r>
          </w:p>
        </w:tc>
        <w:tc>
          <w:tcPr>
            <w:tcW w:w="580" w:type="pct"/>
            <w:tcBorders>
              <w:tl2br w:val="nil"/>
              <w:tr2bl w:val="nil"/>
            </w:tcBorders>
            <w:vAlign w:val="center"/>
          </w:tcPr>
          <w:p w14:paraId="4F2021B8">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工频磁场</w:t>
            </w:r>
            <w:r>
              <w:rPr>
                <w:rFonts w:hint="default" w:ascii="Times New Roman" w:hAnsi="Times New Roman" w:eastAsia="宋体" w:cs="Times New Roman"/>
                <w:b/>
                <w:bCs/>
                <w:color w:val="auto"/>
                <w:spacing w:val="6"/>
                <w:sz w:val="21"/>
                <w:szCs w:val="21"/>
                <w:lang w:eastAsia="zh-CN"/>
              </w:rPr>
              <w:t>（</w:t>
            </w:r>
            <w:r>
              <w:rPr>
                <w:rFonts w:hint="default" w:ascii="Times New Roman" w:hAnsi="Times New Roman" w:eastAsia="宋体" w:cs="Times New Roman"/>
                <w:b/>
                <w:bCs/>
                <w:color w:val="auto"/>
                <w:sz w:val="21"/>
                <w:szCs w:val="21"/>
              </w:rPr>
              <w:t>μT）</w:t>
            </w:r>
          </w:p>
        </w:tc>
        <w:tc>
          <w:tcPr>
            <w:tcW w:w="423" w:type="pct"/>
            <w:tcBorders>
              <w:tl2br w:val="nil"/>
              <w:tr2bl w:val="nil"/>
            </w:tcBorders>
            <w:vAlign w:val="center"/>
          </w:tcPr>
          <w:p w14:paraId="4240129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评价</w:t>
            </w:r>
            <w:r>
              <w:rPr>
                <w:rFonts w:hint="default" w:ascii="Times New Roman" w:hAnsi="Times New Roman" w:eastAsia="宋体" w:cs="Times New Roman"/>
                <w:b/>
                <w:bCs/>
                <w:color w:val="auto"/>
                <w:spacing w:val="2"/>
                <w:sz w:val="21"/>
                <w:szCs w:val="21"/>
              </w:rPr>
              <w:t>结果</w:t>
            </w:r>
          </w:p>
        </w:tc>
      </w:tr>
      <w:tr w14:paraId="5434BD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52CC18A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w:t>
            </w:r>
            <w:r>
              <w:rPr>
                <w:rFonts w:hint="eastAsia" w:ascii="Times New Roman" w:hAnsi="Times New Roman" w:cs="Times New Roman"/>
                <w:color w:val="auto"/>
                <w:sz w:val="21"/>
                <w:szCs w:val="21"/>
                <w:lang w:val="en-US" w:eastAsia="zh-CN"/>
              </w:rPr>
              <w:t>1</w:t>
            </w:r>
            <w:r>
              <w:rPr>
                <w:rFonts w:hint="default" w:ascii="Times New Roman" w:hAnsi="Times New Roman" w:eastAsia="宋体" w:cs="Times New Roman"/>
                <w:color w:val="auto"/>
                <w:sz w:val="21"/>
                <w:szCs w:val="21"/>
              </w:rPr>
              <w:t>~N</w:t>
            </w:r>
            <w:r>
              <w:rPr>
                <w:rFonts w:hint="eastAsia" w:ascii="Times New Roman" w:hAnsi="Times New Roman" w:cs="Times New Roman"/>
                <w:color w:val="auto"/>
                <w:sz w:val="21"/>
                <w:szCs w:val="21"/>
                <w:lang w:val="en-US" w:eastAsia="zh-CN"/>
              </w:rPr>
              <w:t>2</w:t>
            </w:r>
            <w:r>
              <w:rPr>
                <w:rFonts w:hint="default" w:ascii="Times New Roman" w:hAnsi="Times New Roman" w:eastAsia="宋体" w:cs="Times New Roman"/>
                <w:color w:val="auto"/>
                <w:sz w:val="21"/>
                <w:szCs w:val="21"/>
              </w:rPr>
              <w:t>之间六合村居民1#</w:t>
            </w:r>
          </w:p>
        </w:tc>
        <w:tc>
          <w:tcPr>
            <w:tcW w:w="569" w:type="pct"/>
            <w:vMerge w:val="restart"/>
            <w:tcBorders>
              <w:tl2br w:val="nil"/>
              <w:tr2bl w:val="nil"/>
            </w:tcBorders>
            <w:vAlign w:val="center"/>
          </w:tcPr>
          <w:p w14:paraId="59F2B50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4"/>
                <w:sz w:val="21"/>
                <w:szCs w:val="21"/>
              </w:rPr>
              <w:t>2026.</w:t>
            </w:r>
            <w:r>
              <w:rPr>
                <w:rFonts w:hint="default" w:ascii="Times New Roman" w:hAnsi="Times New Roman" w:eastAsia="宋体" w:cs="Times New Roman"/>
                <w:color w:val="auto"/>
                <w:spacing w:val="4"/>
                <w:sz w:val="21"/>
                <w:szCs w:val="21"/>
                <w:lang w:val="en-US" w:eastAsia="zh-CN"/>
              </w:rPr>
              <w:t>05.31</w:t>
            </w:r>
          </w:p>
        </w:tc>
        <w:tc>
          <w:tcPr>
            <w:tcW w:w="628" w:type="pct"/>
            <w:tcBorders>
              <w:tl2br w:val="nil"/>
              <w:tr2bl w:val="nil"/>
            </w:tcBorders>
            <w:vAlign w:val="center"/>
          </w:tcPr>
          <w:p w14:paraId="46BE2F8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第一次</w:t>
            </w:r>
          </w:p>
          <w:p w14:paraId="4113B37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64F01D2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24.70</w:t>
            </w:r>
          </w:p>
        </w:tc>
        <w:tc>
          <w:tcPr>
            <w:tcW w:w="647" w:type="pct"/>
            <w:tcBorders>
              <w:tl2br w:val="nil"/>
              <w:tr2bl w:val="nil"/>
            </w:tcBorders>
            <w:shd w:val="clear" w:color="auto" w:fill="auto"/>
            <w:vAlign w:val="center"/>
          </w:tcPr>
          <w:p w14:paraId="7F7A33C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0. 12</w:t>
            </w:r>
          </w:p>
        </w:tc>
        <w:tc>
          <w:tcPr>
            <w:tcW w:w="561" w:type="pct"/>
            <w:vMerge w:val="restart"/>
            <w:tcBorders>
              <w:tl2br w:val="nil"/>
              <w:tr2bl w:val="nil"/>
            </w:tcBorders>
            <w:vAlign w:val="center"/>
          </w:tcPr>
          <w:p w14:paraId="27D0DDE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631FBCF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726C122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63934E7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597A8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180DF2D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A371BF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55F126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第二次</w:t>
            </w:r>
          </w:p>
          <w:p w14:paraId="3946478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610FAA2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22.10</w:t>
            </w:r>
          </w:p>
        </w:tc>
        <w:tc>
          <w:tcPr>
            <w:tcW w:w="647" w:type="pct"/>
            <w:tcBorders>
              <w:tl2br w:val="nil"/>
              <w:tr2bl w:val="nil"/>
            </w:tcBorders>
            <w:shd w:val="clear" w:color="auto" w:fill="auto"/>
            <w:vAlign w:val="center"/>
          </w:tcPr>
          <w:p w14:paraId="471B19D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0.08</w:t>
            </w:r>
          </w:p>
        </w:tc>
        <w:tc>
          <w:tcPr>
            <w:tcW w:w="561" w:type="pct"/>
            <w:vMerge w:val="continue"/>
            <w:tcBorders>
              <w:tl2br w:val="nil"/>
              <w:tr2bl w:val="nil"/>
            </w:tcBorders>
            <w:vAlign w:val="center"/>
          </w:tcPr>
          <w:p w14:paraId="2528892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1F511A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F4B1C1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5C11D0E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B6735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6A499E3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90F188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D77813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第三次</w:t>
            </w:r>
          </w:p>
          <w:p w14:paraId="0B1E030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2B34E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21.96</w:t>
            </w:r>
          </w:p>
        </w:tc>
        <w:tc>
          <w:tcPr>
            <w:tcW w:w="647" w:type="pct"/>
            <w:tcBorders>
              <w:tl2br w:val="nil"/>
              <w:tr2bl w:val="nil"/>
            </w:tcBorders>
            <w:shd w:val="clear" w:color="auto" w:fill="auto"/>
            <w:vAlign w:val="center"/>
          </w:tcPr>
          <w:p w14:paraId="73536E1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0.09</w:t>
            </w:r>
          </w:p>
        </w:tc>
        <w:tc>
          <w:tcPr>
            <w:tcW w:w="561" w:type="pct"/>
            <w:vMerge w:val="continue"/>
            <w:tcBorders>
              <w:tl2br w:val="nil"/>
              <w:tr2bl w:val="nil"/>
            </w:tcBorders>
            <w:vAlign w:val="center"/>
          </w:tcPr>
          <w:p w14:paraId="3029C61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7951695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01AB67D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28854ED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19C2B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39577C7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7E554B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3DEF958">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4117BA1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0558E6E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24.77</w:t>
            </w:r>
          </w:p>
        </w:tc>
        <w:tc>
          <w:tcPr>
            <w:tcW w:w="647" w:type="pct"/>
            <w:tcBorders>
              <w:tl2br w:val="nil"/>
              <w:tr2bl w:val="nil"/>
            </w:tcBorders>
            <w:shd w:val="clear" w:color="auto" w:fill="auto"/>
            <w:vAlign w:val="center"/>
          </w:tcPr>
          <w:p w14:paraId="7FE11E5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0. 11</w:t>
            </w:r>
          </w:p>
        </w:tc>
        <w:tc>
          <w:tcPr>
            <w:tcW w:w="561" w:type="pct"/>
            <w:vMerge w:val="continue"/>
            <w:tcBorders>
              <w:tl2br w:val="nil"/>
              <w:tr2bl w:val="nil"/>
            </w:tcBorders>
            <w:vAlign w:val="center"/>
          </w:tcPr>
          <w:p w14:paraId="35DBD0D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081CFD5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5337FC7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6505AA1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14FF23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4F7613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00960E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0A6D5E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7DA9BF5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8AF1C5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29.58</w:t>
            </w:r>
          </w:p>
        </w:tc>
        <w:tc>
          <w:tcPr>
            <w:tcW w:w="647" w:type="pct"/>
            <w:tcBorders>
              <w:tl2br w:val="nil"/>
              <w:tr2bl w:val="nil"/>
            </w:tcBorders>
            <w:shd w:val="clear" w:color="auto" w:fill="auto"/>
            <w:vAlign w:val="center"/>
          </w:tcPr>
          <w:p w14:paraId="0E7893E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0.13</w:t>
            </w:r>
          </w:p>
        </w:tc>
        <w:tc>
          <w:tcPr>
            <w:tcW w:w="561" w:type="pct"/>
            <w:vMerge w:val="continue"/>
            <w:tcBorders>
              <w:tl2br w:val="nil"/>
              <w:tr2bl w:val="nil"/>
            </w:tcBorders>
            <w:vAlign w:val="center"/>
          </w:tcPr>
          <w:p w14:paraId="51CD180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2D729DB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030CD32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C0D380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03F5D4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6BCB269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AF2A74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D772BD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46EA119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24.62</w:t>
            </w:r>
          </w:p>
        </w:tc>
        <w:tc>
          <w:tcPr>
            <w:tcW w:w="647" w:type="pct"/>
            <w:tcBorders>
              <w:tl2br w:val="nil"/>
              <w:tr2bl w:val="nil"/>
            </w:tcBorders>
            <w:shd w:val="clear" w:color="auto" w:fill="auto"/>
            <w:vAlign w:val="center"/>
          </w:tcPr>
          <w:p w14:paraId="6016FF2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0.11</w:t>
            </w:r>
          </w:p>
        </w:tc>
        <w:tc>
          <w:tcPr>
            <w:tcW w:w="561" w:type="pct"/>
            <w:vMerge w:val="continue"/>
            <w:tcBorders>
              <w:tl2br w:val="nil"/>
              <w:tr2bl w:val="nil"/>
            </w:tcBorders>
            <w:vAlign w:val="center"/>
          </w:tcPr>
          <w:p w14:paraId="7201D0A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5B40359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72038B7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66D4F9D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r w14:paraId="15215F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4C9D91A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塔基N11~N12之间石灰窑散户2#</w:t>
            </w:r>
          </w:p>
        </w:tc>
        <w:tc>
          <w:tcPr>
            <w:tcW w:w="569" w:type="pct"/>
            <w:vMerge w:val="restart"/>
            <w:tcBorders>
              <w:tl2br w:val="nil"/>
              <w:tr2bl w:val="nil"/>
            </w:tcBorders>
            <w:vAlign w:val="center"/>
          </w:tcPr>
          <w:p w14:paraId="32F06A0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2026.</w:t>
            </w:r>
            <w:r>
              <w:rPr>
                <w:rFonts w:hint="default" w:ascii="Times New Roman" w:hAnsi="Times New Roman" w:eastAsia="宋体" w:cs="Times New Roman"/>
                <w:color w:val="auto"/>
                <w:sz w:val="21"/>
                <w:szCs w:val="21"/>
                <w:lang w:val="en-US" w:eastAsia="zh-CN"/>
              </w:rPr>
              <w:t>05.31</w:t>
            </w:r>
          </w:p>
        </w:tc>
        <w:tc>
          <w:tcPr>
            <w:tcW w:w="628" w:type="pct"/>
            <w:tcBorders>
              <w:tl2br w:val="nil"/>
              <w:tr2bl w:val="nil"/>
            </w:tcBorders>
            <w:vAlign w:val="center"/>
          </w:tcPr>
          <w:p w14:paraId="5864CE5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38BBE0B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5A0E308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15.22</w:t>
            </w:r>
          </w:p>
        </w:tc>
        <w:tc>
          <w:tcPr>
            <w:tcW w:w="647" w:type="pct"/>
            <w:tcBorders>
              <w:tl2br w:val="nil"/>
              <w:tr2bl w:val="nil"/>
            </w:tcBorders>
            <w:shd w:val="clear" w:color="auto" w:fill="auto"/>
            <w:vAlign w:val="center"/>
          </w:tcPr>
          <w:p w14:paraId="0D8ED78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561" w:type="pct"/>
            <w:vMerge w:val="restart"/>
            <w:tcBorders>
              <w:tl2br w:val="nil"/>
              <w:tr2bl w:val="nil"/>
            </w:tcBorders>
            <w:vAlign w:val="center"/>
          </w:tcPr>
          <w:p w14:paraId="11B583B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5930095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746A087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529C6C0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FC3AE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6BF2A44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BBAF9B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3C0D607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6350C24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684CE5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13.60</w:t>
            </w:r>
          </w:p>
        </w:tc>
        <w:tc>
          <w:tcPr>
            <w:tcW w:w="647" w:type="pct"/>
            <w:tcBorders>
              <w:tl2br w:val="nil"/>
              <w:tr2bl w:val="nil"/>
            </w:tcBorders>
            <w:shd w:val="clear" w:color="auto" w:fill="auto"/>
            <w:vAlign w:val="center"/>
          </w:tcPr>
          <w:p w14:paraId="6B58220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561" w:type="pct"/>
            <w:vMerge w:val="continue"/>
            <w:tcBorders>
              <w:tl2br w:val="nil"/>
              <w:tr2bl w:val="nil"/>
            </w:tcBorders>
            <w:vAlign w:val="center"/>
          </w:tcPr>
          <w:p w14:paraId="108C477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61140BE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05C653B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ABEA05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3E269A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0E406E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34AC5F3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2B7590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4C0478A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830538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19.72</w:t>
            </w:r>
          </w:p>
        </w:tc>
        <w:tc>
          <w:tcPr>
            <w:tcW w:w="647" w:type="pct"/>
            <w:tcBorders>
              <w:tl2br w:val="nil"/>
              <w:tr2bl w:val="nil"/>
            </w:tcBorders>
            <w:shd w:val="clear" w:color="auto" w:fill="auto"/>
            <w:vAlign w:val="center"/>
          </w:tcPr>
          <w:p w14:paraId="4DE1429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0.09</w:t>
            </w:r>
          </w:p>
        </w:tc>
        <w:tc>
          <w:tcPr>
            <w:tcW w:w="561" w:type="pct"/>
            <w:vMerge w:val="continue"/>
            <w:tcBorders>
              <w:tl2br w:val="nil"/>
              <w:tr2bl w:val="nil"/>
            </w:tcBorders>
            <w:vAlign w:val="center"/>
          </w:tcPr>
          <w:p w14:paraId="1DC0FF2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1DB5BB5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5CC2D22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DBEE78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668A97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D3F838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63C961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823714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728BFFC8">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3104D5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16.78</w:t>
            </w:r>
          </w:p>
        </w:tc>
        <w:tc>
          <w:tcPr>
            <w:tcW w:w="647" w:type="pct"/>
            <w:tcBorders>
              <w:tl2br w:val="nil"/>
              <w:tr2bl w:val="nil"/>
            </w:tcBorders>
            <w:shd w:val="clear" w:color="auto" w:fill="auto"/>
            <w:vAlign w:val="center"/>
          </w:tcPr>
          <w:p w14:paraId="6C0D22B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561" w:type="pct"/>
            <w:vMerge w:val="continue"/>
            <w:tcBorders>
              <w:tl2br w:val="nil"/>
              <w:tr2bl w:val="nil"/>
            </w:tcBorders>
            <w:vAlign w:val="center"/>
          </w:tcPr>
          <w:p w14:paraId="7A4E742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1FE40DA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350BBB4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163816F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4678A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D681A2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10A6210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569964F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50C0875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2FB0E8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13.84</w:t>
            </w:r>
          </w:p>
        </w:tc>
        <w:tc>
          <w:tcPr>
            <w:tcW w:w="647" w:type="pct"/>
            <w:tcBorders>
              <w:tl2br w:val="nil"/>
              <w:tr2bl w:val="nil"/>
            </w:tcBorders>
            <w:shd w:val="clear" w:color="auto" w:fill="auto"/>
            <w:vAlign w:val="center"/>
          </w:tcPr>
          <w:p w14:paraId="72D12EA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0.07</w:t>
            </w:r>
          </w:p>
        </w:tc>
        <w:tc>
          <w:tcPr>
            <w:tcW w:w="561" w:type="pct"/>
            <w:vMerge w:val="continue"/>
            <w:tcBorders>
              <w:tl2br w:val="nil"/>
              <w:tr2bl w:val="nil"/>
            </w:tcBorders>
            <w:vAlign w:val="center"/>
          </w:tcPr>
          <w:p w14:paraId="7200184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6AFB322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3396C7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09F8CEA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EAC3E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4512AB8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E6A502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2BBB91C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5758E32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15.83</w:t>
            </w:r>
          </w:p>
        </w:tc>
        <w:tc>
          <w:tcPr>
            <w:tcW w:w="647" w:type="pct"/>
            <w:tcBorders>
              <w:tl2br w:val="nil"/>
              <w:tr2bl w:val="nil"/>
            </w:tcBorders>
            <w:shd w:val="clear" w:color="auto" w:fill="auto"/>
            <w:vAlign w:val="center"/>
          </w:tcPr>
          <w:p w14:paraId="21BDF4F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0.07</w:t>
            </w:r>
          </w:p>
        </w:tc>
        <w:tc>
          <w:tcPr>
            <w:tcW w:w="561" w:type="pct"/>
            <w:vMerge w:val="continue"/>
            <w:tcBorders>
              <w:tl2br w:val="nil"/>
              <w:tr2bl w:val="nil"/>
            </w:tcBorders>
            <w:vAlign w:val="center"/>
          </w:tcPr>
          <w:p w14:paraId="6527093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02" w:type="pct"/>
            <w:tcBorders>
              <w:tl2br w:val="nil"/>
              <w:tr2bl w:val="nil"/>
            </w:tcBorders>
            <w:vAlign w:val="center"/>
          </w:tcPr>
          <w:p w14:paraId="23C9A71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73173A6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0574E03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r w14:paraId="56CDD2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1E12FAF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塔基N23~N24之间隧道工棚3#</w:t>
            </w:r>
          </w:p>
        </w:tc>
        <w:tc>
          <w:tcPr>
            <w:tcW w:w="569" w:type="pct"/>
            <w:vMerge w:val="restart"/>
            <w:tcBorders>
              <w:tl2br w:val="nil"/>
              <w:tr2bl w:val="nil"/>
            </w:tcBorders>
            <w:vAlign w:val="center"/>
          </w:tcPr>
          <w:p w14:paraId="0D597AB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2026.</w:t>
            </w:r>
            <w:r>
              <w:rPr>
                <w:rFonts w:hint="default" w:ascii="Times New Roman" w:hAnsi="Times New Roman" w:eastAsia="宋体" w:cs="Times New Roman"/>
                <w:color w:val="auto"/>
                <w:sz w:val="21"/>
                <w:szCs w:val="21"/>
                <w:lang w:val="en-US" w:eastAsia="zh-CN"/>
              </w:rPr>
              <w:t>05.31</w:t>
            </w:r>
          </w:p>
        </w:tc>
        <w:tc>
          <w:tcPr>
            <w:tcW w:w="628" w:type="pct"/>
            <w:tcBorders>
              <w:tl2br w:val="nil"/>
              <w:tr2bl w:val="nil"/>
            </w:tcBorders>
            <w:vAlign w:val="center"/>
          </w:tcPr>
          <w:p w14:paraId="02A23B1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4CF50C7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4729E1D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13.01</w:t>
            </w:r>
          </w:p>
        </w:tc>
        <w:tc>
          <w:tcPr>
            <w:tcW w:w="647" w:type="pct"/>
            <w:tcBorders>
              <w:tl2br w:val="nil"/>
              <w:tr2bl w:val="nil"/>
            </w:tcBorders>
            <w:shd w:val="clear" w:color="auto" w:fill="auto"/>
            <w:vAlign w:val="center"/>
          </w:tcPr>
          <w:p w14:paraId="37B79E1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561" w:type="pct"/>
            <w:vMerge w:val="restart"/>
            <w:tcBorders>
              <w:tl2br w:val="nil"/>
              <w:tr2bl w:val="nil"/>
            </w:tcBorders>
            <w:vAlign w:val="center"/>
          </w:tcPr>
          <w:p w14:paraId="56C8CD2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09DC101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1196925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556556F8">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2C7B05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3B63C05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39ACD13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801E12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2EE342E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08F93B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16.33</w:t>
            </w:r>
          </w:p>
        </w:tc>
        <w:tc>
          <w:tcPr>
            <w:tcW w:w="647" w:type="pct"/>
            <w:tcBorders>
              <w:tl2br w:val="nil"/>
              <w:tr2bl w:val="nil"/>
            </w:tcBorders>
            <w:shd w:val="clear" w:color="auto" w:fill="auto"/>
            <w:vAlign w:val="center"/>
          </w:tcPr>
          <w:p w14:paraId="390B5A0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561" w:type="pct"/>
            <w:vMerge w:val="continue"/>
            <w:tcBorders>
              <w:tl2br w:val="nil"/>
              <w:tr2bl w:val="nil"/>
            </w:tcBorders>
            <w:vAlign w:val="center"/>
          </w:tcPr>
          <w:p w14:paraId="1487FEC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739107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1D7926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1638612">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56EB45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4DA194F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5D64B8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FDD8F7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3E5856B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AA7B4E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17.58</w:t>
            </w:r>
          </w:p>
        </w:tc>
        <w:tc>
          <w:tcPr>
            <w:tcW w:w="647" w:type="pct"/>
            <w:tcBorders>
              <w:tl2br w:val="nil"/>
              <w:tr2bl w:val="nil"/>
            </w:tcBorders>
            <w:shd w:val="clear" w:color="auto" w:fill="auto"/>
            <w:vAlign w:val="center"/>
          </w:tcPr>
          <w:p w14:paraId="4C50413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0.07</w:t>
            </w:r>
          </w:p>
        </w:tc>
        <w:tc>
          <w:tcPr>
            <w:tcW w:w="561" w:type="pct"/>
            <w:vMerge w:val="continue"/>
            <w:tcBorders>
              <w:tl2br w:val="nil"/>
              <w:tr2bl w:val="nil"/>
            </w:tcBorders>
            <w:vAlign w:val="center"/>
          </w:tcPr>
          <w:p w14:paraId="2DFE2A1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6624C49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B49109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51B9D9F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C070D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C95265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5EAF16A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F76120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588E2E9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6085CDE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16.48</w:t>
            </w:r>
          </w:p>
        </w:tc>
        <w:tc>
          <w:tcPr>
            <w:tcW w:w="647" w:type="pct"/>
            <w:tcBorders>
              <w:tl2br w:val="nil"/>
              <w:tr2bl w:val="nil"/>
            </w:tcBorders>
            <w:shd w:val="clear" w:color="auto" w:fill="auto"/>
            <w:vAlign w:val="center"/>
          </w:tcPr>
          <w:p w14:paraId="6F4D28D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0.07</w:t>
            </w:r>
          </w:p>
        </w:tc>
        <w:tc>
          <w:tcPr>
            <w:tcW w:w="561" w:type="pct"/>
            <w:vMerge w:val="continue"/>
            <w:tcBorders>
              <w:tl2br w:val="nil"/>
              <w:tr2bl w:val="nil"/>
            </w:tcBorders>
            <w:vAlign w:val="center"/>
          </w:tcPr>
          <w:p w14:paraId="5642216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222F23D1">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EAA14E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E1EA88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6D81C0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4D79A51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1FE8415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706F4C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1365E8D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5C66341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19.71</w:t>
            </w:r>
          </w:p>
        </w:tc>
        <w:tc>
          <w:tcPr>
            <w:tcW w:w="647" w:type="pct"/>
            <w:tcBorders>
              <w:tl2br w:val="nil"/>
              <w:tr2bl w:val="nil"/>
            </w:tcBorders>
            <w:shd w:val="clear" w:color="auto" w:fill="auto"/>
            <w:vAlign w:val="center"/>
          </w:tcPr>
          <w:p w14:paraId="506055C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0.08</w:t>
            </w:r>
          </w:p>
        </w:tc>
        <w:tc>
          <w:tcPr>
            <w:tcW w:w="561" w:type="pct"/>
            <w:vMerge w:val="continue"/>
            <w:tcBorders>
              <w:tl2br w:val="nil"/>
              <w:tr2bl w:val="nil"/>
            </w:tcBorders>
            <w:vAlign w:val="center"/>
          </w:tcPr>
          <w:p w14:paraId="76B917E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F54F9C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1C11F5A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0DE339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B8B1A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42D335C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7E17F7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03BF5F2">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666DCDD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16.62</w:t>
            </w:r>
          </w:p>
        </w:tc>
        <w:tc>
          <w:tcPr>
            <w:tcW w:w="647" w:type="pct"/>
            <w:tcBorders>
              <w:tl2br w:val="nil"/>
              <w:tr2bl w:val="nil"/>
            </w:tcBorders>
            <w:shd w:val="clear" w:color="auto" w:fill="auto"/>
            <w:vAlign w:val="center"/>
          </w:tcPr>
          <w:p w14:paraId="4FE4822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0.06</w:t>
            </w:r>
          </w:p>
        </w:tc>
        <w:tc>
          <w:tcPr>
            <w:tcW w:w="561" w:type="pct"/>
            <w:vMerge w:val="continue"/>
            <w:tcBorders>
              <w:tl2br w:val="nil"/>
              <w:tr2bl w:val="nil"/>
            </w:tcBorders>
            <w:vAlign w:val="center"/>
          </w:tcPr>
          <w:p w14:paraId="7747DDE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02" w:type="pct"/>
            <w:tcBorders>
              <w:tl2br w:val="nil"/>
              <w:tr2bl w:val="nil"/>
            </w:tcBorders>
            <w:vAlign w:val="center"/>
          </w:tcPr>
          <w:p w14:paraId="7C3FE8E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3998108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09155D9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r w14:paraId="297950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69E38BF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塔基N29~N30之间叶家冲散户4#</w:t>
            </w:r>
          </w:p>
        </w:tc>
        <w:tc>
          <w:tcPr>
            <w:tcW w:w="569" w:type="pct"/>
            <w:vMerge w:val="restart"/>
            <w:tcBorders>
              <w:tl2br w:val="nil"/>
              <w:tr2bl w:val="nil"/>
            </w:tcBorders>
            <w:vAlign w:val="center"/>
          </w:tcPr>
          <w:p w14:paraId="0FA267E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2026.</w:t>
            </w:r>
            <w:r>
              <w:rPr>
                <w:rFonts w:hint="default" w:ascii="Times New Roman" w:hAnsi="Times New Roman" w:eastAsia="宋体" w:cs="Times New Roman"/>
                <w:color w:val="auto"/>
                <w:spacing w:val="4"/>
                <w:sz w:val="21"/>
                <w:szCs w:val="21"/>
                <w:lang w:val="en-US" w:eastAsia="zh-CN"/>
              </w:rPr>
              <w:t>05.31</w:t>
            </w:r>
          </w:p>
        </w:tc>
        <w:tc>
          <w:tcPr>
            <w:tcW w:w="628" w:type="pct"/>
            <w:tcBorders>
              <w:tl2br w:val="nil"/>
              <w:tr2bl w:val="nil"/>
            </w:tcBorders>
            <w:vAlign w:val="center"/>
          </w:tcPr>
          <w:p w14:paraId="0CDFA45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5F91339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DD448D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19.04</w:t>
            </w:r>
          </w:p>
        </w:tc>
        <w:tc>
          <w:tcPr>
            <w:tcW w:w="647" w:type="pct"/>
            <w:tcBorders>
              <w:tl2br w:val="nil"/>
              <w:tr2bl w:val="nil"/>
            </w:tcBorders>
            <w:shd w:val="clear" w:color="auto" w:fill="auto"/>
            <w:vAlign w:val="center"/>
          </w:tcPr>
          <w:p w14:paraId="24BA19F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0.08</w:t>
            </w:r>
          </w:p>
        </w:tc>
        <w:tc>
          <w:tcPr>
            <w:tcW w:w="561" w:type="pct"/>
            <w:vMerge w:val="restart"/>
            <w:tcBorders>
              <w:tl2br w:val="nil"/>
              <w:tr2bl w:val="nil"/>
            </w:tcBorders>
            <w:vAlign w:val="center"/>
          </w:tcPr>
          <w:p w14:paraId="212FB6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39C7AF1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54C3207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2F8240C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6C8295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BB17DD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339E538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336336D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22013E1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A1F82C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18.21</w:t>
            </w:r>
          </w:p>
        </w:tc>
        <w:tc>
          <w:tcPr>
            <w:tcW w:w="647" w:type="pct"/>
            <w:tcBorders>
              <w:tl2br w:val="nil"/>
              <w:tr2bl w:val="nil"/>
            </w:tcBorders>
            <w:shd w:val="clear" w:color="auto" w:fill="auto"/>
            <w:vAlign w:val="center"/>
          </w:tcPr>
          <w:p w14:paraId="4A786B6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0.09</w:t>
            </w:r>
          </w:p>
        </w:tc>
        <w:tc>
          <w:tcPr>
            <w:tcW w:w="561" w:type="pct"/>
            <w:vMerge w:val="continue"/>
            <w:tcBorders>
              <w:tl2br w:val="nil"/>
              <w:tr2bl w:val="nil"/>
            </w:tcBorders>
            <w:vAlign w:val="center"/>
          </w:tcPr>
          <w:p w14:paraId="1B2CCD9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3D51879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EF6637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6ABE930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CADC6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32" w:type="pct"/>
            <w:vMerge w:val="continue"/>
            <w:tcBorders>
              <w:tl2br w:val="nil"/>
              <w:tr2bl w:val="nil"/>
            </w:tcBorders>
            <w:vAlign w:val="center"/>
          </w:tcPr>
          <w:p w14:paraId="5A1E082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301D88B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EF075E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71A9BB9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B2EF83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12.97</w:t>
            </w:r>
          </w:p>
        </w:tc>
        <w:tc>
          <w:tcPr>
            <w:tcW w:w="647" w:type="pct"/>
            <w:tcBorders>
              <w:tl2br w:val="nil"/>
              <w:tr2bl w:val="nil"/>
            </w:tcBorders>
            <w:shd w:val="clear" w:color="auto" w:fill="auto"/>
            <w:vAlign w:val="center"/>
          </w:tcPr>
          <w:p w14:paraId="1E4B49A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561" w:type="pct"/>
            <w:vMerge w:val="continue"/>
            <w:tcBorders>
              <w:tl2br w:val="nil"/>
              <w:tr2bl w:val="nil"/>
            </w:tcBorders>
            <w:vAlign w:val="center"/>
          </w:tcPr>
          <w:p w14:paraId="7271946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1FE01CF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02E59D2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38A35639">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139840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601928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96F588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0F16CA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0019145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CBCAC4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13.77</w:t>
            </w:r>
          </w:p>
        </w:tc>
        <w:tc>
          <w:tcPr>
            <w:tcW w:w="647" w:type="pct"/>
            <w:tcBorders>
              <w:tl2br w:val="nil"/>
              <w:tr2bl w:val="nil"/>
            </w:tcBorders>
            <w:shd w:val="clear" w:color="auto" w:fill="auto"/>
            <w:vAlign w:val="center"/>
          </w:tcPr>
          <w:p w14:paraId="2FECC21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561" w:type="pct"/>
            <w:vMerge w:val="continue"/>
            <w:tcBorders>
              <w:tl2br w:val="nil"/>
              <w:tr2bl w:val="nil"/>
            </w:tcBorders>
            <w:vAlign w:val="center"/>
          </w:tcPr>
          <w:p w14:paraId="76409A4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38E96802">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24E6C8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49C0C56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3579CB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66C1DEF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3A4E79A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2DB708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238A29B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09AEC41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16.30</w:t>
            </w:r>
          </w:p>
        </w:tc>
        <w:tc>
          <w:tcPr>
            <w:tcW w:w="647" w:type="pct"/>
            <w:tcBorders>
              <w:tl2br w:val="nil"/>
              <w:tr2bl w:val="nil"/>
            </w:tcBorders>
            <w:shd w:val="clear" w:color="auto" w:fill="auto"/>
            <w:vAlign w:val="center"/>
          </w:tcPr>
          <w:p w14:paraId="7C7933F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0.07</w:t>
            </w:r>
          </w:p>
        </w:tc>
        <w:tc>
          <w:tcPr>
            <w:tcW w:w="561" w:type="pct"/>
            <w:vMerge w:val="continue"/>
            <w:tcBorders>
              <w:tl2br w:val="nil"/>
              <w:tr2bl w:val="nil"/>
            </w:tcBorders>
            <w:vAlign w:val="center"/>
          </w:tcPr>
          <w:p w14:paraId="1A1EE90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403971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5321B3D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4233F1E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2BA8C4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179A38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1F5B8B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72BB59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126B99F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16.06</w:t>
            </w:r>
          </w:p>
        </w:tc>
        <w:tc>
          <w:tcPr>
            <w:tcW w:w="647" w:type="pct"/>
            <w:tcBorders>
              <w:tl2br w:val="nil"/>
              <w:tr2bl w:val="nil"/>
            </w:tcBorders>
            <w:shd w:val="clear" w:color="auto" w:fill="auto"/>
            <w:vAlign w:val="center"/>
          </w:tcPr>
          <w:p w14:paraId="09ABF6C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0.07</w:t>
            </w:r>
          </w:p>
        </w:tc>
        <w:tc>
          <w:tcPr>
            <w:tcW w:w="561" w:type="pct"/>
            <w:vMerge w:val="continue"/>
            <w:tcBorders>
              <w:tl2br w:val="nil"/>
              <w:tr2bl w:val="nil"/>
            </w:tcBorders>
            <w:vAlign w:val="center"/>
          </w:tcPr>
          <w:p w14:paraId="6087C70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02" w:type="pct"/>
            <w:tcBorders>
              <w:tl2br w:val="nil"/>
              <w:tr2bl w:val="nil"/>
            </w:tcBorders>
            <w:vAlign w:val="center"/>
          </w:tcPr>
          <w:p w14:paraId="53FFEA0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4ED43B1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714E1EC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r w14:paraId="1E3501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766654E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eastAsia="宋体" w:cs="Times New Roman"/>
                <w:color w:val="auto"/>
                <w:spacing w:val="4"/>
                <w:sz w:val="21"/>
                <w:szCs w:val="21"/>
                <w:lang w:val="en-US" w:eastAsia="zh-CN"/>
              </w:rPr>
              <w:t>塔基N50~N51之间中梁子散户5#</w:t>
            </w:r>
          </w:p>
        </w:tc>
        <w:tc>
          <w:tcPr>
            <w:tcW w:w="569" w:type="pct"/>
            <w:vMerge w:val="restart"/>
            <w:tcBorders>
              <w:tl2br w:val="nil"/>
              <w:tr2bl w:val="nil"/>
            </w:tcBorders>
            <w:vAlign w:val="center"/>
          </w:tcPr>
          <w:p w14:paraId="44F1F3A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eastAsia="宋体" w:cs="Times New Roman"/>
                <w:color w:val="auto"/>
                <w:spacing w:val="4"/>
                <w:sz w:val="21"/>
                <w:szCs w:val="21"/>
                <w:lang w:val="en-US" w:eastAsia="zh-CN"/>
              </w:rPr>
              <w:t>2026.05.31</w:t>
            </w:r>
          </w:p>
        </w:tc>
        <w:tc>
          <w:tcPr>
            <w:tcW w:w="628" w:type="pct"/>
            <w:tcBorders>
              <w:tl2br w:val="nil"/>
              <w:tr2bl w:val="nil"/>
            </w:tcBorders>
            <w:vAlign w:val="center"/>
          </w:tcPr>
          <w:p w14:paraId="5349F216">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3C548127">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04ABF3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10.01</w:t>
            </w:r>
          </w:p>
        </w:tc>
        <w:tc>
          <w:tcPr>
            <w:tcW w:w="647" w:type="pct"/>
            <w:tcBorders>
              <w:tl2br w:val="nil"/>
              <w:tr2bl w:val="nil"/>
            </w:tcBorders>
            <w:shd w:val="clear" w:color="auto" w:fill="auto"/>
            <w:vAlign w:val="center"/>
          </w:tcPr>
          <w:p w14:paraId="5D58D93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restart"/>
            <w:tcBorders>
              <w:tl2br w:val="nil"/>
              <w:tr2bl w:val="nil"/>
            </w:tcBorders>
            <w:vAlign w:val="center"/>
          </w:tcPr>
          <w:p w14:paraId="676310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702" w:type="dxa"/>
            <w:tcBorders>
              <w:tl2br w:val="nil"/>
              <w:tr2bl w:val="nil"/>
            </w:tcBorders>
            <w:vAlign w:val="center"/>
          </w:tcPr>
          <w:p w14:paraId="372EAA3B">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restart"/>
            <w:tcBorders>
              <w:tl2br w:val="nil"/>
              <w:tr2bl w:val="nil"/>
            </w:tcBorders>
            <w:vAlign w:val="center"/>
          </w:tcPr>
          <w:p w14:paraId="0218F6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744" w:type="dxa"/>
            <w:tcBorders>
              <w:tl2br w:val="nil"/>
              <w:tr2bl w:val="nil"/>
            </w:tcBorders>
            <w:vAlign w:val="center"/>
          </w:tcPr>
          <w:p w14:paraId="4E41BAD5">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0B8F31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21D6383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14190CA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5457DE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03E770AB">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3DB5A99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8.06</w:t>
            </w:r>
          </w:p>
        </w:tc>
        <w:tc>
          <w:tcPr>
            <w:tcW w:w="647" w:type="pct"/>
            <w:tcBorders>
              <w:tl2br w:val="nil"/>
              <w:tr2bl w:val="nil"/>
            </w:tcBorders>
            <w:shd w:val="clear" w:color="auto" w:fill="auto"/>
            <w:vAlign w:val="center"/>
          </w:tcPr>
          <w:p w14:paraId="67DFE8A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0.03</w:t>
            </w:r>
          </w:p>
        </w:tc>
        <w:tc>
          <w:tcPr>
            <w:tcW w:w="980" w:type="dxa"/>
            <w:vMerge w:val="continue"/>
            <w:tcBorders>
              <w:tl2br w:val="nil"/>
              <w:tr2bl w:val="nil"/>
            </w:tcBorders>
            <w:vAlign w:val="center"/>
          </w:tcPr>
          <w:p w14:paraId="08A9BE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54B5563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6D4A1F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51B3F976">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638D57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2F3F71C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19E585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E4BCB3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523F0376">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1E91DF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10.08</w:t>
            </w:r>
          </w:p>
        </w:tc>
        <w:tc>
          <w:tcPr>
            <w:tcW w:w="647" w:type="pct"/>
            <w:tcBorders>
              <w:tl2br w:val="nil"/>
              <w:tr2bl w:val="nil"/>
            </w:tcBorders>
            <w:shd w:val="clear" w:color="auto" w:fill="auto"/>
            <w:vAlign w:val="center"/>
          </w:tcPr>
          <w:p w14:paraId="47A3808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continue"/>
            <w:tcBorders>
              <w:tl2br w:val="nil"/>
              <w:tr2bl w:val="nil"/>
            </w:tcBorders>
            <w:vAlign w:val="center"/>
          </w:tcPr>
          <w:p w14:paraId="77F5B8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0CACE65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1B3A60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57B877D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257F71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498E099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BFCF55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A4DC04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7CA35FB7">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5055A8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6.45</w:t>
            </w:r>
          </w:p>
        </w:tc>
        <w:tc>
          <w:tcPr>
            <w:tcW w:w="647" w:type="pct"/>
            <w:tcBorders>
              <w:tl2br w:val="nil"/>
              <w:tr2bl w:val="nil"/>
            </w:tcBorders>
            <w:shd w:val="clear" w:color="auto" w:fill="auto"/>
            <w:vAlign w:val="center"/>
          </w:tcPr>
          <w:p w14:paraId="33EE565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0.03</w:t>
            </w:r>
          </w:p>
        </w:tc>
        <w:tc>
          <w:tcPr>
            <w:tcW w:w="980" w:type="dxa"/>
            <w:vMerge w:val="continue"/>
            <w:tcBorders>
              <w:tl2br w:val="nil"/>
              <w:tr2bl w:val="nil"/>
            </w:tcBorders>
            <w:vAlign w:val="center"/>
          </w:tcPr>
          <w:p w14:paraId="3F0F71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610D1A5B">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3D7EB8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61ADF93D">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7307F6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325FDD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7B3C0D7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183C1E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7BA4BBA9">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FA931B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6.44</w:t>
            </w:r>
          </w:p>
        </w:tc>
        <w:tc>
          <w:tcPr>
            <w:tcW w:w="647" w:type="pct"/>
            <w:tcBorders>
              <w:tl2br w:val="nil"/>
              <w:tr2bl w:val="nil"/>
            </w:tcBorders>
            <w:shd w:val="clear" w:color="auto" w:fill="auto"/>
            <w:vAlign w:val="center"/>
          </w:tcPr>
          <w:p w14:paraId="17F951A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0.02</w:t>
            </w:r>
          </w:p>
        </w:tc>
        <w:tc>
          <w:tcPr>
            <w:tcW w:w="980" w:type="dxa"/>
            <w:vMerge w:val="continue"/>
            <w:tcBorders>
              <w:tl2br w:val="nil"/>
              <w:tr2bl w:val="nil"/>
            </w:tcBorders>
            <w:vAlign w:val="center"/>
          </w:tcPr>
          <w:p w14:paraId="0E1AB3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1365574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57FC9D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362B1BC3">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67B0DC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22D602C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6692065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75951EC3">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35DBE4E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8.21</w:t>
            </w:r>
          </w:p>
        </w:tc>
        <w:tc>
          <w:tcPr>
            <w:tcW w:w="647" w:type="pct"/>
            <w:tcBorders>
              <w:tl2br w:val="nil"/>
              <w:tr2bl w:val="nil"/>
            </w:tcBorders>
            <w:shd w:val="clear" w:color="auto" w:fill="auto"/>
            <w:vAlign w:val="center"/>
          </w:tcPr>
          <w:p w14:paraId="377335E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0.04</w:t>
            </w:r>
          </w:p>
        </w:tc>
        <w:tc>
          <w:tcPr>
            <w:tcW w:w="980" w:type="dxa"/>
            <w:vMerge w:val="continue"/>
            <w:tcBorders>
              <w:tl2br w:val="nil"/>
              <w:tr2bl w:val="nil"/>
            </w:tcBorders>
            <w:vAlign w:val="center"/>
          </w:tcPr>
          <w:p w14:paraId="6D2560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02" w:type="dxa"/>
            <w:tcBorders>
              <w:tl2br w:val="nil"/>
              <w:tr2bl w:val="nil"/>
            </w:tcBorders>
            <w:vAlign w:val="center"/>
          </w:tcPr>
          <w:p w14:paraId="2C513108">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c>
          <w:tcPr>
            <w:tcW w:w="1013" w:type="dxa"/>
            <w:vMerge w:val="continue"/>
            <w:tcBorders>
              <w:tl2br w:val="nil"/>
              <w:tr2bl w:val="nil"/>
            </w:tcBorders>
            <w:vAlign w:val="center"/>
          </w:tcPr>
          <w:p w14:paraId="66B0CD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44" w:type="dxa"/>
            <w:tcBorders>
              <w:tl2br w:val="nil"/>
              <w:tr2bl w:val="nil"/>
            </w:tcBorders>
            <w:vAlign w:val="center"/>
          </w:tcPr>
          <w:p w14:paraId="1B92BCD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r>
      <w:tr w14:paraId="21086A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5EAC4EF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塔基N57~N58之间国道停车区用房6#</w:t>
            </w:r>
          </w:p>
        </w:tc>
        <w:tc>
          <w:tcPr>
            <w:tcW w:w="569" w:type="pct"/>
            <w:vMerge w:val="restart"/>
            <w:tcBorders>
              <w:tl2br w:val="nil"/>
              <w:tr2bl w:val="nil"/>
            </w:tcBorders>
            <w:vAlign w:val="center"/>
          </w:tcPr>
          <w:p w14:paraId="54B602F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2026.</w:t>
            </w:r>
            <w:r>
              <w:rPr>
                <w:rFonts w:hint="default" w:ascii="Times New Roman" w:hAnsi="Times New Roman" w:eastAsia="宋体" w:cs="Times New Roman"/>
                <w:color w:val="auto"/>
                <w:spacing w:val="4"/>
                <w:sz w:val="21"/>
                <w:szCs w:val="21"/>
                <w:lang w:val="en-US" w:eastAsia="zh-CN"/>
              </w:rPr>
              <w:t>05.31</w:t>
            </w:r>
          </w:p>
        </w:tc>
        <w:tc>
          <w:tcPr>
            <w:tcW w:w="628" w:type="pct"/>
            <w:tcBorders>
              <w:tl2br w:val="nil"/>
              <w:tr2bl w:val="nil"/>
            </w:tcBorders>
            <w:vAlign w:val="center"/>
          </w:tcPr>
          <w:p w14:paraId="3B21FBE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6996C12D">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44AFE92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14.73</w:t>
            </w:r>
          </w:p>
        </w:tc>
        <w:tc>
          <w:tcPr>
            <w:tcW w:w="647" w:type="pct"/>
            <w:tcBorders>
              <w:tl2br w:val="nil"/>
              <w:tr2bl w:val="nil"/>
            </w:tcBorders>
            <w:shd w:val="clear" w:color="auto" w:fill="auto"/>
            <w:vAlign w:val="center"/>
          </w:tcPr>
          <w:p w14:paraId="74CF677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0.06</w:t>
            </w:r>
          </w:p>
        </w:tc>
        <w:tc>
          <w:tcPr>
            <w:tcW w:w="980" w:type="dxa"/>
            <w:vMerge w:val="restart"/>
            <w:tcBorders>
              <w:tl2br w:val="nil"/>
              <w:tr2bl w:val="nil"/>
            </w:tcBorders>
            <w:vAlign w:val="center"/>
          </w:tcPr>
          <w:p w14:paraId="69F0DC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702" w:type="dxa"/>
            <w:tcBorders>
              <w:tl2br w:val="nil"/>
              <w:tr2bl w:val="nil"/>
            </w:tcBorders>
            <w:vAlign w:val="center"/>
          </w:tcPr>
          <w:p w14:paraId="3C5C03D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restart"/>
            <w:tcBorders>
              <w:tl2br w:val="nil"/>
              <w:tr2bl w:val="nil"/>
            </w:tcBorders>
            <w:vAlign w:val="center"/>
          </w:tcPr>
          <w:p w14:paraId="3ECBAF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744" w:type="dxa"/>
            <w:tcBorders>
              <w:tl2br w:val="nil"/>
              <w:tr2bl w:val="nil"/>
            </w:tcBorders>
            <w:vAlign w:val="center"/>
          </w:tcPr>
          <w:p w14:paraId="0F232C48">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475202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922D1B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DC0AF7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327B81F">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39DC8D69">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5BCC45E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14.32</w:t>
            </w:r>
          </w:p>
        </w:tc>
        <w:tc>
          <w:tcPr>
            <w:tcW w:w="647" w:type="pct"/>
            <w:tcBorders>
              <w:tl2br w:val="nil"/>
              <w:tr2bl w:val="nil"/>
            </w:tcBorders>
            <w:shd w:val="clear" w:color="auto" w:fill="auto"/>
            <w:vAlign w:val="center"/>
          </w:tcPr>
          <w:p w14:paraId="5A784D1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continue"/>
            <w:tcBorders>
              <w:tl2br w:val="nil"/>
              <w:tr2bl w:val="nil"/>
            </w:tcBorders>
            <w:vAlign w:val="center"/>
          </w:tcPr>
          <w:p w14:paraId="1E6F18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72C7A112">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65273D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51A46E9A">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66F149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21F9175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E1F6F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5B10D31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545B4C95">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0ECD0ED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19.97</w:t>
            </w:r>
          </w:p>
        </w:tc>
        <w:tc>
          <w:tcPr>
            <w:tcW w:w="647" w:type="pct"/>
            <w:tcBorders>
              <w:tl2br w:val="nil"/>
              <w:tr2bl w:val="nil"/>
            </w:tcBorders>
            <w:shd w:val="clear" w:color="auto" w:fill="auto"/>
            <w:vAlign w:val="center"/>
          </w:tcPr>
          <w:p w14:paraId="554FEEE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0.09</w:t>
            </w:r>
          </w:p>
        </w:tc>
        <w:tc>
          <w:tcPr>
            <w:tcW w:w="980" w:type="dxa"/>
            <w:vMerge w:val="continue"/>
            <w:tcBorders>
              <w:tl2br w:val="nil"/>
              <w:tr2bl w:val="nil"/>
            </w:tcBorders>
            <w:vAlign w:val="center"/>
          </w:tcPr>
          <w:p w14:paraId="097739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616E81C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20259C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1F63840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6AB6B4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0" w:hRule="atLeast"/>
        </w:trPr>
        <w:tc>
          <w:tcPr>
            <w:tcW w:w="532" w:type="pct"/>
            <w:vMerge w:val="continue"/>
            <w:tcBorders>
              <w:tl2br w:val="nil"/>
              <w:tr2bl w:val="nil"/>
            </w:tcBorders>
            <w:vAlign w:val="center"/>
          </w:tcPr>
          <w:p w14:paraId="541E9C0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5B9C589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6E5BA12">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2D66C737">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33F5317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6"/>
                <w:sz w:val="21"/>
                <w:szCs w:val="21"/>
              </w:rPr>
              <w:t>13.</w:t>
            </w:r>
            <w:r>
              <w:rPr>
                <w:rFonts w:hint="default" w:ascii="Times New Roman" w:hAnsi="Times New Roman" w:eastAsia="宋体" w:cs="Times New Roman"/>
                <w:color w:val="auto"/>
                <w:spacing w:val="-22"/>
                <w:sz w:val="21"/>
                <w:szCs w:val="21"/>
              </w:rPr>
              <w:t xml:space="preserve"> </w:t>
            </w:r>
            <w:r>
              <w:rPr>
                <w:rFonts w:hint="default" w:ascii="Times New Roman" w:hAnsi="Times New Roman" w:eastAsia="宋体" w:cs="Times New Roman"/>
                <w:color w:val="auto"/>
                <w:spacing w:val="-6"/>
                <w:sz w:val="21"/>
                <w:szCs w:val="21"/>
              </w:rPr>
              <w:t>11</w:t>
            </w:r>
          </w:p>
        </w:tc>
        <w:tc>
          <w:tcPr>
            <w:tcW w:w="647" w:type="pct"/>
            <w:tcBorders>
              <w:tl2br w:val="nil"/>
              <w:tr2bl w:val="nil"/>
            </w:tcBorders>
            <w:shd w:val="clear" w:color="auto" w:fill="auto"/>
            <w:vAlign w:val="center"/>
          </w:tcPr>
          <w:p w14:paraId="72D3EF8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continue"/>
            <w:tcBorders>
              <w:tl2br w:val="nil"/>
              <w:tr2bl w:val="nil"/>
            </w:tcBorders>
            <w:vAlign w:val="center"/>
          </w:tcPr>
          <w:p w14:paraId="78369F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6D57297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7CBE3D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23EF3B53">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3B77FC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6C48B68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C9D3E1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FCCA0E7">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567146E8">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7C0A81F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16.01</w:t>
            </w:r>
          </w:p>
        </w:tc>
        <w:tc>
          <w:tcPr>
            <w:tcW w:w="647" w:type="pct"/>
            <w:tcBorders>
              <w:tl2br w:val="nil"/>
              <w:tr2bl w:val="nil"/>
            </w:tcBorders>
            <w:shd w:val="clear" w:color="auto" w:fill="auto"/>
            <w:vAlign w:val="center"/>
          </w:tcPr>
          <w:p w14:paraId="0F483B1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0.07</w:t>
            </w:r>
          </w:p>
        </w:tc>
        <w:tc>
          <w:tcPr>
            <w:tcW w:w="980" w:type="dxa"/>
            <w:vMerge w:val="continue"/>
            <w:tcBorders>
              <w:tl2br w:val="nil"/>
              <w:tr2bl w:val="nil"/>
            </w:tcBorders>
            <w:vAlign w:val="center"/>
          </w:tcPr>
          <w:p w14:paraId="32AE1C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09E08D41">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2EFB71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5483DCA1">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23DAC3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007E32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57072FE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1F2606D">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1AC11A3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15.63</w:t>
            </w:r>
          </w:p>
        </w:tc>
        <w:tc>
          <w:tcPr>
            <w:tcW w:w="647" w:type="pct"/>
            <w:tcBorders>
              <w:tl2br w:val="nil"/>
              <w:tr2bl w:val="nil"/>
            </w:tcBorders>
            <w:shd w:val="clear" w:color="auto" w:fill="auto"/>
            <w:vAlign w:val="center"/>
          </w:tcPr>
          <w:p w14:paraId="74932A6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0.07</w:t>
            </w:r>
          </w:p>
        </w:tc>
        <w:tc>
          <w:tcPr>
            <w:tcW w:w="980" w:type="dxa"/>
            <w:vMerge w:val="continue"/>
            <w:tcBorders>
              <w:tl2br w:val="nil"/>
              <w:tr2bl w:val="nil"/>
            </w:tcBorders>
            <w:vAlign w:val="center"/>
          </w:tcPr>
          <w:p w14:paraId="2B2288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02" w:type="dxa"/>
            <w:tcBorders>
              <w:tl2br w:val="nil"/>
              <w:tr2bl w:val="nil"/>
            </w:tcBorders>
            <w:vAlign w:val="center"/>
          </w:tcPr>
          <w:p w14:paraId="2C5217A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c>
          <w:tcPr>
            <w:tcW w:w="1013" w:type="dxa"/>
            <w:vMerge w:val="continue"/>
            <w:tcBorders>
              <w:tl2br w:val="nil"/>
              <w:tr2bl w:val="nil"/>
            </w:tcBorders>
            <w:vAlign w:val="center"/>
          </w:tcPr>
          <w:p w14:paraId="08D117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44" w:type="dxa"/>
            <w:tcBorders>
              <w:tl2br w:val="nil"/>
              <w:tr2bl w:val="nil"/>
            </w:tcBorders>
            <w:vAlign w:val="center"/>
          </w:tcPr>
          <w:p w14:paraId="6BB6262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r>
      <w:tr w14:paraId="73456E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48424A1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塔基N57~N58之间山背后村散户7#</w:t>
            </w:r>
          </w:p>
        </w:tc>
        <w:tc>
          <w:tcPr>
            <w:tcW w:w="569" w:type="pct"/>
            <w:vMerge w:val="restart"/>
            <w:tcBorders>
              <w:tl2br w:val="nil"/>
              <w:tr2bl w:val="nil"/>
            </w:tcBorders>
            <w:vAlign w:val="center"/>
          </w:tcPr>
          <w:p w14:paraId="6A0F65B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2026.</w:t>
            </w:r>
            <w:r>
              <w:rPr>
                <w:rFonts w:hint="default" w:ascii="Times New Roman" w:hAnsi="Times New Roman" w:eastAsia="宋体" w:cs="Times New Roman"/>
                <w:color w:val="auto"/>
                <w:spacing w:val="4"/>
                <w:sz w:val="21"/>
                <w:szCs w:val="21"/>
                <w:lang w:val="en-US" w:eastAsia="zh-CN"/>
              </w:rPr>
              <w:t>05.31</w:t>
            </w:r>
          </w:p>
        </w:tc>
        <w:tc>
          <w:tcPr>
            <w:tcW w:w="628" w:type="pct"/>
            <w:tcBorders>
              <w:tl2br w:val="nil"/>
              <w:tr2bl w:val="nil"/>
            </w:tcBorders>
            <w:vAlign w:val="center"/>
          </w:tcPr>
          <w:p w14:paraId="4E058005">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3F8BA50E">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1A76ED3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12.15</w:t>
            </w:r>
          </w:p>
        </w:tc>
        <w:tc>
          <w:tcPr>
            <w:tcW w:w="647" w:type="pct"/>
            <w:tcBorders>
              <w:tl2br w:val="nil"/>
              <w:tr2bl w:val="nil"/>
            </w:tcBorders>
            <w:shd w:val="clear" w:color="auto" w:fill="auto"/>
            <w:vAlign w:val="center"/>
          </w:tcPr>
          <w:p w14:paraId="56A072D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restart"/>
            <w:tcBorders>
              <w:tl2br w:val="nil"/>
              <w:tr2bl w:val="nil"/>
            </w:tcBorders>
            <w:vAlign w:val="center"/>
          </w:tcPr>
          <w:p w14:paraId="0EBDBC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702" w:type="dxa"/>
            <w:tcBorders>
              <w:tl2br w:val="nil"/>
              <w:tr2bl w:val="nil"/>
            </w:tcBorders>
            <w:vAlign w:val="center"/>
          </w:tcPr>
          <w:p w14:paraId="0456B4AE">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restart"/>
            <w:tcBorders>
              <w:tl2br w:val="nil"/>
              <w:tr2bl w:val="nil"/>
            </w:tcBorders>
            <w:vAlign w:val="center"/>
          </w:tcPr>
          <w:p w14:paraId="2E1E12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744" w:type="dxa"/>
            <w:tcBorders>
              <w:tl2br w:val="nil"/>
              <w:tr2bl w:val="nil"/>
            </w:tcBorders>
            <w:vAlign w:val="center"/>
          </w:tcPr>
          <w:p w14:paraId="4AE6E063">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21D092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334121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B5B7D2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60BDDA3">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0711CD8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5884D6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18.80</w:t>
            </w:r>
          </w:p>
        </w:tc>
        <w:tc>
          <w:tcPr>
            <w:tcW w:w="647" w:type="pct"/>
            <w:tcBorders>
              <w:tl2br w:val="nil"/>
              <w:tr2bl w:val="nil"/>
            </w:tcBorders>
            <w:shd w:val="clear" w:color="auto" w:fill="auto"/>
            <w:vAlign w:val="center"/>
          </w:tcPr>
          <w:p w14:paraId="018006C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0.08</w:t>
            </w:r>
          </w:p>
        </w:tc>
        <w:tc>
          <w:tcPr>
            <w:tcW w:w="980" w:type="dxa"/>
            <w:vMerge w:val="continue"/>
            <w:tcBorders>
              <w:tl2br w:val="nil"/>
              <w:tr2bl w:val="nil"/>
            </w:tcBorders>
            <w:vAlign w:val="center"/>
          </w:tcPr>
          <w:p w14:paraId="2A17AA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66E52F1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1AD596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2281130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10D6B1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0" w:hRule="atLeast"/>
        </w:trPr>
        <w:tc>
          <w:tcPr>
            <w:tcW w:w="532" w:type="pct"/>
            <w:vMerge w:val="continue"/>
            <w:tcBorders>
              <w:tl2br w:val="nil"/>
              <w:tr2bl w:val="nil"/>
            </w:tcBorders>
            <w:vAlign w:val="center"/>
          </w:tcPr>
          <w:p w14:paraId="51CCFBD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4B947B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4114BCD">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020544F0">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D4150E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13.48</w:t>
            </w:r>
          </w:p>
        </w:tc>
        <w:tc>
          <w:tcPr>
            <w:tcW w:w="647" w:type="pct"/>
            <w:tcBorders>
              <w:tl2br w:val="nil"/>
              <w:tr2bl w:val="nil"/>
            </w:tcBorders>
            <w:shd w:val="clear" w:color="auto" w:fill="auto"/>
            <w:vAlign w:val="center"/>
          </w:tcPr>
          <w:p w14:paraId="0E92D44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0.05</w:t>
            </w:r>
          </w:p>
        </w:tc>
        <w:tc>
          <w:tcPr>
            <w:tcW w:w="980" w:type="dxa"/>
            <w:vMerge w:val="continue"/>
            <w:tcBorders>
              <w:tl2br w:val="nil"/>
              <w:tr2bl w:val="nil"/>
            </w:tcBorders>
            <w:vAlign w:val="center"/>
          </w:tcPr>
          <w:p w14:paraId="0AD2ED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70CE5205">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488FD7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0A3B7236">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06B7CB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D758CB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19B3C65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4F5FBCBB">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5E6F7182">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3C02C7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12.22</w:t>
            </w:r>
          </w:p>
        </w:tc>
        <w:tc>
          <w:tcPr>
            <w:tcW w:w="647" w:type="pct"/>
            <w:tcBorders>
              <w:tl2br w:val="nil"/>
              <w:tr2bl w:val="nil"/>
            </w:tcBorders>
            <w:shd w:val="clear" w:color="auto" w:fill="auto"/>
            <w:vAlign w:val="center"/>
          </w:tcPr>
          <w:p w14:paraId="40AA177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0.04</w:t>
            </w:r>
          </w:p>
        </w:tc>
        <w:tc>
          <w:tcPr>
            <w:tcW w:w="980" w:type="dxa"/>
            <w:vMerge w:val="continue"/>
            <w:tcBorders>
              <w:tl2br w:val="nil"/>
              <w:tr2bl w:val="nil"/>
            </w:tcBorders>
            <w:vAlign w:val="center"/>
          </w:tcPr>
          <w:p w14:paraId="2B65D6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7765B16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3EC040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2D7A67E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409AFF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0FA9BF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7FE019E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4080BF4">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1D568A4C">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color w:val="auto"/>
                <w:spacing w:val="6"/>
                <w:sz w:val="21"/>
                <w:szCs w:val="21"/>
              </w:rPr>
              <w:t>最大值</w:t>
            </w:r>
          </w:p>
        </w:tc>
        <w:tc>
          <w:tcPr>
            <w:tcW w:w="654" w:type="pct"/>
            <w:tcBorders>
              <w:tl2br w:val="nil"/>
              <w:tr2bl w:val="nil"/>
            </w:tcBorders>
            <w:shd w:val="clear" w:color="auto" w:fill="auto"/>
            <w:vAlign w:val="center"/>
          </w:tcPr>
          <w:p w14:paraId="2597E05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
                <w:sz w:val="21"/>
                <w:szCs w:val="21"/>
              </w:rPr>
              <w:t>16.63</w:t>
            </w:r>
          </w:p>
        </w:tc>
        <w:tc>
          <w:tcPr>
            <w:tcW w:w="647" w:type="pct"/>
            <w:tcBorders>
              <w:tl2br w:val="nil"/>
              <w:tr2bl w:val="nil"/>
            </w:tcBorders>
            <w:shd w:val="clear" w:color="auto" w:fill="auto"/>
            <w:vAlign w:val="center"/>
          </w:tcPr>
          <w:p w14:paraId="004ABC2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0.09</w:t>
            </w:r>
          </w:p>
        </w:tc>
        <w:tc>
          <w:tcPr>
            <w:tcW w:w="980" w:type="dxa"/>
            <w:vMerge w:val="continue"/>
            <w:tcBorders>
              <w:tl2br w:val="nil"/>
              <w:tr2bl w:val="nil"/>
            </w:tcBorders>
            <w:vAlign w:val="center"/>
          </w:tcPr>
          <w:p w14:paraId="3F7B71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02" w:type="dxa"/>
            <w:tcBorders>
              <w:tl2br w:val="nil"/>
              <w:tr2bl w:val="nil"/>
            </w:tcBorders>
            <w:vAlign w:val="center"/>
          </w:tcPr>
          <w:p w14:paraId="687AAEAD">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c>
          <w:tcPr>
            <w:tcW w:w="1013" w:type="dxa"/>
            <w:vMerge w:val="continue"/>
            <w:tcBorders>
              <w:tl2br w:val="nil"/>
              <w:tr2bl w:val="nil"/>
            </w:tcBorders>
            <w:vAlign w:val="center"/>
          </w:tcPr>
          <w:p w14:paraId="5DB57E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p>
        </w:tc>
        <w:tc>
          <w:tcPr>
            <w:tcW w:w="744" w:type="dxa"/>
            <w:tcBorders>
              <w:tl2br w:val="nil"/>
              <w:tr2bl w:val="nil"/>
            </w:tcBorders>
            <w:vAlign w:val="center"/>
          </w:tcPr>
          <w:p w14:paraId="1B1C830A">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达标</w:t>
            </w:r>
          </w:p>
        </w:tc>
      </w:tr>
      <w:tr w14:paraId="560BA3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F596E4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142D849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63B2016F">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7"/>
                <w:sz w:val="21"/>
                <w:szCs w:val="21"/>
              </w:rPr>
            </w:pPr>
            <w:r>
              <w:rPr>
                <w:rFonts w:hint="default" w:ascii="Times New Roman" w:hAnsi="Times New Roman" w:eastAsia="宋体" w:cs="Times New Roman"/>
                <w:b/>
                <w:bCs/>
                <w:color w:val="auto"/>
                <w:spacing w:val="7"/>
                <w:sz w:val="21"/>
                <w:szCs w:val="21"/>
              </w:rPr>
              <w:t>平均值</w:t>
            </w:r>
          </w:p>
        </w:tc>
        <w:tc>
          <w:tcPr>
            <w:tcW w:w="654" w:type="pct"/>
            <w:tcBorders>
              <w:tl2br w:val="nil"/>
              <w:tr2bl w:val="nil"/>
            </w:tcBorders>
            <w:shd w:val="clear" w:color="auto" w:fill="auto"/>
            <w:vAlign w:val="center"/>
          </w:tcPr>
          <w:p w14:paraId="3134F43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1"/>
                <w:sz w:val="21"/>
                <w:szCs w:val="21"/>
              </w:rPr>
              <w:t>14.66</w:t>
            </w:r>
          </w:p>
        </w:tc>
        <w:tc>
          <w:tcPr>
            <w:tcW w:w="647" w:type="pct"/>
            <w:tcBorders>
              <w:tl2br w:val="nil"/>
              <w:tr2bl w:val="nil"/>
            </w:tcBorders>
            <w:shd w:val="clear" w:color="auto" w:fill="auto"/>
            <w:vAlign w:val="center"/>
          </w:tcPr>
          <w:p w14:paraId="7160904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pacing w:val="2"/>
                <w:sz w:val="21"/>
                <w:szCs w:val="21"/>
              </w:rPr>
              <w:t>0.06</w:t>
            </w:r>
          </w:p>
        </w:tc>
        <w:tc>
          <w:tcPr>
            <w:tcW w:w="980" w:type="dxa"/>
            <w:vMerge w:val="continue"/>
            <w:tcBorders>
              <w:tl2br w:val="nil"/>
              <w:tr2bl w:val="nil"/>
            </w:tcBorders>
            <w:vAlign w:val="center"/>
          </w:tcPr>
          <w:p w14:paraId="11B533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02" w:type="dxa"/>
            <w:tcBorders>
              <w:tl2br w:val="nil"/>
              <w:tr2bl w:val="nil"/>
            </w:tcBorders>
            <w:vAlign w:val="center"/>
          </w:tcPr>
          <w:p w14:paraId="388D0431">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c>
          <w:tcPr>
            <w:tcW w:w="1013" w:type="dxa"/>
            <w:vMerge w:val="continue"/>
            <w:tcBorders>
              <w:tl2br w:val="nil"/>
              <w:tr2bl w:val="nil"/>
            </w:tcBorders>
            <w:vAlign w:val="center"/>
          </w:tcPr>
          <w:p w14:paraId="68BA65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rPr>
            </w:pPr>
          </w:p>
        </w:tc>
        <w:tc>
          <w:tcPr>
            <w:tcW w:w="744" w:type="dxa"/>
            <w:tcBorders>
              <w:tl2br w:val="nil"/>
              <w:tr2bl w:val="nil"/>
            </w:tcBorders>
            <w:vAlign w:val="center"/>
          </w:tcPr>
          <w:p w14:paraId="225A96C9">
            <w:pPr>
              <w:pStyle w:val="7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达标</w:t>
            </w:r>
          </w:p>
        </w:tc>
      </w:tr>
      <w:tr w14:paraId="657EBF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000" w:type="pct"/>
            <w:gridSpan w:val="9"/>
            <w:tcBorders>
              <w:tl2br w:val="nil"/>
              <w:tr2bl w:val="nil"/>
            </w:tcBorders>
            <w:vAlign w:val="center"/>
          </w:tcPr>
          <w:p w14:paraId="6DCCF07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评价标准：《电磁环境控制限值》</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7"/>
                <w:sz w:val="21"/>
                <w:szCs w:val="21"/>
              </w:rPr>
              <w:t>8702-2014。</w:t>
            </w:r>
          </w:p>
        </w:tc>
      </w:tr>
    </w:tbl>
    <w:p w14:paraId="157E1D85">
      <w:pPr>
        <w:adjustRightInd w:val="0"/>
        <w:snapToGrid w:val="0"/>
        <w:spacing w:line="440" w:lineRule="exact"/>
        <w:ind w:firstLine="480" w:firstLineChars="200"/>
        <w:rPr>
          <w:rFonts w:ascii="Times New Roman" w:hAnsi="Times New Roman"/>
          <w:bCs/>
          <w:color w:val="auto"/>
          <w:kern w:val="0"/>
          <w:sz w:val="24"/>
          <w:szCs w:val="24"/>
        </w:rPr>
      </w:pPr>
      <w:r>
        <w:rPr>
          <w:rFonts w:ascii="Times New Roman" w:hAnsi="Times New Roman" w:cs="Times New Roman"/>
          <w:color w:val="auto"/>
          <w:sz w:val="24"/>
          <w:szCs w:val="24"/>
        </w:rPr>
        <w:t>根据现状监测结果可得：</w:t>
      </w:r>
      <w:r>
        <w:rPr>
          <w:rFonts w:ascii="Times New Roman" w:hAnsi="Times New Roman"/>
          <w:color w:val="auto"/>
          <w:sz w:val="24"/>
          <w:szCs w:val="24"/>
        </w:rPr>
        <w:t>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工频电场强度为</w:t>
      </w:r>
      <w:r>
        <w:rPr>
          <w:rFonts w:hint="eastAsia" w:ascii="Times New Roman" w:hAnsi="Times New Roman"/>
          <w:color w:val="auto"/>
          <w:sz w:val="24"/>
          <w:szCs w:val="24"/>
          <w:lang w:val="en-US" w:eastAsia="zh-CN"/>
        </w:rPr>
        <w:t>8.21</w:t>
      </w:r>
      <w:r>
        <w:rPr>
          <w:rFonts w:ascii="Times New Roman" w:hAnsi="Times New Roman"/>
          <w:color w:val="auto"/>
          <w:sz w:val="24"/>
          <w:szCs w:val="24"/>
        </w:rPr>
        <w:t>~</w:t>
      </w:r>
      <w:r>
        <w:rPr>
          <w:rFonts w:hint="eastAsia" w:ascii="Times New Roman" w:hAnsi="Times New Roman"/>
          <w:color w:val="auto"/>
          <w:sz w:val="24"/>
          <w:szCs w:val="24"/>
          <w:lang w:val="en-US" w:eastAsia="zh-CN"/>
        </w:rPr>
        <w:t>24.62</w:t>
      </w:r>
      <w:r>
        <w:rPr>
          <w:rFonts w:ascii="Times New Roman" w:hAnsi="Times New Roman"/>
          <w:color w:val="auto"/>
          <w:sz w:val="24"/>
          <w:szCs w:val="24"/>
        </w:rPr>
        <w:t>V/m；线路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工频磁感应强度为0.0</w:t>
      </w:r>
      <w:r>
        <w:rPr>
          <w:rFonts w:hint="eastAsia" w:ascii="Times New Roman" w:hAnsi="Times New Roman"/>
          <w:color w:val="auto"/>
          <w:sz w:val="24"/>
          <w:szCs w:val="24"/>
          <w:lang w:val="en-US" w:eastAsia="zh-CN"/>
        </w:rPr>
        <w:t>4</w:t>
      </w:r>
      <w:r>
        <w:rPr>
          <w:rFonts w:ascii="Times New Roman" w:hAnsi="Times New Roman"/>
          <w:color w:val="auto"/>
          <w:sz w:val="24"/>
          <w:szCs w:val="24"/>
        </w:rPr>
        <w:t>μT~0.</w:t>
      </w:r>
      <w:r>
        <w:rPr>
          <w:rFonts w:hint="eastAsia" w:ascii="Times New Roman" w:hAnsi="Times New Roman"/>
          <w:color w:val="auto"/>
          <w:sz w:val="24"/>
          <w:szCs w:val="24"/>
          <w:lang w:val="en-US" w:eastAsia="zh-CN"/>
        </w:rPr>
        <w:t>11</w:t>
      </w:r>
      <w:r>
        <w:rPr>
          <w:rFonts w:ascii="Times New Roman" w:hAnsi="Times New Roman"/>
          <w:color w:val="auto"/>
          <w:sz w:val="24"/>
          <w:szCs w:val="24"/>
        </w:rPr>
        <w:t>μT，</w:t>
      </w:r>
      <w:r>
        <w:rPr>
          <w:rFonts w:ascii="Times New Roman" w:hAnsi="Times New Roman"/>
          <w:bCs/>
          <w:color w:val="auto"/>
          <w:kern w:val="0"/>
          <w:sz w:val="24"/>
          <w:szCs w:val="24"/>
        </w:rPr>
        <w:t>满足《电磁环境控制限值》（GB8702</w:t>
      </w:r>
      <w:r>
        <w:rPr>
          <w:rFonts w:hint="eastAsia" w:ascii="Times New Roman" w:hAnsi="Times New Roman"/>
          <w:bCs/>
          <w:color w:val="auto"/>
          <w:kern w:val="0"/>
          <w:sz w:val="24"/>
          <w:szCs w:val="24"/>
          <w:lang w:eastAsia="zh-CN"/>
        </w:rPr>
        <w:t>—</w:t>
      </w:r>
      <w:r>
        <w:rPr>
          <w:rFonts w:ascii="Times New Roman" w:hAnsi="Times New Roman"/>
          <w:bCs/>
          <w:color w:val="auto"/>
          <w:kern w:val="0"/>
          <w:sz w:val="24"/>
          <w:szCs w:val="24"/>
        </w:rPr>
        <w:t>2014）中4kV/m、100μT的环境质量限值要求。</w:t>
      </w:r>
      <w:bookmarkEnd w:id="158"/>
    </w:p>
    <w:p w14:paraId="79FD6DE9">
      <w:pPr>
        <w:numPr>
          <w:ilvl w:val="0"/>
          <w:numId w:val="0"/>
        </w:numPr>
        <w:adjustRightInd w:val="0"/>
        <w:snapToGrid w:val="0"/>
        <w:spacing w:line="440" w:lineRule="exact"/>
        <w:ind w:firstLine="482" w:firstLineChars="200"/>
        <w:rPr>
          <w:rFonts w:hint="eastAsia" w:ascii="Times New Roman" w:hAnsi="Times New Roman"/>
          <w:b/>
          <w:bCs w:val="0"/>
          <w:color w:val="auto"/>
          <w:kern w:val="0"/>
          <w:sz w:val="24"/>
          <w:szCs w:val="24"/>
          <w:lang w:val="en-US" w:eastAsia="zh-CN"/>
        </w:rPr>
      </w:pPr>
      <w:r>
        <w:rPr>
          <w:rFonts w:hint="eastAsia" w:ascii="Times New Roman" w:hAnsi="Times New Roman" w:eastAsia="宋体" w:cs="Times New Roman"/>
          <w:b/>
          <w:bCs w:val="0"/>
          <w:color w:val="auto"/>
          <w:kern w:val="0"/>
          <w:sz w:val="24"/>
          <w:szCs w:val="24"/>
          <w:lang w:val="en-US" w:eastAsia="zh-CN" w:bidi="ar-SA"/>
        </w:rPr>
        <w:t>（2）</w:t>
      </w:r>
      <w:r>
        <w:rPr>
          <w:rFonts w:hint="eastAsia" w:ascii="Times New Roman" w:hAnsi="Times New Roman"/>
          <w:b/>
          <w:bCs w:val="0"/>
          <w:color w:val="auto"/>
          <w:kern w:val="0"/>
          <w:sz w:val="24"/>
          <w:szCs w:val="24"/>
          <w:lang w:val="en-US" w:eastAsia="zh-CN"/>
        </w:rPr>
        <w:t>引用监测数据结果</w:t>
      </w:r>
    </w:p>
    <w:p w14:paraId="78E21A3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220kV大营山升压站、500kV乐业变电站引用</w:t>
      </w:r>
      <w:r>
        <w:rPr>
          <w:rFonts w:hint="eastAsia" w:ascii="Times New Roman" w:hAnsi="Times New Roman" w:eastAsia="宋体" w:cs="Times New Roman"/>
          <w:color w:val="auto"/>
          <w:sz w:val="24"/>
          <w:szCs w:val="24"/>
          <w:lang w:val="en-US" w:eastAsia="zh-CN"/>
        </w:rPr>
        <w:t>现状检测结果见下表。</w:t>
      </w:r>
    </w:p>
    <w:p w14:paraId="603F8523">
      <w:pPr>
        <w:adjustRightInd w:val="0"/>
        <w:snapToGrid w:val="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表4-</w:t>
      </w:r>
      <w:r>
        <w:rPr>
          <w:rFonts w:hint="eastAsia" w:ascii="Times New Roman" w:hAnsi="Times New Roman" w:cs="Times New Roman"/>
          <w:b/>
          <w:bCs/>
          <w:color w:val="auto"/>
          <w:sz w:val="24"/>
          <w:szCs w:val="24"/>
        </w:rPr>
        <w:t>7</w:t>
      </w:r>
      <w:r>
        <w:rPr>
          <w:rFonts w:ascii="Times New Roman" w:hAnsi="Times New Roman" w:cs="Times New Roman"/>
          <w:b/>
          <w:bCs/>
          <w:color w:val="auto"/>
          <w:sz w:val="24"/>
          <w:szCs w:val="24"/>
        </w:rPr>
        <w:t xml:space="preserve">  </w:t>
      </w:r>
      <w:r>
        <w:rPr>
          <w:rFonts w:hint="eastAsia" w:ascii="Times New Roman" w:hAnsi="Times New Roman" w:cs="Times New Roman"/>
          <w:b/>
          <w:bCs/>
          <w:color w:val="auto"/>
          <w:sz w:val="24"/>
          <w:szCs w:val="24"/>
          <w:lang w:val="en-US" w:eastAsia="zh-CN"/>
        </w:rPr>
        <w:t>引用</w:t>
      </w:r>
      <w:r>
        <w:rPr>
          <w:rFonts w:ascii="Times New Roman" w:hAnsi="Times New Roman" w:cs="Times New Roman"/>
          <w:b/>
          <w:bCs/>
          <w:color w:val="auto"/>
          <w:sz w:val="24"/>
          <w:szCs w:val="24"/>
        </w:rPr>
        <w:t>现状监测结果</w:t>
      </w:r>
    </w:p>
    <w:tbl>
      <w:tblPr>
        <w:tblStyle w:val="52"/>
        <w:tblW w:w="4994"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825"/>
        <w:gridCol w:w="1635"/>
        <w:gridCol w:w="1623"/>
        <w:gridCol w:w="2058"/>
        <w:gridCol w:w="1582"/>
      </w:tblGrid>
      <w:tr w14:paraId="29D044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046" w:type="pct"/>
            <w:tcBorders>
              <w:tl2br w:val="nil"/>
              <w:tr2bl w:val="nil"/>
            </w:tcBorders>
            <w:vAlign w:val="center"/>
          </w:tcPr>
          <w:p w14:paraId="406DF2C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eastAsia="宋体"/>
                <w:color w:val="auto"/>
                <w:sz w:val="21"/>
                <w:szCs w:val="21"/>
                <w:lang w:eastAsia="zh-CN"/>
              </w:rPr>
            </w:pPr>
            <w:r>
              <w:rPr>
                <w:rFonts w:hint="eastAsia"/>
                <w:b/>
                <w:bCs/>
                <w:color w:val="auto"/>
                <w:spacing w:val="4"/>
                <w:sz w:val="21"/>
                <w:szCs w:val="21"/>
                <w:lang w:val="en-US" w:eastAsia="zh-CN"/>
              </w:rPr>
              <w:t>工程</w:t>
            </w:r>
          </w:p>
        </w:tc>
        <w:tc>
          <w:tcPr>
            <w:tcW w:w="937" w:type="pct"/>
            <w:tcBorders>
              <w:tl2br w:val="nil"/>
              <w:tr2bl w:val="nil"/>
            </w:tcBorders>
            <w:vAlign w:val="center"/>
          </w:tcPr>
          <w:p w14:paraId="0DC7370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6"/>
                <w:sz w:val="21"/>
                <w:szCs w:val="21"/>
              </w:rPr>
              <w:t>监测点位</w:t>
            </w:r>
          </w:p>
        </w:tc>
        <w:tc>
          <w:tcPr>
            <w:tcW w:w="930" w:type="pct"/>
            <w:tcBorders>
              <w:tl2br w:val="nil"/>
              <w:tr2bl w:val="nil"/>
            </w:tcBorders>
            <w:vAlign w:val="center"/>
          </w:tcPr>
          <w:p w14:paraId="7C2CD6AE">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6"/>
                <w:sz w:val="21"/>
                <w:szCs w:val="21"/>
              </w:rPr>
              <w:t>监测日期</w:t>
            </w:r>
          </w:p>
        </w:tc>
        <w:tc>
          <w:tcPr>
            <w:tcW w:w="1179" w:type="pct"/>
            <w:tcBorders>
              <w:tl2br w:val="nil"/>
              <w:tr2bl w:val="nil"/>
            </w:tcBorders>
            <w:vAlign w:val="center"/>
          </w:tcPr>
          <w:p w14:paraId="6718B030">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5"/>
                <w:sz w:val="21"/>
                <w:szCs w:val="21"/>
              </w:rPr>
              <w:t>工频电场</w:t>
            </w:r>
            <w:r>
              <w:rPr>
                <w:b/>
                <w:bCs/>
                <w:color w:val="auto"/>
                <w:sz w:val="21"/>
                <w:szCs w:val="21"/>
              </w:rPr>
              <w:t>（</w:t>
            </w:r>
            <w:r>
              <w:rPr>
                <w:rFonts w:ascii="Times New Roman" w:hAnsi="Times New Roman" w:eastAsia="Times New Roman" w:cs="Times New Roman"/>
                <w:b/>
                <w:bCs/>
                <w:color w:val="auto"/>
                <w:sz w:val="21"/>
                <w:szCs w:val="21"/>
              </w:rPr>
              <w:t>V/m</w:t>
            </w:r>
            <w:r>
              <w:rPr>
                <w:b/>
                <w:bCs/>
                <w:color w:val="auto"/>
                <w:sz w:val="21"/>
                <w:szCs w:val="21"/>
              </w:rPr>
              <w:t>）</w:t>
            </w:r>
          </w:p>
        </w:tc>
        <w:tc>
          <w:tcPr>
            <w:tcW w:w="906" w:type="pct"/>
            <w:tcBorders>
              <w:tl2br w:val="nil"/>
              <w:tr2bl w:val="nil"/>
            </w:tcBorders>
            <w:vAlign w:val="center"/>
          </w:tcPr>
          <w:p w14:paraId="60E10D1A">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5"/>
                <w:sz w:val="21"/>
                <w:szCs w:val="21"/>
              </w:rPr>
              <w:t>工频磁场</w:t>
            </w:r>
            <w:r>
              <w:rPr>
                <w:rFonts w:hint="eastAsia"/>
                <w:b/>
                <w:bCs/>
                <w:color w:val="auto"/>
                <w:spacing w:val="5"/>
                <w:sz w:val="21"/>
                <w:szCs w:val="21"/>
                <w:lang w:eastAsia="zh-CN"/>
              </w:rPr>
              <w:t>（</w:t>
            </w:r>
            <w:r>
              <w:rPr>
                <w:rFonts w:ascii="Times New Roman" w:hAnsi="Times New Roman" w:eastAsia="Times New Roman" w:cs="Times New Roman"/>
                <w:b/>
                <w:bCs/>
                <w:color w:val="auto"/>
                <w:spacing w:val="-1"/>
                <w:sz w:val="21"/>
                <w:szCs w:val="21"/>
              </w:rPr>
              <w:t>μT</w:t>
            </w:r>
            <w:r>
              <w:rPr>
                <w:b/>
                <w:bCs/>
                <w:color w:val="auto"/>
                <w:spacing w:val="-1"/>
                <w:sz w:val="21"/>
                <w:szCs w:val="21"/>
              </w:rPr>
              <w:t>）</w:t>
            </w:r>
          </w:p>
        </w:tc>
      </w:tr>
      <w:tr w14:paraId="150E59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046" w:type="pct"/>
            <w:tcBorders>
              <w:tl2br w:val="nil"/>
              <w:tr2bl w:val="nil"/>
            </w:tcBorders>
            <w:vAlign w:val="center"/>
          </w:tcPr>
          <w:p w14:paraId="251AE7E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lang w:val="en-US" w:eastAsia="zh-CN"/>
              </w:rPr>
              <w:t>500kV乐业变电站</w:t>
            </w:r>
          </w:p>
        </w:tc>
        <w:tc>
          <w:tcPr>
            <w:tcW w:w="937" w:type="pct"/>
            <w:tcBorders>
              <w:tl2br w:val="nil"/>
              <w:tr2bl w:val="nil"/>
            </w:tcBorders>
            <w:vAlign w:val="center"/>
          </w:tcPr>
          <w:p w14:paraId="788A4C5C">
            <w:pPr>
              <w:pStyle w:val="74"/>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color w:val="auto"/>
                <w:spacing w:val="8"/>
                <w:sz w:val="21"/>
                <w:szCs w:val="21"/>
              </w:rPr>
              <w:t>拟建站址中心</w:t>
            </w:r>
          </w:p>
        </w:tc>
        <w:tc>
          <w:tcPr>
            <w:tcW w:w="930" w:type="pct"/>
            <w:tcBorders>
              <w:tl2br w:val="nil"/>
              <w:tr2bl w:val="nil"/>
            </w:tcBorders>
            <w:vAlign w:val="center"/>
          </w:tcPr>
          <w:p w14:paraId="1BA25F3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2024.4.25</w:t>
            </w:r>
          </w:p>
        </w:tc>
        <w:tc>
          <w:tcPr>
            <w:tcW w:w="1179" w:type="pct"/>
            <w:tcBorders>
              <w:tl2br w:val="nil"/>
              <w:tr2bl w:val="nil"/>
            </w:tcBorders>
            <w:vAlign w:val="center"/>
          </w:tcPr>
          <w:p w14:paraId="0EE6444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0.352</w:t>
            </w:r>
          </w:p>
        </w:tc>
        <w:tc>
          <w:tcPr>
            <w:tcW w:w="906" w:type="pct"/>
            <w:tcBorders>
              <w:tl2br w:val="nil"/>
              <w:tr2bl w:val="nil"/>
            </w:tcBorders>
            <w:vAlign w:val="center"/>
          </w:tcPr>
          <w:p w14:paraId="77BA1AE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0.0897</w:t>
            </w:r>
          </w:p>
        </w:tc>
      </w:tr>
      <w:tr w14:paraId="37589D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046" w:type="pct"/>
            <w:vMerge w:val="restart"/>
            <w:tcBorders>
              <w:tl2br w:val="nil"/>
              <w:tr2bl w:val="nil"/>
            </w:tcBorders>
            <w:vAlign w:val="center"/>
          </w:tcPr>
          <w:p w14:paraId="13A84D0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lang w:val="en-US" w:eastAsia="zh-CN"/>
              </w:rPr>
              <w:t>220kV六合一升压站</w:t>
            </w:r>
          </w:p>
        </w:tc>
        <w:tc>
          <w:tcPr>
            <w:tcW w:w="937" w:type="pct"/>
            <w:tcBorders>
              <w:tl2br w:val="nil"/>
              <w:tr2bl w:val="nil"/>
            </w:tcBorders>
            <w:vAlign w:val="center"/>
          </w:tcPr>
          <w:p w14:paraId="225D9A07">
            <w:pPr>
              <w:autoSpaceDE w:val="0"/>
              <w:autoSpaceDN w:val="0"/>
              <w:spacing w:line="240" w:lineRule="auto"/>
              <w:jc w:val="center"/>
              <w:rPr>
                <w:color w:val="auto"/>
                <w:spacing w:val="8"/>
                <w:sz w:val="21"/>
                <w:szCs w:val="21"/>
              </w:rPr>
            </w:pPr>
            <w:r>
              <w:rPr>
                <w:rFonts w:ascii="Times New Roman" w:hAnsi="Times New Roman"/>
                <w:color w:val="auto"/>
                <w:sz w:val="21"/>
                <w:szCs w:val="21"/>
              </w:rPr>
              <w:t>拟建升压站东侧</w:t>
            </w:r>
          </w:p>
        </w:tc>
        <w:tc>
          <w:tcPr>
            <w:tcW w:w="930" w:type="pct"/>
            <w:tcBorders>
              <w:tl2br w:val="nil"/>
              <w:tr2bl w:val="nil"/>
            </w:tcBorders>
            <w:vAlign w:val="center"/>
          </w:tcPr>
          <w:p w14:paraId="5F35A15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3FE539F2">
            <w:pPr>
              <w:autoSpaceDE w:val="0"/>
              <w:autoSpaceDN w:val="0"/>
              <w:spacing w:line="240" w:lineRule="auto"/>
              <w:jc w:val="center"/>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34</w:t>
            </w:r>
          </w:p>
        </w:tc>
        <w:tc>
          <w:tcPr>
            <w:tcW w:w="906" w:type="pct"/>
            <w:tcBorders>
              <w:tl2br w:val="nil"/>
              <w:tr2bl w:val="nil"/>
            </w:tcBorders>
            <w:shd w:val="clear" w:color="auto" w:fill="auto"/>
            <w:vAlign w:val="center"/>
          </w:tcPr>
          <w:p w14:paraId="0BD202BD">
            <w:pPr>
              <w:autoSpaceDE w:val="0"/>
              <w:autoSpaceDN w:val="0"/>
              <w:spacing w:line="240" w:lineRule="auto"/>
              <w:jc w:val="center"/>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0.073</w:t>
            </w:r>
          </w:p>
        </w:tc>
      </w:tr>
      <w:tr w14:paraId="424363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046" w:type="pct"/>
            <w:vMerge w:val="continue"/>
            <w:tcBorders>
              <w:tl2br w:val="nil"/>
              <w:tr2bl w:val="nil"/>
            </w:tcBorders>
            <w:vAlign w:val="center"/>
          </w:tcPr>
          <w:p w14:paraId="4E4B869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37" w:type="pct"/>
            <w:tcBorders>
              <w:tl2br w:val="nil"/>
              <w:tr2bl w:val="nil"/>
            </w:tcBorders>
            <w:vAlign w:val="center"/>
          </w:tcPr>
          <w:p w14:paraId="53A78098">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拟建升压站南侧</w:t>
            </w:r>
          </w:p>
        </w:tc>
        <w:tc>
          <w:tcPr>
            <w:tcW w:w="930" w:type="pct"/>
            <w:tcBorders>
              <w:tl2br w:val="nil"/>
              <w:tr2bl w:val="nil"/>
            </w:tcBorders>
            <w:vAlign w:val="center"/>
          </w:tcPr>
          <w:p w14:paraId="2B7CB77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22E6509A">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39</w:t>
            </w:r>
          </w:p>
        </w:tc>
        <w:tc>
          <w:tcPr>
            <w:tcW w:w="906" w:type="pct"/>
            <w:tcBorders>
              <w:tl2br w:val="nil"/>
              <w:tr2bl w:val="nil"/>
            </w:tcBorders>
            <w:shd w:val="clear" w:color="auto" w:fill="auto"/>
            <w:vAlign w:val="center"/>
          </w:tcPr>
          <w:p w14:paraId="3271165B">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0.083</w:t>
            </w:r>
          </w:p>
        </w:tc>
      </w:tr>
      <w:tr w14:paraId="7E199D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0" w:hRule="atLeast"/>
        </w:trPr>
        <w:tc>
          <w:tcPr>
            <w:tcW w:w="1046" w:type="pct"/>
            <w:vMerge w:val="continue"/>
            <w:tcBorders>
              <w:tl2br w:val="nil"/>
              <w:tr2bl w:val="nil"/>
            </w:tcBorders>
            <w:vAlign w:val="center"/>
          </w:tcPr>
          <w:p w14:paraId="5131502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37" w:type="pct"/>
            <w:tcBorders>
              <w:tl2br w:val="nil"/>
              <w:tr2bl w:val="nil"/>
            </w:tcBorders>
            <w:vAlign w:val="center"/>
          </w:tcPr>
          <w:p w14:paraId="4A1BA6AC">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拟建升压站西侧</w:t>
            </w:r>
          </w:p>
        </w:tc>
        <w:tc>
          <w:tcPr>
            <w:tcW w:w="930" w:type="pct"/>
            <w:tcBorders>
              <w:tl2br w:val="nil"/>
              <w:tr2bl w:val="nil"/>
            </w:tcBorders>
            <w:vAlign w:val="center"/>
          </w:tcPr>
          <w:p w14:paraId="560E4F5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47A42633">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41</w:t>
            </w:r>
          </w:p>
        </w:tc>
        <w:tc>
          <w:tcPr>
            <w:tcW w:w="906" w:type="pct"/>
            <w:tcBorders>
              <w:tl2br w:val="nil"/>
              <w:tr2bl w:val="nil"/>
            </w:tcBorders>
            <w:shd w:val="clear" w:color="auto" w:fill="auto"/>
            <w:vAlign w:val="center"/>
          </w:tcPr>
          <w:p w14:paraId="103E82BF">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0.086</w:t>
            </w:r>
          </w:p>
        </w:tc>
      </w:tr>
      <w:tr w14:paraId="731999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046" w:type="pct"/>
            <w:vMerge w:val="continue"/>
            <w:tcBorders>
              <w:tl2br w:val="nil"/>
              <w:tr2bl w:val="nil"/>
            </w:tcBorders>
            <w:vAlign w:val="center"/>
          </w:tcPr>
          <w:p w14:paraId="637CE68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37" w:type="pct"/>
            <w:tcBorders>
              <w:tl2br w:val="nil"/>
              <w:tr2bl w:val="nil"/>
            </w:tcBorders>
            <w:vAlign w:val="center"/>
          </w:tcPr>
          <w:p w14:paraId="19EA8E08">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拟建升压站北侧</w:t>
            </w:r>
          </w:p>
        </w:tc>
        <w:tc>
          <w:tcPr>
            <w:tcW w:w="930" w:type="pct"/>
            <w:tcBorders>
              <w:tl2br w:val="nil"/>
              <w:tr2bl w:val="nil"/>
            </w:tcBorders>
            <w:vAlign w:val="center"/>
          </w:tcPr>
          <w:p w14:paraId="0947F4E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22113362">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30</w:t>
            </w:r>
          </w:p>
        </w:tc>
        <w:tc>
          <w:tcPr>
            <w:tcW w:w="906" w:type="pct"/>
            <w:tcBorders>
              <w:tl2br w:val="nil"/>
              <w:tr2bl w:val="nil"/>
            </w:tcBorders>
            <w:shd w:val="clear" w:color="auto" w:fill="auto"/>
            <w:vAlign w:val="center"/>
          </w:tcPr>
          <w:p w14:paraId="7F6DF961">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0.064</w:t>
            </w:r>
          </w:p>
        </w:tc>
      </w:tr>
    </w:tbl>
    <w:p w14:paraId="11B01CFA">
      <w:pPr>
        <w:numPr>
          <w:ilvl w:val="0"/>
          <w:numId w:val="0"/>
        </w:numPr>
        <w:adjustRightInd w:val="0"/>
        <w:snapToGrid w:val="0"/>
        <w:spacing w:line="440" w:lineRule="exact"/>
        <w:ind w:firstLine="480" w:firstLineChars="200"/>
        <w:rPr>
          <w:rFonts w:hint="eastAsia" w:ascii="Times New Roman" w:hAnsi="Times New Roman" w:eastAsia="宋体" w:cs="Times New Roman"/>
          <w:bCs/>
          <w:color w:val="auto"/>
          <w:kern w:val="0"/>
          <w:sz w:val="24"/>
          <w:szCs w:val="24"/>
          <w:lang w:eastAsia="zh-CN"/>
        </w:rPr>
      </w:pPr>
      <w:r>
        <w:rPr>
          <w:rFonts w:ascii="Times New Roman" w:hAnsi="Times New Roman" w:cs="Times New Roman"/>
          <w:bCs/>
          <w:color w:val="auto"/>
          <w:kern w:val="0"/>
          <w:sz w:val="24"/>
          <w:szCs w:val="24"/>
        </w:rPr>
        <w:t>由上表监测结果可知：</w:t>
      </w:r>
      <w:r>
        <w:rPr>
          <w:rFonts w:hint="eastAsia" w:ascii="Times New Roman" w:hAnsi="Times New Roman" w:cs="Times New Roman"/>
          <w:color w:val="auto"/>
          <w:sz w:val="24"/>
          <w:szCs w:val="24"/>
          <w:lang w:val="en-US" w:eastAsia="zh-CN"/>
        </w:rPr>
        <w:t>220kV六合一升压站</w:t>
      </w:r>
      <w:r>
        <w:rPr>
          <w:rFonts w:hint="default" w:ascii="Times New Roman" w:hAnsi="Times New Roman" w:cs="Times New Roman"/>
          <w:bCs/>
          <w:color w:val="auto"/>
          <w:kern w:val="0"/>
          <w:sz w:val="24"/>
          <w:szCs w:val="24"/>
        </w:rPr>
        <w:t>站址中心的工频电场强度为30V/m~41V/m，工频磁感应强度范围为0.064μT~0.086μT，能满足《电磁环境控制限值》（GB8702-2014）</w:t>
      </w:r>
      <w:r>
        <w:rPr>
          <w:rFonts w:hint="eastAsia" w:ascii="Times New Roman" w:hAnsi="Times New Roman" w:cs="Times New Roman"/>
          <w:bCs/>
          <w:color w:val="auto"/>
          <w:kern w:val="0"/>
          <w:sz w:val="24"/>
          <w:szCs w:val="24"/>
          <w:lang w:val="en-US" w:eastAsia="zh-CN"/>
        </w:rPr>
        <w:t>公众曝露控制限值</w:t>
      </w:r>
      <w:r>
        <w:rPr>
          <w:rFonts w:hint="default" w:ascii="Times New Roman" w:hAnsi="Times New Roman" w:cs="Times New Roman"/>
          <w:bCs/>
          <w:color w:val="auto"/>
          <w:kern w:val="0"/>
          <w:sz w:val="24"/>
          <w:szCs w:val="24"/>
        </w:rPr>
        <w:t>标准（工频电场4000V/m、工频磁感应强度100μT）的要求</w:t>
      </w:r>
      <w:r>
        <w:rPr>
          <w:rFonts w:hint="eastAsia" w:ascii="Times New Roman" w:hAnsi="Times New Roman" w:cs="Times New Roman"/>
          <w:bCs/>
          <w:color w:val="auto"/>
          <w:kern w:val="0"/>
          <w:sz w:val="24"/>
          <w:szCs w:val="24"/>
          <w:lang w:eastAsia="zh-CN"/>
        </w:rPr>
        <w:t>。</w:t>
      </w:r>
    </w:p>
    <w:p w14:paraId="0D66AD85">
      <w:pPr>
        <w:numPr>
          <w:ilvl w:val="0"/>
          <w:numId w:val="0"/>
        </w:numPr>
        <w:adjustRightInd w:val="0"/>
        <w:snapToGrid w:val="0"/>
        <w:spacing w:line="440" w:lineRule="exact"/>
        <w:ind w:firstLine="480" w:firstLineChars="200"/>
        <w:rPr>
          <w:rFonts w:hint="default" w:ascii="Times New Roman" w:hAnsi="Times New Roman"/>
          <w:bCs/>
          <w:color w:val="auto"/>
          <w:kern w:val="0"/>
          <w:sz w:val="24"/>
          <w:szCs w:val="24"/>
          <w:lang w:val="en-US" w:eastAsia="zh-CN"/>
        </w:rPr>
      </w:pPr>
      <w:r>
        <w:rPr>
          <w:rFonts w:hint="eastAsia" w:ascii="Times New Roman" w:hAnsi="Times New Roman" w:cs="Times New Roman"/>
          <w:color w:val="auto"/>
          <w:sz w:val="24"/>
          <w:szCs w:val="24"/>
          <w:lang w:val="en-US" w:eastAsia="zh-CN"/>
        </w:rPr>
        <w:t>500kV乐业变电站站址中心拟建站址中心处及附近的工频电场强度为0.352V/m，拟建站址中心处及附近的工频磁感应强度为0.0897μT，</w:t>
      </w:r>
      <w:r>
        <w:rPr>
          <w:rFonts w:hint="eastAsia" w:ascii="Times New Roman" w:hAnsi="Times New Roman" w:cs="Times New Roman"/>
          <w:bCs/>
          <w:color w:val="auto"/>
          <w:kern w:val="0"/>
          <w:sz w:val="24"/>
          <w:szCs w:val="24"/>
        </w:rPr>
        <w:t>《电磁环境控制限值》（GB8702-2014）标准（工频电场4000V/m、工频磁感应强度100μT）的要求。</w:t>
      </w:r>
    </w:p>
    <w:p w14:paraId="631A8819">
      <w:pPr>
        <w:pStyle w:val="3"/>
        <w:adjustRightInd w:val="0"/>
        <w:snapToGrid w:val="0"/>
        <w:spacing w:line="440" w:lineRule="exact"/>
        <w:jc w:val="both"/>
        <w:rPr>
          <w:rFonts w:hint="eastAsia" w:ascii="Times New Roman" w:hAnsi="Times New Roman" w:cs="Times New Roman"/>
          <w:color w:val="auto"/>
          <w:szCs w:val="28"/>
        </w:rPr>
        <w:sectPr>
          <w:pgSz w:w="11907" w:h="16839"/>
          <w:pgMar w:top="1474" w:right="1587" w:bottom="1474" w:left="1587" w:header="794" w:footer="1020" w:gutter="0"/>
          <w:pgBorders>
            <w:top w:val="none" w:sz="0" w:space="0"/>
            <w:left w:val="none" w:sz="0" w:space="0"/>
            <w:bottom w:val="none" w:sz="0" w:space="0"/>
            <w:right w:val="none" w:sz="0" w:space="0"/>
          </w:pgBorders>
          <w:cols w:space="425" w:num="1"/>
          <w:docGrid w:type="lines" w:linePitch="312" w:charSpace="0"/>
        </w:sectPr>
      </w:pPr>
      <w:bookmarkStart w:id="165" w:name="_Toc74062924"/>
    </w:p>
    <w:p w14:paraId="6956079D">
      <w:pPr>
        <w:pStyle w:val="3"/>
        <w:adjustRightInd w:val="0"/>
        <w:snapToGrid w:val="0"/>
        <w:spacing w:line="440" w:lineRule="exact"/>
        <w:jc w:val="both"/>
        <w:rPr>
          <w:rFonts w:hint="eastAsia" w:ascii="Times New Roman" w:hAnsi="Times New Roman" w:cs="Times New Roman"/>
          <w:color w:val="auto"/>
          <w:szCs w:val="28"/>
        </w:rPr>
      </w:pPr>
      <w:bookmarkStart w:id="166" w:name="_Toc13842"/>
      <w:r>
        <w:rPr>
          <w:rFonts w:ascii="Times New Roman" w:hAnsi="Times New Roman" w:cs="Times New Roman"/>
          <w:color w:val="auto"/>
          <w:szCs w:val="28"/>
        </w:rPr>
        <w:t>5 电磁环境影响预测及分析</w:t>
      </w:r>
      <w:bookmarkEnd w:id="165"/>
      <w:bookmarkEnd w:id="166"/>
    </w:p>
    <w:p w14:paraId="7BA13DAA">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 xml:space="preserve">根据《环境影响评价技术导则 </w:t>
      </w:r>
      <w:r>
        <w:rPr>
          <w:rFonts w:hint="eastAsia" w:ascii="Times New Roman" w:hAnsi="Times New Roman" w:cs="Times New Roman"/>
          <w:color w:val="auto"/>
          <w:sz w:val="24"/>
          <w:szCs w:val="24"/>
        </w:rPr>
        <w:t xml:space="preserve"> </w:t>
      </w:r>
      <w:r>
        <w:rPr>
          <w:rFonts w:ascii="Times New Roman" w:hAnsi="Times New Roman" w:cs="Times New Roman"/>
          <w:color w:val="auto"/>
          <w:sz w:val="24"/>
          <w:szCs w:val="24"/>
        </w:rPr>
        <w:t>输变电》（HJ24-2020）中4.10.</w:t>
      </w:r>
      <w:r>
        <w:rPr>
          <w:rFonts w:hint="eastAsia" w:ascii="Times New Roman" w:hAnsi="Times New Roman" w:cs="Times New Roman"/>
          <w:color w:val="auto"/>
          <w:sz w:val="24"/>
          <w:szCs w:val="24"/>
          <w:lang w:val="en-US" w:eastAsia="zh-CN"/>
        </w:rPr>
        <w:t>2二级</w:t>
      </w:r>
      <w:r>
        <w:rPr>
          <w:rFonts w:ascii="Times New Roman" w:hAnsi="Times New Roman" w:cs="Times New Roman"/>
          <w:color w:val="auto"/>
          <w:sz w:val="24"/>
          <w:szCs w:val="24"/>
        </w:rPr>
        <w:t>评价的基本要求，架空线路电磁环境影响预测采用模式预测的方式。</w:t>
      </w:r>
    </w:p>
    <w:p w14:paraId="3DA381BF">
      <w:pPr>
        <w:pStyle w:val="4"/>
        <w:adjustRightInd w:val="0"/>
        <w:snapToGrid w:val="0"/>
        <w:spacing w:line="440" w:lineRule="exact"/>
        <w:rPr>
          <w:rFonts w:hint="eastAsia" w:ascii="Times New Roman" w:hAnsi="Times New Roman" w:eastAsia="宋体" w:cs="Times New Roman"/>
          <w:color w:val="auto"/>
          <w:szCs w:val="24"/>
        </w:rPr>
      </w:pPr>
      <w:bookmarkStart w:id="167" w:name="_Toc18504"/>
      <w:r>
        <w:rPr>
          <w:rFonts w:ascii="Times New Roman" w:hAnsi="Times New Roman" w:eastAsia="宋体" w:cs="Times New Roman"/>
          <w:color w:val="auto"/>
          <w:szCs w:val="24"/>
        </w:rPr>
        <w:t>5.1架空输电线路电磁环境影响预测及分析</w:t>
      </w:r>
      <w:bookmarkEnd w:id="167"/>
    </w:p>
    <w:p w14:paraId="0FE09B54">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本工程架空输电线路的工频电场强度、工频磁感应强度预测参照《环境影响评价技术导则输变电》（HJ24-2020）附录C、D推荐的计算模式进行。</w:t>
      </w:r>
    </w:p>
    <w:p w14:paraId="3F1A7F95">
      <w:pPr>
        <w:pStyle w:val="5"/>
        <w:adjustRightInd w:val="0"/>
        <w:snapToGrid w:val="0"/>
        <w:spacing w:line="440" w:lineRule="exact"/>
        <w:ind w:firstLine="482" w:firstLineChars="200"/>
        <w:rPr>
          <w:rFonts w:hint="eastAsia" w:ascii="Times New Roman" w:hAnsi="Times New Roman" w:cs="Times New Roman"/>
          <w:color w:val="auto"/>
        </w:rPr>
      </w:pPr>
      <w:bookmarkStart w:id="168" w:name="_Toc20295"/>
      <w:r>
        <w:rPr>
          <w:rFonts w:ascii="Times New Roman" w:hAnsi="Times New Roman" w:cs="Times New Roman"/>
          <w:color w:val="auto"/>
        </w:rPr>
        <w:t>5.1.1架空输电线路工频电场预测模型</w:t>
      </w:r>
      <w:bookmarkEnd w:id="168"/>
    </w:p>
    <w:p w14:paraId="47E84A01">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①工频电场强度值的计算</w:t>
      </w:r>
    </w:p>
    <w:p w14:paraId="2EEB0F03">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高压送电线上的等效电荷是线电荷，由于高压送电线半径r远远小于架设高度h，所以等效电荷的位置可以认为是在送电导线的几何中心。</w:t>
      </w:r>
    </w:p>
    <w:p w14:paraId="352F5596">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设送电线路为无限长并且平行于地面，地面可视为良导体，利用镜像法计算送电线上的等效电荷。可写出下列矩阵方程：</w:t>
      </w:r>
    </w:p>
    <w:p w14:paraId="6A36C6AA">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299335" cy="1035050"/>
            <wp:effectExtent l="0" t="0" r="5715" b="1270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7"/>
                    <a:stretch>
                      <a:fillRect/>
                    </a:stretch>
                  </pic:blipFill>
                  <pic:spPr>
                    <a:xfrm>
                      <a:off x="0" y="0"/>
                      <a:ext cx="2298090" cy="1034598"/>
                    </a:xfrm>
                    <a:prstGeom prst="rect">
                      <a:avLst/>
                    </a:prstGeom>
                  </pic:spPr>
                </pic:pic>
              </a:graphicData>
            </a:graphic>
          </wp:inline>
        </w:drawing>
      </w:r>
    </w:p>
    <w:p w14:paraId="3CE2DFF1">
      <w:pPr>
        <w:spacing w:line="360" w:lineRule="auto"/>
        <w:jc w:val="left"/>
        <w:rPr>
          <w:rFonts w:hint="eastAsia" w:ascii="Times New Roman" w:hAnsi="Times New Roman" w:cs="Times New Roman"/>
          <w:color w:val="auto"/>
          <w:position w:val="-10"/>
          <w:sz w:val="24"/>
          <w:szCs w:val="24"/>
        </w:rPr>
      </w:pPr>
      <w:r>
        <w:rPr>
          <w:rFonts w:ascii="Times New Roman" w:hAnsi="Times New Roman" w:cs="Times New Roman"/>
          <w:color w:val="auto"/>
          <w:sz w:val="24"/>
          <w:szCs w:val="24"/>
        </w:rPr>
        <w:t>式中：</w:t>
      </w:r>
      <w:r>
        <w:rPr>
          <w:rFonts w:hint="eastAsia" w:ascii="Times New Roman" w:hAnsi="Times New Roman" w:cs="Times New Roman"/>
          <w:color w:val="auto"/>
          <w:sz w:val="24"/>
          <w:szCs w:val="24"/>
        </w:rPr>
        <w:t xml:space="preserve"> </w:t>
      </w:r>
      <w:r>
        <w:rPr>
          <w:rFonts w:ascii="Times New Roman" w:hAnsi="Times New Roman" w:cs="Times New Roman"/>
          <w:color w:val="auto"/>
          <w:position w:val="-10"/>
          <w:sz w:val="24"/>
          <w:szCs w:val="24"/>
        </w:rPr>
        <w:t xml:space="preserve">U——各导线对地电压的单列矩阵； </w:t>
      </w:r>
    </w:p>
    <w:p w14:paraId="65FC8F68">
      <w:pPr>
        <w:spacing w:line="360" w:lineRule="auto"/>
        <w:ind w:firstLine="840" w:firstLineChars="350"/>
        <w:jc w:val="left"/>
        <w:rPr>
          <w:rFonts w:hint="eastAsia" w:ascii="Times New Roman" w:hAnsi="Times New Roman" w:cs="Times New Roman"/>
          <w:color w:val="auto"/>
          <w:position w:val="-10"/>
          <w:sz w:val="24"/>
          <w:szCs w:val="24"/>
        </w:rPr>
      </w:pPr>
      <w:r>
        <w:rPr>
          <w:rFonts w:ascii="Times New Roman" w:hAnsi="Times New Roman" w:cs="Times New Roman"/>
          <w:color w:val="auto"/>
          <w:position w:val="-10"/>
          <w:sz w:val="24"/>
          <w:szCs w:val="24"/>
        </w:rPr>
        <w:t xml:space="preserve">Q——各导线上等效电荷的单列矩阵； </w:t>
      </w:r>
    </w:p>
    <w:p w14:paraId="2853DFAD">
      <w:pPr>
        <w:spacing w:line="360" w:lineRule="auto"/>
        <w:ind w:firstLine="840" w:firstLineChars="350"/>
        <w:jc w:val="left"/>
        <w:rPr>
          <w:rFonts w:hint="eastAsia" w:ascii="Times New Roman" w:hAnsi="Times New Roman" w:cs="Times New Roman"/>
          <w:color w:val="auto"/>
          <w:position w:val="-10"/>
          <w:sz w:val="24"/>
          <w:szCs w:val="24"/>
        </w:rPr>
      </w:pPr>
      <w:r>
        <w:rPr>
          <w:rFonts w:ascii="Times New Roman" w:hAnsi="Times New Roman" w:cs="Times New Roman"/>
          <w:color w:val="auto"/>
          <w:position w:val="-10"/>
          <w:sz w:val="24"/>
          <w:szCs w:val="24"/>
        </w:rPr>
        <w:t xml:space="preserve">λ——各导线的电位系数组成的m阶方阵（m为导线数目）。 </w:t>
      </w:r>
    </w:p>
    <w:p w14:paraId="47BA56F7">
      <w:pPr>
        <w:spacing w:line="360" w:lineRule="auto"/>
        <w:ind w:firstLine="720" w:firstLineChars="300"/>
        <w:jc w:val="left"/>
        <w:rPr>
          <w:rFonts w:hint="eastAsia" w:ascii="Times New Roman" w:hAnsi="Times New Roman" w:cs="Times New Roman"/>
          <w:color w:val="auto"/>
          <w:position w:val="-10"/>
          <w:sz w:val="24"/>
          <w:szCs w:val="24"/>
        </w:rPr>
      </w:pPr>
      <w:r>
        <w:rPr>
          <w:rFonts w:ascii="Times New Roman" w:hAnsi="Times New Roman" w:cs="Times New Roman"/>
          <w:color w:val="auto"/>
          <w:position w:val="-10"/>
          <w:sz w:val="24"/>
          <w:szCs w:val="24"/>
        </w:rPr>
        <w:t>〔U〕矩阵可由输电线的电压和相位确定，从环境保护考虑以额定电压的1.05倍作为计算电压。</w:t>
      </w:r>
    </w:p>
    <w:p w14:paraId="1F448690">
      <w:pPr>
        <w:spacing w:line="360" w:lineRule="auto"/>
        <w:jc w:val="left"/>
        <w:rPr>
          <w:rFonts w:hint="eastAsia" w:ascii="Times New Roman" w:hAnsi="Times New Roman" w:cs="Times New Roman"/>
          <w:color w:val="auto"/>
          <w:sz w:val="24"/>
          <w:szCs w:val="24"/>
        </w:rPr>
      </w:pPr>
      <w:r>
        <w:rPr>
          <w:rFonts w:ascii="Times New Roman" w:hAnsi="Times New Roman" w:cs="Times New Roman"/>
          <w:color w:val="auto"/>
          <w:position w:val="-10"/>
          <w:sz w:val="24"/>
          <w:szCs w:val="24"/>
        </w:rPr>
        <w:t>对于220kV三相导线，各相导线对地电压为：</w:t>
      </w:r>
    </w:p>
    <w:p w14:paraId="5C047F45">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3054350" cy="335280"/>
            <wp:effectExtent l="0" t="0" r="1270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8"/>
                    <a:stretch>
                      <a:fillRect/>
                    </a:stretch>
                  </pic:blipFill>
                  <pic:spPr>
                    <a:xfrm>
                      <a:off x="0" y="0"/>
                      <a:ext cx="3100047" cy="340502"/>
                    </a:xfrm>
                    <a:prstGeom prst="rect">
                      <a:avLst/>
                    </a:prstGeom>
                  </pic:spPr>
                </pic:pic>
              </a:graphicData>
            </a:graphic>
          </wp:inline>
        </w:drawing>
      </w:r>
    </w:p>
    <w:p w14:paraId="1AF6B15B">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220kV各相导线对地电压分量为：</w:t>
      </w:r>
    </w:p>
    <w:p w14:paraId="0FDC97BD">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018665" cy="1040130"/>
            <wp:effectExtent l="0" t="0" r="635"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9"/>
                    <a:stretch>
                      <a:fillRect/>
                    </a:stretch>
                  </pic:blipFill>
                  <pic:spPr>
                    <a:xfrm>
                      <a:off x="0" y="0"/>
                      <a:ext cx="2022661" cy="1042147"/>
                    </a:xfrm>
                    <a:prstGeom prst="rect">
                      <a:avLst/>
                    </a:prstGeom>
                  </pic:spPr>
                </pic:pic>
              </a:graphicData>
            </a:graphic>
          </wp:inline>
        </w:drawing>
      </w:r>
    </w:p>
    <w:p w14:paraId="1B2F171A">
      <w:pPr>
        <w:adjustRightInd w:val="0"/>
        <w:snapToGrid w:val="0"/>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3110865" cy="2628265"/>
            <wp:effectExtent l="0" t="0" r="13335"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50"/>
                    <a:stretch>
                      <a:fillRect/>
                    </a:stretch>
                  </pic:blipFill>
                  <pic:spPr>
                    <a:xfrm>
                      <a:off x="0" y="0"/>
                      <a:ext cx="3116171" cy="2632740"/>
                    </a:xfrm>
                    <a:prstGeom prst="rect">
                      <a:avLst/>
                    </a:prstGeom>
                  </pic:spPr>
                </pic:pic>
              </a:graphicData>
            </a:graphic>
          </wp:inline>
        </w:drawing>
      </w:r>
    </w:p>
    <w:p w14:paraId="1C57D933">
      <w:pPr>
        <w:adjustRightInd w:val="0"/>
        <w:snapToGrid w:val="0"/>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 xml:space="preserve">图5-1  </w:t>
      </w:r>
      <w:r>
        <w:rPr>
          <w:rFonts w:ascii="Times New Roman" w:hAnsi="Times New Roman" w:cs="Times New Roman"/>
          <w:b/>
          <w:bCs/>
          <w:color w:val="auto"/>
          <w:sz w:val="24"/>
          <w:szCs w:val="24"/>
        </w:rPr>
        <w:t>对地电压计算图</w:t>
      </w:r>
    </w:p>
    <w:p w14:paraId="74453F13">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〔λ〕矩阵由镜像原理求得。地面为电位等于零的平面，地面的感应电荷可由对应地面导线的镜像电荷代替，用i，j，…表示相互平行的实际导线，用i′，j′，…表示它们的镜像，电位系数可写为：</w:t>
      </w:r>
    </w:p>
    <w:p w14:paraId="0DFC4419">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1174115" cy="1423670"/>
            <wp:effectExtent l="0" t="0" r="6985"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51"/>
                    <a:stretch>
                      <a:fillRect/>
                    </a:stretch>
                  </pic:blipFill>
                  <pic:spPr>
                    <a:xfrm>
                      <a:off x="0" y="0"/>
                      <a:ext cx="1173604" cy="1423308"/>
                    </a:xfrm>
                    <a:prstGeom prst="rect">
                      <a:avLst/>
                    </a:prstGeom>
                  </pic:spPr>
                </pic:pic>
              </a:graphicData>
            </a:graphic>
          </wp:inline>
        </w:drawing>
      </w:r>
    </w:p>
    <w:p w14:paraId="475ADD7F">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r>
        <w:rPr>
          <w:rFonts w:ascii="Times New Roman" w:hAnsi="Times New Roman" w:cs="Times New Roman"/>
          <w:i/>
          <w:iCs/>
          <w:color w:val="auto"/>
          <w:sz w:val="24"/>
          <w:szCs w:val="24"/>
        </w:rPr>
        <w:t>ε0</w:t>
      </w:r>
      <w:r>
        <w:rPr>
          <w:rFonts w:ascii="Times New Roman" w:hAnsi="Times New Roman" w:cs="Times New Roman"/>
          <w:color w:val="auto"/>
          <w:sz w:val="24"/>
          <w:szCs w:val="24"/>
        </w:rPr>
        <w:t>——真空介电常数，</w:t>
      </w:r>
      <w:r>
        <w:rPr>
          <w:rFonts w:ascii="Times New Roman" w:hAnsi="Times New Roman" w:cs="Times New Roman"/>
          <w:color w:val="auto"/>
        </w:rPr>
        <w:drawing>
          <wp:inline distT="0" distB="0" distL="0" distR="0">
            <wp:extent cx="1460500" cy="445770"/>
            <wp:effectExtent l="0" t="0" r="6350" b="1143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52"/>
                    <a:stretch>
                      <a:fillRect/>
                    </a:stretch>
                  </pic:blipFill>
                  <pic:spPr>
                    <a:xfrm>
                      <a:off x="0" y="0"/>
                      <a:ext cx="1464470" cy="447477"/>
                    </a:xfrm>
                    <a:prstGeom prst="rect">
                      <a:avLst/>
                    </a:prstGeom>
                  </pic:spPr>
                </pic:pic>
              </a:graphicData>
            </a:graphic>
          </wp:inline>
        </w:drawing>
      </w:r>
      <w:r>
        <w:rPr>
          <w:rFonts w:ascii="Times New Roman" w:hAnsi="Times New Roman" w:cs="Times New Roman"/>
          <w:color w:val="auto"/>
          <w:sz w:val="24"/>
          <w:szCs w:val="24"/>
        </w:rPr>
        <w:t>；</w:t>
      </w:r>
    </w:p>
    <w:p w14:paraId="2813BD06">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Ri</w:t>
      </w:r>
      <w:r>
        <w:rPr>
          <w:rFonts w:ascii="Times New Roman" w:hAnsi="Times New Roman" w:cs="Times New Roman"/>
          <w:color w:val="auto"/>
          <w:sz w:val="24"/>
          <w:szCs w:val="24"/>
        </w:rPr>
        <w:t>——输电导线半径，对于分裂导线可用等效单根导线半径代入，</w:t>
      </w:r>
      <w:r>
        <w:rPr>
          <w:rFonts w:ascii="Times New Roman" w:hAnsi="Times New Roman" w:cs="Times New Roman"/>
          <w:i/>
          <w:iCs/>
          <w:color w:val="auto"/>
          <w:sz w:val="24"/>
          <w:szCs w:val="24"/>
        </w:rPr>
        <w:t>Ri</w:t>
      </w:r>
      <w:r>
        <w:rPr>
          <w:rFonts w:ascii="Times New Roman" w:hAnsi="Times New Roman" w:cs="Times New Roman"/>
          <w:color w:val="auto"/>
          <w:sz w:val="24"/>
          <w:szCs w:val="24"/>
        </w:rPr>
        <w:t>的计算式为：</w:t>
      </w:r>
    </w:p>
    <w:p w14:paraId="5259B068">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1068705" cy="555625"/>
            <wp:effectExtent l="0" t="0" r="17145" b="158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3"/>
                    <a:stretch>
                      <a:fillRect/>
                    </a:stretch>
                  </pic:blipFill>
                  <pic:spPr>
                    <a:xfrm>
                      <a:off x="0" y="0"/>
                      <a:ext cx="1073161" cy="558523"/>
                    </a:xfrm>
                    <a:prstGeom prst="rect">
                      <a:avLst/>
                    </a:prstGeom>
                  </pic:spPr>
                </pic:pic>
              </a:graphicData>
            </a:graphic>
          </wp:inline>
        </w:drawing>
      </w:r>
    </w:p>
    <w:p w14:paraId="784CDF99">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r>
        <w:rPr>
          <w:rFonts w:ascii="Times New Roman" w:hAnsi="Times New Roman" w:cs="Times New Roman"/>
          <w:i/>
          <w:iCs/>
          <w:color w:val="auto"/>
          <w:sz w:val="24"/>
          <w:szCs w:val="24"/>
        </w:rPr>
        <w:t>R</w:t>
      </w:r>
      <w:r>
        <w:rPr>
          <w:rFonts w:ascii="Times New Roman" w:hAnsi="Times New Roman" w:cs="Times New Roman"/>
          <w:color w:val="auto"/>
          <w:sz w:val="24"/>
          <w:szCs w:val="24"/>
        </w:rPr>
        <w:t xml:space="preserve">——分裂导线半径，m； </w:t>
      </w:r>
    </w:p>
    <w:p w14:paraId="308D4C81">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n</w:t>
      </w:r>
      <w:r>
        <w:rPr>
          <w:rFonts w:ascii="Times New Roman" w:hAnsi="Times New Roman" w:cs="Times New Roman"/>
          <w:color w:val="auto"/>
          <w:sz w:val="24"/>
          <w:szCs w:val="24"/>
        </w:rPr>
        <w:t xml:space="preserve">——次导线根数； </w:t>
      </w:r>
    </w:p>
    <w:p w14:paraId="30B902C2">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r</w:t>
      </w:r>
      <w:r>
        <w:rPr>
          <w:rFonts w:ascii="Times New Roman" w:hAnsi="Times New Roman" w:cs="Times New Roman"/>
          <w:color w:val="auto"/>
          <w:sz w:val="24"/>
          <w:szCs w:val="24"/>
        </w:rPr>
        <w:t>——次导线半径，m。</w:t>
      </w:r>
    </w:p>
    <w:p w14:paraId="616BA32F">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由〔U〕矩阵和〔λ〕矩阵，利用式等效电荷矩阵方程即可解出〔Q〕矩阵。空间任意一点的电场强度可根据叠加原理计算得出，在（x，y）点的电场强度分量</w:t>
      </w:r>
      <w:r>
        <w:rPr>
          <w:rFonts w:ascii="Times New Roman" w:hAnsi="Times New Roman" w:cs="Times New Roman"/>
          <w:i/>
          <w:iCs/>
          <w:color w:val="auto"/>
          <w:sz w:val="24"/>
          <w:szCs w:val="24"/>
        </w:rPr>
        <w:t>Ex</w:t>
      </w:r>
      <w:r>
        <w:rPr>
          <w:rFonts w:ascii="Times New Roman" w:hAnsi="Times New Roman" w:cs="Times New Roman"/>
          <w:color w:val="auto"/>
          <w:sz w:val="24"/>
          <w:szCs w:val="24"/>
        </w:rPr>
        <w:t>和</w:t>
      </w:r>
      <w:r>
        <w:rPr>
          <w:rFonts w:ascii="Times New Roman" w:hAnsi="Times New Roman" w:cs="Times New Roman"/>
          <w:i/>
          <w:iCs/>
          <w:color w:val="auto"/>
          <w:sz w:val="24"/>
          <w:szCs w:val="24"/>
        </w:rPr>
        <w:t>Ey</w:t>
      </w:r>
      <w:r>
        <w:rPr>
          <w:rFonts w:ascii="Times New Roman" w:hAnsi="Times New Roman" w:cs="Times New Roman"/>
          <w:color w:val="auto"/>
          <w:sz w:val="24"/>
          <w:szCs w:val="24"/>
        </w:rPr>
        <w:t>可表示为：</w:t>
      </w:r>
    </w:p>
    <w:p w14:paraId="2F021227">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519680" cy="2543810"/>
            <wp:effectExtent l="0" t="0" r="13970"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54"/>
                    <a:stretch>
                      <a:fillRect/>
                    </a:stretch>
                  </pic:blipFill>
                  <pic:spPr>
                    <a:xfrm>
                      <a:off x="0" y="0"/>
                      <a:ext cx="2520000" cy="2543886"/>
                    </a:xfrm>
                    <a:prstGeom prst="rect">
                      <a:avLst/>
                    </a:prstGeom>
                  </pic:spPr>
                </pic:pic>
              </a:graphicData>
            </a:graphic>
          </wp:inline>
        </w:drawing>
      </w:r>
      <w:r>
        <w:rPr>
          <w:rFonts w:ascii="Times New Roman" w:hAnsi="Times New Roman" w:cs="Times New Roman"/>
          <w:color w:val="auto"/>
        </w:rPr>
        <w:drawing>
          <wp:inline distT="0" distB="0" distL="0" distR="0">
            <wp:extent cx="2519680" cy="2319020"/>
            <wp:effectExtent l="0" t="0" r="13970" b="50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5"/>
                    <a:stretch>
                      <a:fillRect/>
                    </a:stretch>
                  </pic:blipFill>
                  <pic:spPr>
                    <a:xfrm>
                      <a:off x="0" y="0"/>
                      <a:ext cx="2520000" cy="2319089"/>
                    </a:xfrm>
                    <a:prstGeom prst="rect">
                      <a:avLst/>
                    </a:prstGeom>
                  </pic:spPr>
                </pic:pic>
              </a:graphicData>
            </a:graphic>
          </wp:inline>
        </w:drawing>
      </w:r>
    </w:p>
    <w:p w14:paraId="35C89B73">
      <w:pPr>
        <w:pStyle w:val="15"/>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 xml:space="preserve">图5-2  </w:t>
      </w:r>
      <w:r>
        <w:rPr>
          <w:rFonts w:ascii="Times New Roman" w:hAnsi="Times New Roman" w:cs="Times New Roman"/>
          <w:b/>
          <w:bCs/>
          <w:color w:val="auto"/>
          <w:sz w:val="24"/>
          <w:szCs w:val="24"/>
        </w:rPr>
        <w:t>电位系数计算图     图5-3  等效半径计算图</w:t>
      </w:r>
    </w:p>
    <w:p w14:paraId="2724E066">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675890" cy="1260475"/>
            <wp:effectExtent l="0" t="0" r="10160" b="1587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56"/>
                    <a:stretch>
                      <a:fillRect/>
                    </a:stretch>
                  </pic:blipFill>
                  <pic:spPr>
                    <a:xfrm>
                      <a:off x="0" y="0"/>
                      <a:ext cx="2683665" cy="1264207"/>
                    </a:xfrm>
                    <a:prstGeom prst="rect">
                      <a:avLst/>
                    </a:prstGeom>
                  </pic:spPr>
                </pic:pic>
              </a:graphicData>
            </a:graphic>
          </wp:inline>
        </w:drawing>
      </w:r>
    </w:p>
    <w:p w14:paraId="24E1B820">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r>
        <w:rPr>
          <w:rFonts w:ascii="Times New Roman" w:hAnsi="Times New Roman" w:cs="Times New Roman"/>
          <w:i/>
          <w:iCs/>
          <w:color w:val="auto"/>
          <w:sz w:val="24"/>
          <w:szCs w:val="24"/>
        </w:rPr>
        <w:t>xi</w:t>
      </w:r>
      <w:r>
        <w:rPr>
          <w:rFonts w:ascii="Times New Roman" w:hAnsi="Times New Roman" w:cs="Times New Roman"/>
          <w:color w:val="auto"/>
          <w:sz w:val="24"/>
          <w:szCs w:val="24"/>
        </w:rPr>
        <w:t>，</w:t>
      </w:r>
      <w:r>
        <w:rPr>
          <w:rFonts w:ascii="Times New Roman" w:hAnsi="Times New Roman" w:cs="Times New Roman"/>
          <w:i/>
          <w:iCs/>
          <w:color w:val="auto"/>
          <w:sz w:val="24"/>
          <w:szCs w:val="24"/>
        </w:rPr>
        <w:t>yi</w:t>
      </w:r>
      <w:r>
        <w:rPr>
          <w:rFonts w:ascii="Times New Roman" w:hAnsi="Times New Roman" w:cs="Times New Roman"/>
          <w:color w:val="auto"/>
          <w:sz w:val="24"/>
          <w:szCs w:val="24"/>
        </w:rPr>
        <w:t xml:space="preserve">——导线i的坐标（i=1、2、…m）； </w:t>
      </w:r>
    </w:p>
    <w:p w14:paraId="2B70C3F4">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m</w:t>
      </w:r>
      <w:r>
        <w:rPr>
          <w:rFonts w:ascii="Times New Roman" w:hAnsi="Times New Roman" w:cs="Times New Roman"/>
          <w:color w:val="auto"/>
          <w:sz w:val="24"/>
          <w:szCs w:val="24"/>
        </w:rPr>
        <w:t xml:space="preserve">——导线数目； </w:t>
      </w:r>
    </w:p>
    <w:p w14:paraId="314B4883">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Li</w:t>
      </w:r>
      <w:r>
        <w:rPr>
          <w:rFonts w:ascii="Times New Roman" w:hAnsi="Times New Roman" w:cs="Times New Roman"/>
          <w:color w:val="auto"/>
          <w:sz w:val="24"/>
          <w:szCs w:val="24"/>
        </w:rPr>
        <w:t>，</w:t>
      </w:r>
      <w:r>
        <w:rPr>
          <w:rFonts w:ascii="Times New Roman" w:hAnsi="Times New Roman" w:cs="Times New Roman"/>
          <w:i/>
          <w:iCs/>
          <w:color w:val="auto"/>
          <w:sz w:val="24"/>
          <w:szCs w:val="24"/>
        </w:rPr>
        <w:t>L'i</w:t>
      </w:r>
      <w:r>
        <w:rPr>
          <w:rFonts w:ascii="Times New Roman" w:hAnsi="Times New Roman" w:cs="Times New Roman"/>
          <w:color w:val="auto"/>
          <w:sz w:val="24"/>
          <w:szCs w:val="24"/>
        </w:rPr>
        <w:t>——分别为导线i及其镜像至计算点的距离，m。</w:t>
      </w:r>
    </w:p>
    <w:p w14:paraId="194FBAFD">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对于三相交流线路，可根据求得的电荷计算空间任一点电场强度的水平和垂直分量为：</w:t>
      </w:r>
    </w:p>
    <w:p w14:paraId="6AD77111">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1840230" cy="2124075"/>
            <wp:effectExtent l="0" t="0" r="762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57"/>
                    <a:stretch>
                      <a:fillRect/>
                    </a:stretch>
                  </pic:blipFill>
                  <pic:spPr>
                    <a:xfrm>
                      <a:off x="0" y="0"/>
                      <a:ext cx="1842734" cy="2127073"/>
                    </a:xfrm>
                    <a:prstGeom prst="rect">
                      <a:avLst/>
                    </a:prstGeom>
                  </pic:spPr>
                </pic:pic>
              </a:graphicData>
            </a:graphic>
          </wp:inline>
        </w:drawing>
      </w:r>
    </w:p>
    <w:p w14:paraId="72F46128">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 xml:space="preserve">式中： </w:t>
      </w:r>
      <w:r>
        <w:rPr>
          <w:rFonts w:ascii="Times New Roman" w:hAnsi="Times New Roman" w:cs="Times New Roman"/>
          <w:i/>
          <w:iCs/>
          <w:color w:val="auto"/>
          <w:sz w:val="24"/>
          <w:szCs w:val="24"/>
        </w:rPr>
        <w:t xml:space="preserve">ExR </w:t>
      </w:r>
      <w:r>
        <w:rPr>
          <w:rFonts w:ascii="Times New Roman" w:hAnsi="Times New Roman" w:cs="Times New Roman"/>
          <w:color w:val="auto"/>
          <w:sz w:val="24"/>
          <w:szCs w:val="24"/>
        </w:rPr>
        <w:t xml:space="preserve">————由各导线的实部电荷在该点产生场强的水平分量； </w:t>
      </w:r>
    </w:p>
    <w:p w14:paraId="2CFB0CA9">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 xml:space="preserve">ExI </w:t>
      </w:r>
      <w:r>
        <w:rPr>
          <w:rFonts w:ascii="Times New Roman" w:hAnsi="Times New Roman" w:cs="Times New Roman"/>
          <w:color w:val="auto"/>
          <w:sz w:val="24"/>
          <w:szCs w:val="24"/>
        </w:rPr>
        <w:t xml:space="preserve">————由各导线的虚部电荷在该点产生场强的水平分量； </w:t>
      </w:r>
    </w:p>
    <w:p w14:paraId="27F31FC8">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 xml:space="preserve">EyR </w:t>
      </w:r>
      <w:r>
        <w:rPr>
          <w:rFonts w:ascii="Times New Roman" w:hAnsi="Times New Roman" w:cs="Times New Roman"/>
          <w:color w:val="auto"/>
          <w:sz w:val="24"/>
          <w:szCs w:val="24"/>
        </w:rPr>
        <w:t xml:space="preserve">————由各导线的实部电荷在该点产生场强的垂直分量； </w:t>
      </w:r>
    </w:p>
    <w:p w14:paraId="712F3B7D">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 xml:space="preserve">EyI </w:t>
      </w:r>
      <w:r>
        <w:rPr>
          <w:rFonts w:ascii="Times New Roman" w:hAnsi="Times New Roman" w:cs="Times New Roman"/>
          <w:color w:val="auto"/>
          <w:sz w:val="24"/>
          <w:szCs w:val="24"/>
        </w:rPr>
        <w:t>————由各导线的虚部电荷在该点产生场强的垂直分量。</w:t>
      </w:r>
    </w:p>
    <w:p w14:paraId="1B759774">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该点的合成的电场强度则为：</w:t>
      </w:r>
    </w:p>
    <w:p w14:paraId="526B458E">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362835" cy="771525"/>
            <wp:effectExtent l="0" t="0" r="18415"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8"/>
                    <a:stretch>
                      <a:fillRect/>
                    </a:stretch>
                  </pic:blipFill>
                  <pic:spPr>
                    <a:xfrm>
                      <a:off x="0" y="0"/>
                      <a:ext cx="2362780" cy="771840"/>
                    </a:xfrm>
                    <a:prstGeom prst="rect">
                      <a:avLst/>
                    </a:prstGeom>
                  </pic:spPr>
                </pic:pic>
              </a:graphicData>
            </a:graphic>
          </wp:inline>
        </w:drawing>
      </w:r>
    </w:p>
    <w:p w14:paraId="76830619">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p>
    <w:p w14:paraId="77E4DD90">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1542415" cy="995045"/>
            <wp:effectExtent l="0" t="0" r="635" b="146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9" cstate="print"/>
                    <a:stretch>
                      <a:fillRect/>
                    </a:stretch>
                  </pic:blipFill>
                  <pic:spPr>
                    <a:xfrm>
                      <a:off x="0" y="0"/>
                      <a:ext cx="1545535" cy="997223"/>
                    </a:xfrm>
                    <a:prstGeom prst="rect">
                      <a:avLst/>
                    </a:prstGeom>
                  </pic:spPr>
                </pic:pic>
              </a:graphicData>
            </a:graphic>
          </wp:inline>
        </w:drawing>
      </w:r>
    </w:p>
    <w:p w14:paraId="4FB8CCBB">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 xml:space="preserve">②工频磁感应强度预测 </w:t>
      </w:r>
    </w:p>
    <w:p w14:paraId="332DAE0B">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由于工频情况下电磁性能具有准静态特性，线路的磁场仅由电流产生。应用安培定律，将计算结果按矢量叠加，可得出导线周围的磁场强度。</w:t>
      </w:r>
    </w:p>
    <w:p w14:paraId="70C565EB">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和电场强度计算不同的是关于镜像导线的考虑，与导线所处高度相比这些镜像导线位于地下很深的距离</w:t>
      </w:r>
      <w:r>
        <w:rPr>
          <w:rFonts w:ascii="Times New Roman" w:hAnsi="Times New Roman" w:cs="Times New Roman"/>
          <w:i/>
          <w:iCs/>
          <w:color w:val="auto"/>
          <w:sz w:val="24"/>
          <w:szCs w:val="24"/>
        </w:rPr>
        <w:t>d</w:t>
      </w:r>
      <w:r>
        <w:rPr>
          <w:rFonts w:ascii="Times New Roman" w:hAnsi="Times New Roman" w:cs="Times New Roman"/>
          <w:color w:val="auto"/>
          <w:sz w:val="24"/>
          <w:szCs w:val="24"/>
        </w:rPr>
        <w:t>：</w:t>
      </w:r>
    </w:p>
    <w:p w14:paraId="3CDF1968">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1417320" cy="654685"/>
            <wp:effectExtent l="0" t="0" r="11430" b="1206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60"/>
                    <a:stretch>
                      <a:fillRect/>
                    </a:stretch>
                  </pic:blipFill>
                  <pic:spPr>
                    <a:xfrm>
                      <a:off x="0" y="0"/>
                      <a:ext cx="1430212" cy="660695"/>
                    </a:xfrm>
                    <a:prstGeom prst="rect">
                      <a:avLst/>
                    </a:prstGeom>
                  </pic:spPr>
                </pic:pic>
              </a:graphicData>
            </a:graphic>
          </wp:inline>
        </w:drawing>
      </w:r>
    </w:p>
    <w:p w14:paraId="7DC17A8B">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r>
        <w:rPr>
          <w:rFonts w:ascii="Times New Roman" w:hAnsi="Times New Roman" w:cs="Times New Roman"/>
          <w:i/>
          <w:iCs/>
          <w:color w:val="auto"/>
          <w:sz w:val="24"/>
          <w:szCs w:val="24"/>
        </w:rPr>
        <w:t>ρ</w:t>
      </w:r>
      <w:r>
        <w:rPr>
          <w:rFonts w:ascii="Times New Roman" w:hAnsi="Times New Roman" w:cs="Times New Roman"/>
          <w:color w:val="auto"/>
          <w:sz w:val="24"/>
          <w:szCs w:val="24"/>
        </w:rPr>
        <w:t>——大地电阻率，</w:t>
      </w:r>
      <w:r>
        <w:rPr>
          <w:rFonts w:ascii="Times New Roman" w:hAnsi="Times New Roman" w:cs="Times New Roman"/>
          <w:color w:val="auto"/>
          <w:sz w:val="24"/>
          <w:szCs w:val="24"/>
        </w:rPr>
        <w:sym w:font="Symbol" w:char="F057"/>
      </w:r>
      <w:r>
        <w:rPr>
          <w:rFonts w:ascii="Times New Roman" w:hAnsi="Times New Roman" w:cs="Times New Roman"/>
          <w:color w:val="auto"/>
          <w:sz w:val="24"/>
          <w:szCs w:val="24"/>
        </w:rPr>
        <w:sym w:font="Symbol" w:char="F0D7"/>
      </w:r>
      <w:r>
        <w:rPr>
          <w:rFonts w:ascii="Times New Roman" w:hAnsi="Times New Roman" w:cs="Times New Roman"/>
          <w:i/>
          <w:iCs/>
          <w:color w:val="auto"/>
          <w:sz w:val="24"/>
          <w:szCs w:val="24"/>
        </w:rPr>
        <w:t>m</w:t>
      </w:r>
      <w:r>
        <w:rPr>
          <w:rFonts w:ascii="Times New Roman" w:hAnsi="Times New Roman" w:cs="Times New Roman"/>
          <w:color w:val="auto"/>
          <w:sz w:val="24"/>
          <w:szCs w:val="24"/>
        </w:rPr>
        <w:t xml:space="preserve">； </w:t>
      </w:r>
    </w:p>
    <w:p w14:paraId="57FCE449">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f</w:t>
      </w:r>
      <w:r>
        <w:rPr>
          <w:rFonts w:ascii="Times New Roman" w:hAnsi="Times New Roman" w:cs="Times New Roman"/>
          <w:color w:val="auto"/>
          <w:sz w:val="24"/>
          <w:szCs w:val="24"/>
        </w:rPr>
        <w:t>——频率，Hz。</w:t>
      </w:r>
    </w:p>
    <w:p w14:paraId="14F5AE42">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在很多情况下，只考虑处于空间的实际导线，忽略它的镜像进行计算，其结果已足够符合实际。如图5-4，考虑导线</w:t>
      </w:r>
      <w:r>
        <w:rPr>
          <w:rFonts w:ascii="Times New Roman" w:hAnsi="Times New Roman" w:cs="Times New Roman"/>
          <w:i/>
          <w:iCs/>
          <w:color w:val="auto"/>
          <w:sz w:val="24"/>
          <w:szCs w:val="24"/>
        </w:rPr>
        <w:t>i</w:t>
      </w:r>
      <w:r>
        <w:rPr>
          <w:rFonts w:ascii="Times New Roman" w:hAnsi="Times New Roman" w:cs="Times New Roman"/>
          <w:color w:val="auto"/>
          <w:sz w:val="24"/>
          <w:szCs w:val="24"/>
        </w:rPr>
        <w:t>的镜像时，可计算在A点其产生的磁场强度：</w:t>
      </w:r>
    </w:p>
    <w:p w14:paraId="5E3E659A">
      <w:pPr>
        <w:spacing w:line="360" w:lineRule="auto"/>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2051685" cy="663575"/>
            <wp:effectExtent l="0" t="0" r="5715"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61"/>
                    <a:stretch>
                      <a:fillRect/>
                    </a:stretch>
                  </pic:blipFill>
                  <pic:spPr>
                    <a:xfrm>
                      <a:off x="0" y="0"/>
                      <a:ext cx="2082578" cy="673561"/>
                    </a:xfrm>
                    <a:prstGeom prst="rect">
                      <a:avLst/>
                    </a:prstGeom>
                  </pic:spPr>
                </pic:pic>
              </a:graphicData>
            </a:graphic>
          </wp:inline>
        </w:drawing>
      </w:r>
    </w:p>
    <w:p w14:paraId="784BE436">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式中：</w:t>
      </w:r>
      <w:r>
        <w:rPr>
          <w:rFonts w:ascii="Times New Roman" w:hAnsi="Times New Roman" w:cs="Times New Roman"/>
          <w:i/>
          <w:iCs/>
          <w:color w:val="auto"/>
          <w:sz w:val="24"/>
          <w:szCs w:val="24"/>
        </w:rPr>
        <w:t>I</w:t>
      </w:r>
      <w:r>
        <w:rPr>
          <w:rFonts w:ascii="Times New Roman" w:hAnsi="Times New Roman" w:cs="Times New Roman"/>
          <w:color w:val="auto"/>
          <w:sz w:val="24"/>
          <w:szCs w:val="24"/>
        </w:rPr>
        <w:t xml:space="preserve">——导线i中的电流值，A； </w:t>
      </w:r>
    </w:p>
    <w:p w14:paraId="31930485">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h</w:t>
      </w:r>
      <w:r>
        <w:rPr>
          <w:rFonts w:ascii="Times New Roman" w:hAnsi="Times New Roman" w:cs="Times New Roman"/>
          <w:color w:val="auto"/>
          <w:sz w:val="24"/>
          <w:szCs w:val="24"/>
        </w:rPr>
        <w:t xml:space="preserve">——导线与预测点的高差，m； </w:t>
      </w:r>
    </w:p>
    <w:p w14:paraId="7DD7780B">
      <w:pPr>
        <w:spacing w:line="360" w:lineRule="auto"/>
        <w:ind w:firstLine="1200" w:firstLineChars="500"/>
        <w:rPr>
          <w:rFonts w:hint="eastAsia" w:ascii="Times New Roman" w:hAnsi="Times New Roman" w:cs="Times New Roman"/>
          <w:color w:val="auto"/>
          <w:sz w:val="24"/>
          <w:szCs w:val="24"/>
        </w:rPr>
      </w:pPr>
      <w:r>
        <w:rPr>
          <w:rFonts w:ascii="Times New Roman" w:hAnsi="Times New Roman" w:cs="Times New Roman"/>
          <w:i/>
          <w:iCs/>
          <w:color w:val="auto"/>
          <w:sz w:val="24"/>
          <w:szCs w:val="24"/>
        </w:rPr>
        <w:t>L</w:t>
      </w:r>
      <w:r>
        <w:rPr>
          <w:rFonts w:ascii="Times New Roman" w:hAnsi="Times New Roman" w:cs="Times New Roman"/>
          <w:color w:val="auto"/>
          <w:sz w:val="24"/>
          <w:szCs w:val="24"/>
        </w:rPr>
        <w:t xml:space="preserve">——导线与预测点水平距离，m。 </w:t>
      </w:r>
    </w:p>
    <w:p w14:paraId="572C64BA">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对于三相线路，由相位不同形成的磁场强度水平和垂直分量都应分别考虑电流间的相角，按相位矢量来合成。合成的旋转矢量在空间的轨迹是一个椭圆。</w:t>
      </w:r>
    </w:p>
    <w:p w14:paraId="2C435292">
      <w:pPr>
        <w:adjustRightInd w:val="0"/>
        <w:snapToGrid w:val="0"/>
        <w:jc w:val="center"/>
        <w:rPr>
          <w:rFonts w:hint="eastAsia" w:ascii="Times New Roman" w:hAnsi="Times New Roman" w:cs="Times New Roman"/>
          <w:color w:val="auto"/>
          <w:sz w:val="24"/>
          <w:szCs w:val="24"/>
        </w:rPr>
      </w:pPr>
      <w:r>
        <w:rPr>
          <w:rFonts w:ascii="Times New Roman" w:hAnsi="Times New Roman" w:cs="Times New Roman"/>
          <w:color w:val="auto"/>
        </w:rPr>
        <w:drawing>
          <wp:inline distT="0" distB="0" distL="0" distR="0">
            <wp:extent cx="3348355" cy="2468880"/>
            <wp:effectExtent l="0" t="0" r="4445" b="762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62"/>
                    <a:stretch>
                      <a:fillRect/>
                    </a:stretch>
                  </pic:blipFill>
                  <pic:spPr>
                    <a:xfrm>
                      <a:off x="0" y="0"/>
                      <a:ext cx="3348841" cy="2468995"/>
                    </a:xfrm>
                    <a:prstGeom prst="rect">
                      <a:avLst/>
                    </a:prstGeom>
                  </pic:spPr>
                </pic:pic>
              </a:graphicData>
            </a:graphic>
          </wp:inline>
        </w:drawing>
      </w:r>
    </w:p>
    <w:p w14:paraId="50D06352">
      <w:pPr>
        <w:adjustRightInd w:val="0"/>
        <w:snapToGrid w:val="0"/>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 xml:space="preserve">图5-4  </w:t>
      </w:r>
      <w:r>
        <w:rPr>
          <w:rFonts w:ascii="Times New Roman" w:hAnsi="Times New Roman" w:cs="Times New Roman"/>
          <w:b/>
          <w:bCs/>
          <w:color w:val="auto"/>
          <w:sz w:val="24"/>
          <w:szCs w:val="24"/>
        </w:rPr>
        <w:t>磁场向量图</w:t>
      </w:r>
    </w:p>
    <w:p w14:paraId="664CE5CC">
      <w:pPr>
        <w:pStyle w:val="5"/>
        <w:adjustRightInd w:val="0"/>
        <w:snapToGrid w:val="0"/>
        <w:spacing w:line="440" w:lineRule="exact"/>
        <w:ind w:firstLine="482" w:firstLineChars="200"/>
        <w:rPr>
          <w:rFonts w:hint="eastAsia" w:ascii="Times New Roman" w:hAnsi="Times New Roman" w:cs="Times New Roman"/>
          <w:color w:val="auto"/>
        </w:rPr>
      </w:pPr>
      <w:bookmarkStart w:id="169" w:name="_Toc2391"/>
      <w:r>
        <w:rPr>
          <w:rFonts w:ascii="Times New Roman" w:hAnsi="Times New Roman" w:cs="Times New Roman"/>
          <w:color w:val="auto"/>
        </w:rPr>
        <w:t>5.1.2计算参数选取说明</w:t>
      </w:r>
      <w:bookmarkEnd w:id="169"/>
    </w:p>
    <w:p w14:paraId="5386C640">
      <w:pPr>
        <w:pStyle w:val="2"/>
        <w:overflowPunct w:val="0"/>
        <w:topLinePunct/>
        <w:autoSpaceDE w:val="0"/>
        <w:autoSpaceDN w:val="0"/>
        <w:adjustRightInd w:val="0"/>
        <w:snapToGrid w:val="0"/>
        <w:spacing w:after="0" w:line="440" w:lineRule="exact"/>
        <w:ind w:firstLine="480" w:firstLineChars="200"/>
        <w:rPr>
          <w:rFonts w:hint="eastAsia" w:ascii="Times New Roman" w:hAnsi="Times New Roman" w:cs="Times New Roman"/>
          <w:color w:val="auto"/>
          <w:sz w:val="24"/>
        </w:rPr>
      </w:pPr>
      <w:r>
        <w:rPr>
          <w:rFonts w:ascii="Times New Roman" w:hAnsi="Times New Roman" w:cs="Times New Roman"/>
          <w:color w:val="auto"/>
          <w:sz w:val="24"/>
        </w:rPr>
        <w:t>输电线路运行产生的工频电场强度、工频磁感应强度主要由导线的线间距离、导线对地高度、导线型式和线路运行工况（电压、电流等）决定的。</w:t>
      </w:r>
      <w:r>
        <w:rPr>
          <w:rFonts w:hint="eastAsia" w:cs="Times New Roman"/>
          <w:color w:val="auto"/>
          <w:sz w:val="24"/>
          <w:highlight w:val="none"/>
        </w:rPr>
        <w:t>本项目架设方式包括</w:t>
      </w:r>
      <w:r>
        <w:rPr>
          <w:rFonts w:hint="eastAsia" w:cs="Times New Roman"/>
          <w:color w:val="auto"/>
          <w:sz w:val="24"/>
          <w:highlight w:val="none"/>
          <w:lang w:val="en-US" w:eastAsia="zh-CN"/>
        </w:rPr>
        <w:t>22</w:t>
      </w:r>
      <w:r>
        <w:rPr>
          <w:rFonts w:hint="eastAsia" w:cs="Times New Roman"/>
          <w:color w:val="auto"/>
          <w:sz w:val="24"/>
          <w:highlight w:val="none"/>
        </w:rPr>
        <w:t>0kV</w:t>
      </w:r>
      <w:r>
        <w:rPr>
          <w:rFonts w:hint="eastAsia" w:cs="Times New Roman"/>
          <w:color w:val="auto"/>
          <w:sz w:val="24"/>
          <w:highlight w:val="none"/>
          <w:lang w:val="en-US" w:eastAsia="zh-CN"/>
        </w:rPr>
        <w:t>单</w:t>
      </w:r>
      <w:r>
        <w:rPr>
          <w:rFonts w:hint="eastAsia" w:cs="Times New Roman"/>
          <w:color w:val="auto"/>
          <w:sz w:val="24"/>
          <w:highlight w:val="none"/>
        </w:rPr>
        <w:t>回架设和</w:t>
      </w:r>
      <w:r>
        <w:rPr>
          <w:rFonts w:hint="eastAsia" w:cs="Times New Roman"/>
          <w:color w:val="auto"/>
          <w:sz w:val="24"/>
          <w:highlight w:val="none"/>
          <w:lang w:val="en-US" w:eastAsia="zh-CN"/>
        </w:rPr>
        <w:t>22</w:t>
      </w:r>
      <w:r>
        <w:rPr>
          <w:rFonts w:hint="eastAsia" w:cs="Times New Roman"/>
          <w:color w:val="auto"/>
          <w:sz w:val="24"/>
          <w:highlight w:val="none"/>
        </w:rPr>
        <w:t>0</w:t>
      </w:r>
      <w:r>
        <w:rPr>
          <w:rFonts w:hint="eastAsia" w:cs="Times New Roman"/>
          <w:color w:val="auto"/>
          <w:sz w:val="24"/>
          <w:highlight w:val="none"/>
          <w:lang w:val="zh-CN"/>
        </w:rPr>
        <w:t>kV</w:t>
      </w:r>
      <w:r>
        <w:rPr>
          <w:rFonts w:hint="eastAsia" w:cs="Times New Roman"/>
          <w:color w:val="auto"/>
          <w:sz w:val="24"/>
          <w:highlight w:val="none"/>
        </w:rPr>
        <w:t>双设单挂</w:t>
      </w:r>
      <w:r>
        <w:rPr>
          <w:rFonts w:hint="eastAsia" w:cs="Times New Roman"/>
          <w:color w:val="auto"/>
          <w:sz w:val="24"/>
          <w:highlight w:val="none"/>
          <w:lang w:eastAsia="zh-CN"/>
        </w:rPr>
        <w:t>（</w:t>
      </w:r>
      <w:r>
        <w:rPr>
          <w:rFonts w:hint="eastAsia" w:cs="Times New Roman"/>
          <w:color w:val="auto"/>
          <w:sz w:val="24"/>
          <w:highlight w:val="none"/>
          <w:lang w:val="en-US" w:eastAsia="zh-CN"/>
        </w:rPr>
        <w:t>50</w:t>
      </w:r>
      <w:r>
        <w:rPr>
          <w:rFonts w:hint="eastAsia" w:cs="Times New Roman"/>
          <w:color w:val="auto"/>
          <w:sz w:val="24"/>
          <w:highlight w:val="none"/>
          <w:lang w:val="zh-CN" w:eastAsia="zh-CN"/>
        </w:rPr>
        <w:t>0kV</w:t>
      </w:r>
      <w:r>
        <w:rPr>
          <w:rFonts w:hint="eastAsia" w:cs="Times New Roman"/>
          <w:color w:val="auto"/>
          <w:sz w:val="24"/>
          <w:highlight w:val="none"/>
          <w:lang w:val="en-US" w:eastAsia="zh-CN"/>
        </w:rPr>
        <w:t>乐业变进线侧1.2km</w:t>
      </w:r>
      <w:r>
        <w:rPr>
          <w:rFonts w:hint="eastAsia" w:cs="Times New Roman"/>
          <w:color w:val="auto"/>
          <w:sz w:val="24"/>
          <w:highlight w:val="none"/>
          <w:lang w:val="zh-CN" w:eastAsia="zh-CN"/>
        </w:rPr>
        <w:t>采用双回路</w:t>
      </w:r>
      <w:r>
        <w:rPr>
          <w:rFonts w:hint="eastAsia" w:cs="Times New Roman"/>
          <w:color w:val="auto"/>
          <w:sz w:val="24"/>
          <w:highlight w:val="none"/>
          <w:lang w:val="en-US" w:eastAsia="zh-CN"/>
        </w:rPr>
        <w:t>单边挂线</w:t>
      </w:r>
      <w:r>
        <w:rPr>
          <w:rFonts w:hint="eastAsia" w:cs="Times New Roman"/>
          <w:color w:val="auto"/>
          <w:sz w:val="24"/>
          <w:highlight w:val="none"/>
          <w:lang w:val="zh-CN" w:eastAsia="zh-CN"/>
        </w:rPr>
        <w:t>，双回路塔</w:t>
      </w:r>
      <w:r>
        <w:rPr>
          <w:rFonts w:hint="eastAsia" w:cs="Times New Roman"/>
          <w:color w:val="auto"/>
          <w:sz w:val="24"/>
          <w:highlight w:val="none"/>
          <w:lang w:val="en-US" w:eastAsia="zh-CN"/>
        </w:rPr>
        <w:t>5基</w:t>
      </w:r>
      <w:r>
        <w:rPr>
          <w:rFonts w:hint="eastAsia" w:cs="Times New Roman"/>
          <w:color w:val="auto"/>
          <w:sz w:val="24"/>
          <w:highlight w:val="none"/>
          <w:lang w:eastAsia="zh-CN"/>
        </w:rPr>
        <w:t>）</w:t>
      </w:r>
      <w:r>
        <w:rPr>
          <w:rFonts w:hint="eastAsia" w:cs="Times New Roman"/>
          <w:color w:val="auto"/>
          <w:sz w:val="24"/>
          <w:highlight w:val="none"/>
        </w:rPr>
        <w:t>，</w:t>
      </w:r>
      <w:r>
        <w:rPr>
          <w:rFonts w:hint="eastAsia" w:cs="Times New Roman"/>
          <w:color w:val="auto"/>
          <w:sz w:val="24"/>
          <w:highlight w:val="none"/>
          <w:lang w:val="en-US" w:eastAsia="zh-CN"/>
        </w:rPr>
        <w:t>其中22</w:t>
      </w:r>
      <w:r>
        <w:rPr>
          <w:rFonts w:hint="eastAsia" w:cs="Times New Roman"/>
          <w:color w:val="auto"/>
          <w:sz w:val="24"/>
          <w:highlight w:val="none"/>
        </w:rPr>
        <w:t>0kV</w:t>
      </w:r>
      <w:r>
        <w:rPr>
          <w:rFonts w:hint="eastAsia" w:cs="Times New Roman"/>
          <w:color w:val="auto"/>
          <w:sz w:val="24"/>
          <w:highlight w:val="none"/>
          <w:lang w:val="en-US" w:eastAsia="zh-CN"/>
        </w:rPr>
        <w:t>单</w:t>
      </w:r>
      <w:r>
        <w:rPr>
          <w:rFonts w:hint="eastAsia" w:cs="Times New Roman"/>
          <w:color w:val="auto"/>
          <w:sz w:val="24"/>
          <w:highlight w:val="none"/>
        </w:rPr>
        <w:t>回</w:t>
      </w:r>
      <w:r>
        <w:rPr>
          <w:rFonts w:hint="eastAsia" w:cs="Times New Roman"/>
          <w:color w:val="auto"/>
          <w:sz w:val="24"/>
          <w:highlight w:val="none"/>
          <w:lang w:val="en-US" w:eastAsia="zh-CN"/>
        </w:rPr>
        <w:t>线路导线</w:t>
      </w:r>
      <w:r>
        <w:rPr>
          <w:rFonts w:hint="eastAsia" w:cs="Times New Roman"/>
          <w:color w:val="auto"/>
          <w:sz w:val="24"/>
          <w:highlight w:val="none"/>
        </w:rPr>
        <w:t>架设</w:t>
      </w:r>
      <w:r>
        <w:rPr>
          <w:rFonts w:hint="eastAsia" w:cs="Times New Roman"/>
          <w:color w:val="auto"/>
          <w:sz w:val="24"/>
          <w:highlight w:val="none"/>
          <w:lang w:val="en-US" w:eastAsia="zh-CN"/>
        </w:rPr>
        <w:t>方式分为三角排列和水平排列方式；</w:t>
      </w:r>
      <w:r>
        <w:rPr>
          <w:rFonts w:hint="eastAsia" w:cs="Times New Roman"/>
          <w:color w:val="auto"/>
          <w:sz w:val="24"/>
          <w:highlight w:val="none"/>
        </w:rPr>
        <w:t>因此</w:t>
      </w:r>
      <w:r>
        <w:rPr>
          <w:rFonts w:hint="eastAsia" w:cs="Times New Roman"/>
          <w:color w:val="auto"/>
          <w:sz w:val="24"/>
          <w:highlight w:val="none"/>
          <w:lang w:eastAsia="zh-CN"/>
        </w:rPr>
        <w:t>，</w:t>
      </w:r>
      <w:r>
        <w:rPr>
          <w:rFonts w:hint="eastAsia" w:cs="Times New Roman"/>
          <w:color w:val="auto"/>
          <w:sz w:val="24"/>
          <w:highlight w:val="none"/>
        </w:rPr>
        <w:t>本项目输电线路理论计算按照</w:t>
      </w:r>
      <w:r>
        <w:rPr>
          <w:rFonts w:hint="eastAsia" w:cs="Times New Roman"/>
          <w:color w:val="auto"/>
          <w:sz w:val="24"/>
          <w:highlight w:val="none"/>
          <w:lang w:val="en-US" w:eastAsia="zh-CN"/>
        </w:rPr>
        <w:t>22</w:t>
      </w:r>
      <w:r>
        <w:rPr>
          <w:rFonts w:hint="eastAsia" w:cs="Times New Roman"/>
          <w:color w:val="auto"/>
          <w:sz w:val="24"/>
          <w:highlight w:val="none"/>
        </w:rPr>
        <w:t>0kV</w:t>
      </w:r>
      <w:r>
        <w:rPr>
          <w:rFonts w:hint="eastAsia" w:cs="Times New Roman"/>
          <w:color w:val="auto"/>
          <w:sz w:val="24"/>
          <w:highlight w:val="none"/>
          <w:lang w:val="en-US" w:eastAsia="zh-CN"/>
        </w:rPr>
        <w:t>单</w:t>
      </w:r>
      <w:r>
        <w:rPr>
          <w:rFonts w:hint="eastAsia" w:cs="Times New Roman"/>
          <w:color w:val="auto"/>
          <w:sz w:val="24"/>
          <w:highlight w:val="none"/>
        </w:rPr>
        <w:t>回架设和</w:t>
      </w:r>
      <w:r>
        <w:rPr>
          <w:rFonts w:hint="eastAsia" w:cs="Times New Roman"/>
          <w:color w:val="auto"/>
          <w:sz w:val="24"/>
          <w:highlight w:val="none"/>
          <w:lang w:val="en-US" w:eastAsia="zh-CN"/>
        </w:rPr>
        <w:t>22</w:t>
      </w:r>
      <w:r>
        <w:rPr>
          <w:rFonts w:hint="eastAsia" w:cs="Times New Roman"/>
          <w:color w:val="auto"/>
          <w:sz w:val="24"/>
          <w:highlight w:val="none"/>
        </w:rPr>
        <w:t>0kV双设单挂分别进行</w:t>
      </w:r>
      <w:r>
        <w:rPr>
          <w:rFonts w:hint="eastAsia" w:cs="Times New Roman"/>
          <w:color w:val="auto"/>
          <w:sz w:val="24"/>
          <w:highlight w:val="none"/>
          <w:lang w:val="en-US" w:eastAsia="zh-CN"/>
        </w:rPr>
        <w:t>预测</w:t>
      </w:r>
      <w:r>
        <w:rPr>
          <w:rFonts w:hint="eastAsia" w:cs="Times New Roman"/>
          <w:color w:val="auto"/>
          <w:sz w:val="24"/>
          <w:highlight w:val="none"/>
        </w:rPr>
        <w:t>计算。</w:t>
      </w:r>
    </w:p>
    <w:p w14:paraId="202F40E9">
      <w:pPr>
        <w:pStyle w:val="2"/>
        <w:overflowPunct w:val="0"/>
        <w:topLinePunct/>
        <w:autoSpaceDE w:val="0"/>
        <w:autoSpaceDN w:val="0"/>
        <w:adjustRightInd w:val="0"/>
        <w:snapToGrid w:val="0"/>
        <w:spacing w:after="0" w:line="440" w:lineRule="exact"/>
        <w:ind w:firstLine="456" w:firstLineChars="200"/>
        <w:rPr>
          <w:rFonts w:cs="Times New Roman"/>
          <w:bCs/>
          <w:color w:val="auto"/>
          <w:spacing w:val="-6"/>
          <w:sz w:val="24"/>
        </w:rPr>
      </w:pPr>
      <w:r>
        <w:rPr>
          <w:rFonts w:cs="Times New Roman"/>
          <w:bCs/>
          <w:color w:val="auto"/>
          <w:spacing w:val="-6"/>
          <w:sz w:val="24"/>
        </w:rPr>
        <w:t>（1）典型杆塔的选取</w:t>
      </w:r>
    </w:p>
    <w:p w14:paraId="7A0C15E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根据《环境影响评价技术导则  输变电》（HJ24-2020）第8.1.2.3“塔型选择时，可主要考虑线路经过居民区时的塔型，也可按保守原则选择电磁环境影响最大的塔型”，本次评价按保守原则，选择电磁环境影响最大的杆塔进行电磁环境影响预测计算。</w:t>
      </w:r>
    </w:p>
    <w:p w14:paraId="5D5D01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根据验算可知，杆塔水平间距越大，电磁环境影响越大</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因此本次评价</w:t>
      </w:r>
      <w:r>
        <w:rPr>
          <w:rFonts w:hint="default" w:ascii="Times New Roman" w:hAnsi="Times New Roman" w:cs="Times New Roman"/>
          <w:color w:val="auto"/>
          <w:sz w:val="24"/>
          <w:highlight w:val="none"/>
          <w:lang w:val="en-US" w:eastAsia="zh-CN"/>
        </w:rPr>
        <w:t>22</w:t>
      </w:r>
      <w:r>
        <w:rPr>
          <w:rFonts w:hint="default" w:ascii="Times New Roman" w:hAnsi="Times New Roman" w:cs="Times New Roman"/>
          <w:color w:val="auto"/>
          <w:sz w:val="24"/>
          <w:highlight w:val="none"/>
        </w:rPr>
        <w:t>0kV</w:t>
      </w:r>
      <w:r>
        <w:rPr>
          <w:rFonts w:hint="default" w:ascii="Times New Roman" w:hAnsi="Times New Roman" w:cs="Times New Roman"/>
          <w:color w:val="auto"/>
          <w:sz w:val="24"/>
          <w:highlight w:val="none"/>
          <w:lang w:val="en-US" w:eastAsia="zh-CN"/>
        </w:rPr>
        <w:t>单</w:t>
      </w:r>
      <w:r>
        <w:rPr>
          <w:rFonts w:hint="default" w:ascii="Times New Roman" w:hAnsi="Times New Roman" w:cs="Times New Roman"/>
          <w:color w:val="auto"/>
          <w:sz w:val="24"/>
          <w:highlight w:val="none"/>
        </w:rPr>
        <w:t>回</w:t>
      </w:r>
      <w:r>
        <w:rPr>
          <w:rFonts w:hint="default" w:ascii="Times New Roman" w:hAnsi="Times New Roman" w:cs="Times New Roman"/>
          <w:color w:val="auto"/>
          <w:sz w:val="24"/>
          <w:highlight w:val="none"/>
          <w:lang w:val="en-US" w:eastAsia="zh-CN"/>
        </w:rPr>
        <w:t>线路</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导线为三角排列方式</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rPr>
        <w:t>选取杆塔水平间距越大</w:t>
      </w:r>
      <w:r>
        <w:rPr>
          <w:rFonts w:hint="default" w:ascii="Times New Roman" w:hAnsi="Times New Roman" w:eastAsia="宋体" w:cs="Times New Roman"/>
          <w:color w:val="auto"/>
          <w:sz w:val="24"/>
          <w:szCs w:val="24"/>
          <w:highlight w:val="none"/>
        </w:rPr>
        <w:t>的塔型，</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选取</w:t>
      </w:r>
      <w:r>
        <w:rPr>
          <w:rFonts w:hint="default" w:ascii="Times New Roman" w:hAnsi="Times New Roman" w:eastAsia="宋体" w:cs="Times New Roman"/>
          <w:color w:val="auto"/>
          <w:sz w:val="24"/>
          <w:szCs w:val="24"/>
          <w:highlight w:val="none"/>
          <w:lang w:val="en-US" w:eastAsia="zh-CN"/>
        </w:rPr>
        <w:t>2E1Y3-J3-27</w:t>
      </w:r>
      <w:r>
        <w:rPr>
          <w:rFonts w:hint="default" w:ascii="Times New Roman" w:hAnsi="Times New Roman" w:eastAsia="宋体" w:cs="Times New Roman"/>
          <w:color w:val="auto"/>
          <w:sz w:val="24"/>
          <w:szCs w:val="24"/>
          <w:highlight w:val="none"/>
        </w:rPr>
        <w:t>转角塔为代表性塔型，</w:t>
      </w:r>
      <w:r>
        <w:rPr>
          <w:rFonts w:hint="default" w:ascii="Times New Roman" w:hAnsi="Times New Roman" w:cs="Times New Roman"/>
          <w:color w:val="auto"/>
          <w:sz w:val="24"/>
          <w:szCs w:val="24"/>
          <w:highlight w:val="none"/>
          <w:lang w:val="en-US" w:eastAsia="zh-CN"/>
        </w:rPr>
        <w:t>导线</w:t>
      </w:r>
      <w:r>
        <w:rPr>
          <w:rFonts w:hint="default" w:ascii="Times New Roman" w:hAnsi="Times New Roman" w:eastAsia="宋体" w:cs="Times New Roman"/>
          <w:color w:val="auto"/>
          <w:sz w:val="24"/>
          <w:szCs w:val="24"/>
          <w:highlight w:val="none"/>
        </w:rPr>
        <w:t>按照三角排列</w:t>
      </w:r>
      <w:r>
        <w:rPr>
          <w:rFonts w:hint="default" w:ascii="Times New Roman" w:hAnsi="Times New Roman" w:cs="Times New Roman"/>
          <w:color w:val="auto"/>
          <w:sz w:val="24"/>
          <w:szCs w:val="24"/>
          <w:highlight w:val="none"/>
          <w:lang w:val="en-US" w:eastAsia="zh-CN"/>
        </w:rPr>
        <w:t>方式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上</w:t>
      </w:r>
      <w:r>
        <w:rPr>
          <w:rFonts w:hint="default" w:ascii="Times New Roman" w:hAnsi="Times New Roman" w:eastAsia="宋体" w:cs="Times New Roman"/>
          <w:color w:val="auto"/>
          <w:sz w:val="24"/>
          <w:szCs w:val="24"/>
          <w:highlight w:val="none"/>
        </w:rPr>
        <w:t>B</w:t>
      </w:r>
      <w:r>
        <w:rPr>
          <w:rFonts w:hint="default" w:ascii="Times New Roman" w:hAnsi="Times New Roman" w:cs="Times New Roman"/>
          <w:color w:val="auto"/>
          <w:sz w:val="24"/>
          <w:szCs w:val="24"/>
          <w:highlight w:val="none"/>
          <w:lang w:val="en-US" w:eastAsia="zh-CN"/>
        </w:rPr>
        <w:t>左</w:t>
      </w:r>
      <w:r>
        <w:rPr>
          <w:rFonts w:hint="default" w:ascii="Times New Roman" w:hAnsi="Times New Roman" w:eastAsia="宋体" w:cs="Times New Roman"/>
          <w:color w:val="auto"/>
          <w:sz w:val="24"/>
          <w:szCs w:val="24"/>
          <w:highlight w:val="none"/>
        </w:rPr>
        <w:t>A</w:t>
      </w:r>
      <w:r>
        <w:rPr>
          <w:rFonts w:hint="default" w:ascii="Times New Roman" w:hAnsi="Times New Roman" w:cs="Times New Roman"/>
          <w:color w:val="auto"/>
          <w:sz w:val="24"/>
          <w:szCs w:val="24"/>
          <w:highlight w:val="none"/>
          <w:lang w:val="en-US" w:eastAsia="zh-CN"/>
        </w:rPr>
        <w:t>右</w:t>
      </w:r>
      <w:r>
        <w:rPr>
          <w:rFonts w:hint="default" w:ascii="Times New Roman" w:hAnsi="Times New Roman" w:eastAsia="宋体" w:cs="Times New Roman"/>
          <w:color w:val="auto"/>
          <w:sz w:val="24"/>
          <w:szCs w:val="24"/>
          <w:highlight w:val="none"/>
        </w:rPr>
        <w:t>C</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进行电磁环境影响预测</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highlight w:val="none"/>
          <w:lang w:val="en-US" w:eastAsia="zh-CN"/>
        </w:rPr>
        <w:t>22</w:t>
      </w:r>
      <w:r>
        <w:rPr>
          <w:rFonts w:hint="default" w:ascii="Times New Roman" w:hAnsi="Times New Roman" w:cs="Times New Roman"/>
          <w:color w:val="auto"/>
          <w:sz w:val="24"/>
          <w:highlight w:val="none"/>
        </w:rPr>
        <w:t>0kV</w:t>
      </w:r>
      <w:r>
        <w:rPr>
          <w:rFonts w:hint="default" w:ascii="Times New Roman" w:hAnsi="Times New Roman" w:cs="Times New Roman"/>
          <w:color w:val="auto"/>
          <w:sz w:val="24"/>
          <w:highlight w:val="none"/>
          <w:lang w:val="en-US" w:eastAsia="zh-CN"/>
        </w:rPr>
        <w:t>单</w:t>
      </w:r>
      <w:r>
        <w:rPr>
          <w:rFonts w:hint="default" w:ascii="Times New Roman" w:hAnsi="Times New Roman" w:cs="Times New Roman"/>
          <w:color w:val="auto"/>
          <w:sz w:val="24"/>
          <w:highlight w:val="none"/>
        </w:rPr>
        <w:t>回</w:t>
      </w:r>
      <w:r>
        <w:rPr>
          <w:rFonts w:hint="default" w:ascii="Times New Roman" w:hAnsi="Times New Roman" w:cs="Times New Roman"/>
          <w:color w:val="auto"/>
          <w:sz w:val="24"/>
          <w:highlight w:val="none"/>
          <w:lang w:val="en-US" w:eastAsia="zh-CN"/>
        </w:rPr>
        <w:t>线路</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导线为水平排列方式</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rPr>
        <w:t>选取杆塔水平间距越大</w:t>
      </w:r>
      <w:r>
        <w:rPr>
          <w:rFonts w:hint="default" w:ascii="Times New Roman" w:hAnsi="Times New Roman" w:eastAsia="宋体" w:cs="Times New Roman"/>
          <w:color w:val="auto"/>
          <w:sz w:val="24"/>
          <w:szCs w:val="24"/>
          <w:highlight w:val="none"/>
        </w:rPr>
        <w:t>的塔型，</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选取</w:t>
      </w:r>
      <w:r>
        <w:rPr>
          <w:rFonts w:hint="default" w:ascii="Times New Roman" w:hAnsi="Times New Roman" w:eastAsia="宋体" w:cs="Times New Roman"/>
          <w:color w:val="auto"/>
          <w:sz w:val="24"/>
          <w:szCs w:val="24"/>
          <w:highlight w:val="none"/>
          <w:lang w:val="en-US" w:eastAsia="zh-CN"/>
        </w:rPr>
        <w:t>2E1Y3-J3-33</w:t>
      </w:r>
      <w:r>
        <w:rPr>
          <w:rFonts w:hint="default" w:ascii="Times New Roman" w:hAnsi="Times New Roman" w:eastAsia="宋体" w:cs="Times New Roman"/>
          <w:color w:val="auto"/>
          <w:sz w:val="24"/>
          <w:szCs w:val="24"/>
          <w:highlight w:val="none"/>
        </w:rPr>
        <w:t>塔为代表性塔型，按照</w:t>
      </w:r>
      <w:r>
        <w:rPr>
          <w:rFonts w:hint="default" w:ascii="Times New Roman" w:hAnsi="Times New Roman" w:eastAsia="宋体" w:cs="Times New Roman"/>
          <w:color w:val="auto"/>
          <w:sz w:val="24"/>
          <w:szCs w:val="24"/>
          <w:highlight w:val="none"/>
          <w:lang w:val="en-US" w:eastAsia="zh-CN"/>
        </w:rPr>
        <w:t>水平</w:t>
      </w:r>
      <w:r>
        <w:rPr>
          <w:rFonts w:hint="default" w:ascii="Times New Roman" w:hAnsi="Times New Roman" w:eastAsia="宋体" w:cs="Times New Roman"/>
          <w:color w:val="auto"/>
          <w:sz w:val="24"/>
          <w:szCs w:val="24"/>
          <w:highlight w:val="none"/>
        </w:rPr>
        <w:t>排列</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ABC</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进行电磁环境影响预测</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双设单挂</w:t>
      </w:r>
      <w:r>
        <w:rPr>
          <w:rFonts w:hint="default" w:ascii="Times New Roman" w:hAnsi="Times New Roman" w:eastAsia="宋体" w:cs="Times New Roman"/>
          <w:color w:val="auto"/>
          <w:sz w:val="24"/>
          <w:szCs w:val="24"/>
        </w:rPr>
        <w:t>线路选取</w:t>
      </w:r>
      <w:r>
        <w:rPr>
          <w:rFonts w:hint="default" w:ascii="Times New Roman" w:hAnsi="Times New Roman" w:eastAsia="宋体" w:cs="Times New Roman"/>
          <w:color w:val="auto"/>
          <w:sz w:val="24"/>
          <w:szCs w:val="24"/>
          <w:lang w:val="en-US" w:eastAsia="zh-CN"/>
        </w:rPr>
        <w:t>2D2Y5-JD-36塔</w:t>
      </w:r>
      <w:r>
        <w:rPr>
          <w:rFonts w:hint="default" w:ascii="Times New Roman" w:hAnsi="Times New Roman" w:eastAsia="宋体" w:cs="Times New Roman"/>
          <w:color w:val="auto"/>
          <w:sz w:val="24"/>
          <w:szCs w:val="24"/>
        </w:rPr>
        <w:t>双回路转角塔，按照垂直排列（上B中C下A）进行电磁环境影响预测。</w:t>
      </w:r>
    </w:p>
    <w:p w14:paraId="485F87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（2）导线对地高度</w:t>
      </w:r>
    </w:p>
    <w:p w14:paraId="125ECB5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根据《110kV~750kV架空输电线路设计规范》（GB50545-2010）的要求，本次评价线路经过</w:t>
      </w:r>
      <w:r>
        <w:rPr>
          <w:rFonts w:hint="eastAsia" w:ascii="Times New Roman" w:hAnsi="Times New Roman" w:cs="Times New Roman"/>
          <w:color w:val="auto"/>
          <w:sz w:val="24"/>
          <w:szCs w:val="24"/>
          <w:lang w:eastAsia="zh-CN"/>
        </w:rPr>
        <w:t>其他地区</w:t>
      </w:r>
      <w:r>
        <w:rPr>
          <w:rFonts w:hint="default" w:ascii="Times New Roman" w:hAnsi="Times New Roman" w:eastAsia="宋体" w:cs="Times New Roman"/>
          <w:color w:val="auto"/>
          <w:sz w:val="24"/>
          <w:szCs w:val="24"/>
        </w:rPr>
        <w:t>（指耕地、园地、牧草地、畜禽饲养地、养殖水面、道路等场所）时，220kV架空线路经过非居民区导线对地面的最小距离为6.5m，220kV架空线路经过居民区导线对地面的最小距离为7.5m，因此</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本项目220kV架空线路预测高度从6.5m开始计算</w:t>
      </w:r>
      <w:r>
        <w:rPr>
          <w:rFonts w:hint="eastAsia" w:ascii="Times New Roman" w:hAnsi="Times New Roman" w:cs="Times New Roman"/>
          <w:color w:val="auto"/>
          <w:sz w:val="24"/>
          <w:szCs w:val="24"/>
          <w:lang w:val="en-US" w:eastAsia="zh-CN"/>
        </w:rPr>
        <w:t>和按照最小设计高度</w:t>
      </w:r>
      <w:r>
        <w:rPr>
          <w:rFonts w:hint="default" w:ascii="Times New Roman" w:hAnsi="Times New Roman" w:eastAsia="宋体" w:cs="Times New Roman"/>
          <w:color w:val="auto"/>
          <w:sz w:val="24"/>
          <w:szCs w:val="24"/>
        </w:rPr>
        <w:t>距地面1.5m高度处的工频电场强度和工频磁感应强度。</w:t>
      </w:r>
    </w:p>
    <w:p w14:paraId="408AFF0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（3）导线选取</w:t>
      </w:r>
    </w:p>
    <w:p w14:paraId="471D43E8">
      <w:pPr>
        <w:pStyle w:val="2"/>
        <w:overflowPunct w:val="0"/>
        <w:topLinePunct/>
        <w:autoSpaceDE w:val="0"/>
        <w:autoSpaceDN w:val="0"/>
        <w:adjustRightInd w:val="0"/>
        <w:snapToGrid w:val="0"/>
        <w:spacing w:after="0" w:line="440" w:lineRule="exact"/>
        <w:ind w:firstLine="456" w:firstLineChars="200"/>
        <w:rPr>
          <w:rFonts w:cs="Times New Roman"/>
          <w:color w:val="auto"/>
          <w:sz w:val="24"/>
        </w:rPr>
      </w:pPr>
      <w:r>
        <w:rPr>
          <w:rFonts w:cs="Times New Roman"/>
          <w:bCs/>
          <w:color w:val="auto"/>
          <w:spacing w:val="-6"/>
          <w:sz w:val="24"/>
        </w:rPr>
        <w:t>根据设计资料，</w:t>
      </w:r>
      <w:r>
        <w:rPr>
          <w:rFonts w:hint="eastAsia" w:cs="Times New Roman"/>
          <w:color w:val="auto"/>
          <w:sz w:val="24"/>
        </w:rPr>
        <w:t>本项目</w:t>
      </w:r>
      <w:r>
        <w:rPr>
          <w:rFonts w:cs="Times New Roman"/>
          <w:color w:val="auto"/>
          <w:sz w:val="24"/>
        </w:rPr>
        <w:t>输电线路采用</w:t>
      </w:r>
      <w:r>
        <w:rPr>
          <w:rFonts w:hint="eastAsia" w:cs="Times New Roman"/>
          <w:color w:val="auto"/>
          <w:sz w:val="24"/>
          <w:lang w:val="en-US" w:eastAsia="zh-CN"/>
        </w:rPr>
        <w:t>2×JNRLH1/LB20A-400/50铝包钢芯耐热铝合金绞线，导线外直径为27.6mm；</w:t>
      </w:r>
      <w:r>
        <w:rPr>
          <w:rFonts w:cs="Times New Roman"/>
          <w:bCs/>
          <w:color w:val="auto"/>
          <w:spacing w:val="-6"/>
          <w:sz w:val="24"/>
        </w:rPr>
        <w:t>导线为</w:t>
      </w:r>
      <w:r>
        <w:rPr>
          <w:rFonts w:hint="eastAsia" w:cs="Times New Roman"/>
          <w:bCs/>
          <w:color w:val="auto"/>
          <w:spacing w:val="-6"/>
          <w:sz w:val="24"/>
        </w:rPr>
        <w:t>双</w:t>
      </w:r>
      <w:r>
        <w:rPr>
          <w:rFonts w:cs="Times New Roman"/>
          <w:bCs/>
          <w:color w:val="auto"/>
          <w:spacing w:val="-6"/>
          <w:sz w:val="24"/>
        </w:rPr>
        <w:t>分裂</w:t>
      </w:r>
      <w:r>
        <w:rPr>
          <w:rFonts w:hint="eastAsia" w:cs="Times New Roman"/>
          <w:bCs/>
          <w:color w:val="auto"/>
          <w:spacing w:val="-6"/>
          <w:sz w:val="24"/>
        </w:rPr>
        <w:t>，单回路</w:t>
      </w:r>
      <w:r>
        <w:rPr>
          <w:rFonts w:cs="Times New Roman"/>
          <w:color w:val="auto"/>
          <w:sz w:val="24"/>
        </w:rPr>
        <w:t>采用三角排列方式</w:t>
      </w:r>
      <w:r>
        <w:rPr>
          <w:rFonts w:hint="eastAsia" w:cs="Times New Roman"/>
          <w:color w:val="auto"/>
          <w:sz w:val="24"/>
        </w:rPr>
        <w:t>，双设单挂架设</w:t>
      </w:r>
      <w:r>
        <w:rPr>
          <w:rFonts w:cs="Times New Roman"/>
          <w:color w:val="auto"/>
          <w:sz w:val="24"/>
        </w:rPr>
        <w:t>采用</w:t>
      </w:r>
      <w:r>
        <w:rPr>
          <w:rFonts w:hint="eastAsia" w:cs="Times New Roman"/>
          <w:color w:val="auto"/>
          <w:sz w:val="24"/>
        </w:rPr>
        <w:t>垂直</w:t>
      </w:r>
      <w:r>
        <w:rPr>
          <w:rFonts w:cs="Times New Roman"/>
          <w:color w:val="auto"/>
          <w:sz w:val="24"/>
        </w:rPr>
        <w:t>排列方式</w:t>
      </w:r>
      <w:r>
        <w:rPr>
          <w:rFonts w:hint="eastAsia" w:cs="Times New Roman"/>
          <w:color w:val="auto"/>
          <w:sz w:val="24"/>
        </w:rPr>
        <w:t>。</w:t>
      </w:r>
    </w:p>
    <w:p w14:paraId="079BE948">
      <w:pPr>
        <w:pStyle w:val="2"/>
        <w:overflowPunct w:val="0"/>
        <w:topLinePunct/>
        <w:autoSpaceDE w:val="0"/>
        <w:autoSpaceDN w:val="0"/>
        <w:adjustRightInd w:val="0"/>
        <w:snapToGrid w:val="0"/>
        <w:spacing w:after="0" w:line="440" w:lineRule="exact"/>
        <w:ind w:firstLine="456" w:firstLineChars="200"/>
        <w:rPr>
          <w:rFonts w:cs="Times New Roman"/>
          <w:bCs/>
          <w:color w:val="auto"/>
          <w:spacing w:val="-6"/>
          <w:sz w:val="24"/>
        </w:rPr>
      </w:pPr>
      <w:r>
        <w:rPr>
          <w:rFonts w:cs="Times New Roman"/>
          <w:bCs/>
          <w:color w:val="auto"/>
          <w:spacing w:val="-6"/>
          <w:sz w:val="24"/>
        </w:rPr>
        <w:t>（4）预测内容</w:t>
      </w:r>
    </w:p>
    <w:p w14:paraId="778E4059">
      <w:pPr>
        <w:pStyle w:val="2"/>
        <w:overflowPunct w:val="0"/>
        <w:topLinePunct/>
        <w:autoSpaceDE w:val="0"/>
        <w:autoSpaceDN w:val="0"/>
        <w:adjustRightInd w:val="0"/>
        <w:snapToGrid w:val="0"/>
        <w:spacing w:after="0" w:line="440" w:lineRule="exact"/>
        <w:ind w:firstLine="456" w:firstLineChars="200"/>
        <w:rPr>
          <w:rFonts w:cs="Times New Roman"/>
          <w:bCs/>
          <w:color w:val="auto"/>
          <w:spacing w:val="-6"/>
          <w:sz w:val="24"/>
        </w:rPr>
        <w:sectPr>
          <w:pgSz w:w="11907" w:h="16839"/>
          <w:pgMar w:top="1418" w:right="1531" w:bottom="1418" w:left="1531" w:header="737" w:footer="1020" w:gutter="0"/>
          <w:pgBorders>
            <w:top w:val="none" w:sz="0" w:space="0"/>
            <w:left w:val="none" w:sz="0" w:space="0"/>
            <w:bottom w:val="none" w:sz="0" w:space="0"/>
            <w:right w:val="none" w:sz="0" w:space="0"/>
          </w:pgBorders>
          <w:cols w:space="425" w:num="1"/>
          <w:docGrid w:type="lines" w:linePitch="312" w:charSpace="0"/>
        </w:sectPr>
      </w:pPr>
      <w:r>
        <w:rPr>
          <w:rFonts w:cs="Times New Roman"/>
          <w:bCs/>
          <w:color w:val="auto"/>
          <w:spacing w:val="-6"/>
          <w:sz w:val="24"/>
        </w:rPr>
        <w:t>根据选择的塔型、电压、电流及不同导线对地距离，进行工频电场、工频磁场预测计算，以确定本工程工频电场、工频磁场影响程度及范围。其中，</w:t>
      </w:r>
      <w:r>
        <w:rPr>
          <w:rFonts w:hint="eastAsia" w:cs="Times New Roman"/>
          <w:bCs/>
          <w:color w:val="auto"/>
          <w:spacing w:val="-6"/>
          <w:sz w:val="24"/>
          <w:lang w:eastAsia="zh-CN"/>
        </w:rPr>
        <w:t>对于其他</w:t>
      </w:r>
      <w:r>
        <w:rPr>
          <w:rFonts w:cs="Times New Roman"/>
          <w:bCs/>
          <w:color w:val="auto"/>
          <w:spacing w:val="-6"/>
          <w:sz w:val="24"/>
        </w:rPr>
        <w:t>地区，若最小线高不能保证电磁环境达标，则进行导线抬升预测计算；对于居民区，若最小线高不能保证电磁环境达标，则进行拆迁范围预测计算和导线抬升预测计算。</w:t>
      </w:r>
    </w:p>
    <w:p w14:paraId="73CE6971">
      <w:pPr>
        <w:pStyle w:val="2"/>
        <w:numPr>
          <w:ilvl w:val="0"/>
          <w:numId w:val="0"/>
        </w:numPr>
        <w:overflowPunct w:val="0"/>
        <w:topLinePunct/>
        <w:autoSpaceDE w:val="0"/>
        <w:autoSpaceDN w:val="0"/>
        <w:adjustRightInd w:val="0"/>
        <w:snapToGrid w:val="0"/>
        <w:spacing w:after="0" w:line="440" w:lineRule="exact"/>
        <w:ind w:firstLine="456" w:firstLineChars="200"/>
        <w:rPr>
          <w:rFonts w:cs="Times New Roman"/>
          <w:bCs/>
          <w:color w:val="auto"/>
          <w:spacing w:val="-6"/>
          <w:sz w:val="24"/>
        </w:rPr>
      </w:pPr>
      <w:r>
        <w:rPr>
          <w:rFonts w:ascii="Times New Roman" w:hAnsi="Times New Roman" w:eastAsia="宋体" w:cs="Times New Roman"/>
          <w:bCs/>
          <w:color w:val="auto"/>
          <w:spacing w:val="-6"/>
          <w:kern w:val="2"/>
          <w:sz w:val="24"/>
          <w:szCs w:val="24"/>
          <w:lang w:val="en-US" w:eastAsia="zh-CN" w:bidi="ar-SA"/>
        </w:rPr>
        <w:t>（5）</w:t>
      </w:r>
      <w:r>
        <w:rPr>
          <w:rFonts w:cs="Times New Roman"/>
          <w:bCs/>
          <w:color w:val="auto"/>
          <w:spacing w:val="-6"/>
          <w:sz w:val="24"/>
        </w:rPr>
        <w:t>预测参数一览表</w:t>
      </w:r>
    </w:p>
    <w:p w14:paraId="7CAA350A">
      <w:pPr>
        <w:pStyle w:val="2"/>
        <w:overflowPunct w:val="0"/>
        <w:topLinePunct/>
        <w:autoSpaceDE w:val="0"/>
        <w:autoSpaceDN w:val="0"/>
        <w:adjustRightInd w:val="0"/>
        <w:snapToGrid w:val="0"/>
        <w:spacing w:after="0" w:line="440" w:lineRule="exact"/>
        <w:ind w:firstLine="456" w:firstLineChars="200"/>
        <w:rPr>
          <w:rFonts w:hint="eastAsia" w:ascii="Times New Roman" w:hAnsi="Times New Roman" w:cs="Times New Roman"/>
          <w:bCs/>
          <w:color w:val="auto"/>
          <w:spacing w:val="-6"/>
          <w:sz w:val="24"/>
        </w:rPr>
      </w:pPr>
      <w:r>
        <w:rPr>
          <w:rFonts w:ascii="Times New Roman" w:hAnsi="Times New Roman" w:cs="Times New Roman"/>
          <w:bCs/>
          <w:color w:val="auto"/>
          <w:spacing w:val="-6"/>
          <w:sz w:val="24"/>
        </w:rPr>
        <w:t>本工程</w:t>
      </w:r>
      <w:r>
        <w:rPr>
          <w:rFonts w:cs="Times New Roman"/>
          <w:bCs/>
          <w:color w:val="auto"/>
          <w:spacing w:val="-6"/>
          <w:sz w:val="24"/>
        </w:rPr>
        <w:t>输电线</w:t>
      </w:r>
      <w:r>
        <w:rPr>
          <w:rFonts w:ascii="Times New Roman" w:hAnsi="Times New Roman" w:cs="Times New Roman"/>
          <w:bCs/>
          <w:color w:val="auto"/>
          <w:spacing w:val="-6"/>
          <w:sz w:val="24"/>
        </w:rPr>
        <w:t>路的计算塔型（典型塔型）及导线的有关参数见下表。</w:t>
      </w:r>
    </w:p>
    <w:p w14:paraId="3EDB003F">
      <w:pPr>
        <w:adjustRightInd w:val="0"/>
        <w:snapToGrid w:val="0"/>
        <w:jc w:val="center"/>
        <w:textAlignment w:val="baseline"/>
        <w:rPr>
          <w:rFonts w:ascii="Times New Roman" w:hAnsi="Times New Roman"/>
          <w:b/>
          <w:color w:val="auto"/>
          <w:sz w:val="24"/>
          <w:szCs w:val="24"/>
        </w:rPr>
      </w:pPr>
      <w:r>
        <w:rPr>
          <w:rFonts w:ascii="Times New Roman" w:hAnsi="Times New Roman"/>
          <w:b/>
          <w:color w:val="auto"/>
          <w:sz w:val="24"/>
          <w:szCs w:val="24"/>
        </w:rPr>
        <w:t xml:space="preserve">表5-1  </w:t>
      </w:r>
      <w:r>
        <w:rPr>
          <w:rFonts w:hint="eastAsia" w:ascii="Times New Roman" w:hAnsi="Times New Roman"/>
          <w:b/>
          <w:color w:val="auto"/>
          <w:sz w:val="24"/>
          <w:szCs w:val="24"/>
        </w:rPr>
        <w:t>输电线路电磁影响预测参数一览表</w:t>
      </w:r>
    </w:p>
    <w:tbl>
      <w:tblPr>
        <w:tblStyle w:val="27"/>
        <w:tblW w:w="49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668"/>
        <w:gridCol w:w="1023"/>
        <w:gridCol w:w="3543"/>
        <w:gridCol w:w="4324"/>
        <w:gridCol w:w="4345"/>
      </w:tblGrid>
      <w:tr w14:paraId="2F4C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single" w:color="auto" w:sz="4" w:space="0"/>
            </w:tcBorders>
            <w:shd w:val="clear" w:color="auto" w:fill="BEBEBE"/>
            <w:noWrap w:val="0"/>
            <w:vAlign w:val="center"/>
          </w:tcPr>
          <w:p w14:paraId="188299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bCs/>
                <w:caps w:val="0"/>
                <w:color w:val="auto"/>
                <w:spacing w:val="0"/>
                <w:sz w:val="21"/>
                <w:szCs w:val="21"/>
                <w:highlight w:val="none"/>
              </w:rPr>
            </w:pPr>
            <w:r>
              <w:rPr>
                <w:rFonts w:hint="default" w:ascii="Times New Roman" w:hAnsi="Times New Roman" w:eastAsia="宋体" w:cs="Times New Roman"/>
                <w:b/>
                <w:bCs/>
                <w:caps w:val="0"/>
                <w:color w:val="auto"/>
                <w:spacing w:val="0"/>
                <w:sz w:val="21"/>
                <w:szCs w:val="21"/>
                <w:highlight w:val="none"/>
                <w:lang w:val="en-US" w:eastAsia="zh-CN"/>
              </w:rPr>
              <w:t xml:space="preserve">   </w:t>
            </w:r>
            <w:r>
              <w:rPr>
                <w:rFonts w:hint="eastAsia" w:ascii="Times New Roman" w:hAnsi="Times New Roman" w:eastAsia="宋体" w:cs="Times New Roman"/>
                <w:b/>
                <w:bCs/>
                <w:caps w:val="0"/>
                <w:color w:val="auto"/>
                <w:spacing w:val="0"/>
                <w:sz w:val="21"/>
                <w:szCs w:val="21"/>
                <w:highlight w:val="none"/>
                <w:lang w:val="en-US" w:eastAsia="zh-CN"/>
              </w:rPr>
              <w:t xml:space="preserve">    </w:t>
            </w:r>
            <w:r>
              <w:rPr>
                <w:rFonts w:hint="default" w:ascii="Times New Roman" w:hAnsi="Times New Roman" w:eastAsia="宋体" w:cs="Times New Roman"/>
                <w:b/>
                <w:bCs/>
                <w:caps w:val="0"/>
                <w:color w:val="auto"/>
                <w:spacing w:val="0"/>
                <w:sz w:val="21"/>
                <w:szCs w:val="21"/>
                <w:highlight w:val="none"/>
                <w:lang w:val="en-US" w:eastAsia="zh-CN"/>
              </w:rPr>
              <w:t xml:space="preserve"> </w:t>
            </w:r>
            <w:r>
              <w:rPr>
                <w:rFonts w:hint="default" w:ascii="Times New Roman" w:hAnsi="Times New Roman" w:eastAsia="宋体" w:cs="Times New Roman"/>
                <w:b/>
                <w:bCs/>
                <w:caps w:val="0"/>
                <w:color w:val="auto"/>
                <w:spacing w:val="0"/>
                <w:sz w:val="21"/>
                <w:szCs w:val="21"/>
                <w:highlight w:val="none"/>
              </w:rPr>
              <w:t>线路</w:t>
            </w:r>
          </w:p>
          <w:p w14:paraId="5C6F61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rPr>
                <w:rFonts w:hint="default" w:ascii="Times New Roman" w:hAnsi="Times New Roman" w:eastAsia="宋体" w:cs="Times New Roman"/>
                <w:b/>
                <w:bCs/>
                <w:caps w:val="0"/>
                <w:color w:val="auto"/>
                <w:spacing w:val="0"/>
                <w:sz w:val="21"/>
                <w:szCs w:val="21"/>
                <w:highlight w:val="none"/>
              </w:rPr>
            </w:pPr>
            <w:r>
              <w:rPr>
                <w:rFonts w:hint="default" w:ascii="Times New Roman" w:hAnsi="Times New Roman" w:eastAsia="宋体" w:cs="Times New Roman"/>
                <w:b/>
                <w:bCs/>
                <w:caps w:val="0"/>
                <w:color w:val="auto"/>
                <w:spacing w:val="0"/>
                <w:sz w:val="21"/>
                <w:szCs w:val="21"/>
                <w:highlight w:val="none"/>
              </w:rPr>
              <w:t>参  数</w:t>
            </w:r>
          </w:p>
        </w:tc>
        <w:tc>
          <w:tcPr>
            <w:tcW w:w="2735" w:type="pct"/>
            <w:gridSpan w:val="2"/>
            <w:tcBorders>
              <w:tl2br w:val="nil"/>
              <w:tr2bl w:val="nil"/>
            </w:tcBorders>
            <w:shd w:val="clear" w:color="auto" w:fill="BEBEBE"/>
            <w:noWrap w:val="0"/>
            <w:vAlign w:val="center"/>
          </w:tcPr>
          <w:p w14:paraId="43246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220kV单回线路</w:t>
            </w:r>
          </w:p>
        </w:tc>
        <w:tc>
          <w:tcPr>
            <w:tcW w:w="1510" w:type="pct"/>
            <w:tcBorders>
              <w:tl2br w:val="nil"/>
              <w:tr2bl w:val="nil"/>
            </w:tcBorders>
            <w:shd w:val="clear" w:color="auto" w:fill="BEBEBE"/>
            <w:noWrap w:val="0"/>
            <w:vAlign w:val="center"/>
          </w:tcPr>
          <w:p w14:paraId="75AB10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220kV双回线路（单侧挂线）</w:t>
            </w:r>
          </w:p>
        </w:tc>
      </w:tr>
      <w:tr w14:paraId="44C0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627E53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排列方式</w:t>
            </w:r>
          </w:p>
        </w:tc>
        <w:tc>
          <w:tcPr>
            <w:tcW w:w="1231" w:type="pct"/>
            <w:tcBorders>
              <w:tl2br w:val="nil"/>
              <w:tr2bl w:val="nil"/>
            </w:tcBorders>
            <w:noWrap w:val="0"/>
            <w:vAlign w:val="center"/>
          </w:tcPr>
          <w:p w14:paraId="3DEA9B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三角排列</w:t>
            </w:r>
          </w:p>
        </w:tc>
        <w:tc>
          <w:tcPr>
            <w:tcW w:w="1503" w:type="pct"/>
            <w:tcBorders>
              <w:tl2br w:val="nil"/>
              <w:tr2bl w:val="nil"/>
            </w:tcBorders>
            <w:noWrap w:val="0"/>
            <w:vAlign w:val="center"/>
          </w:tcPr>
          <w:p w14:paraId="4A40C2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水平排列</w:t>
            </w:r>
          </w:p>
        </w:tc>
        <w:tc>
          <w:tcPr>
            <w:tcW w:w="1510" w:type="pct"/>
            <w:tcBorders>
              <w:tl2br w:val="nil"/>
              <w:tr2bl w:val="nil"/>
            </w:tcBorders>
            <w:noWrap w:val="0"/>
            <w:vAlign w:val="center"/>
          </w:tcPr>
          <w:p w14:paraId="0BA122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垂直排列</w:t>
            </w:r>
          </w:p>
        </w:tc>
      </w:tr>
      <w:tr w14:paraId="063F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4" w:type="pct"/>
            <w:gridSpan w:val="3"/>
            <w:tcBorders>
              <w:tl2br w:val="nil"/>
              <w:tr2bl w:val="nil"/>
            </w:tcBorders>
            <w:noWrap w:val="0"/>
            <w:vAlign w:val="center"/>
          </w:tcPr>
          <w:p w14:paraId="1C9C0D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kern w:val="0"/>
                <w:sz w:val="21"/>
                <w:szCs w:val="21"/>
                <w:highlight w:val="none"/>
              </w:rPr>
              <w:t>导线型号</w:t>
            </w:r>
          </w:p>
        </w:tc>
        <w:tc>
          <w:tcPr>
            <w:tcW w:w="4245" w:type="pct"/>
            <w:gridSpan w:val="3"/>
            <w:tcBorders>
              <w:tl2br w:val="nil"/>
              <w:tr2bl w:val="nil"/>
            </w:tcBorders>
            <w:noWrap w:val="0"/>
            <w:vAlign w:val="center"/>
          </w:tcPr>
          <w:p w14:paraId="134FC3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导线为2×JNRLH1/LB20A-400/50铝包钢芯耐热铝合金绞线，导线外直径为27.6mm；</w:t>
            </w:r>
          </w:p>
        </w:tc>
      </w:tr>
      <w:tr w14:paraId="6EE5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790CDC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val="en-US" w:eastAsia="zh-CN"/>
              </w:rPr>
              <w:t>外直径</w:t>
            </w:r>
            <w:r>
              <w:rPr>
                <w:rFonts w:hint="default" w:ascii="Times New Roman" w:hAnsi="Times New Roman" w:eastAsia="宋体" w:cs="Times New Roman"/>
                <w:caps w:val="0"/>
                <w:color w:val="auto"/>
                <w:spacing w:val="0"/>
                <w:sz w:val="21"/>
                <w:szCs w:val="21"/>
                <w:highlight w:val="none"/>
                <w:lang w:eastAsia="zh-CN"/>
              </w:rPr>
              <w:t>（</w:t>
            </w:r>
            <w:r>
              <w:rPr>
                <w:rFonts w:hint="default" w:ascii="Times New Roman" w:hAnsi="Times New Roman" w:eastAsia="宋体" w:cs="Times New Roman"/>
                <w:caps w:val="0"/>
                <w:color w:val="auto"/>
                <w:spacing w:val="0"/>
                <w:sz w:val="21"/>
                <w:szCs w:val="21"/>
                <w:highlight w:val="none"/>
              </w:rPr>
              <w:t>mm</w:t>
            </w:r>
            <w:r>
              <w:rPr>
                <w:rFonts w:hint="default" w:ascii="Times New Roman" w:hAnsi="Times New Roman" w:eastAsia="宋体" w:cs="Times New Roman"/>
                <w:caps w:val="0"/>
                <w:color w:val="auto"/>
                <w:spacing w:val="0"/>
                <w:sz w:val="21"/>
                <w:szCs w:val="21"/>
                <w:highlight w:val="none"/>
                <w:lang w:eastAsia="zh-CN"/>
              </w:rPr>
              <w:t>）</w:t>
            </w:r>
          </w:p>
        </w:tc>
        <w:tc>
          <w:tcPr>
            <w:tcW w:w="1231" w:type="pct"/>
            <w:tcBorders>
              <w:tl2br w:val="nil"/>
              <w:tr2bl w:val="nil"/>
            </w:tcBorders>
            <w:noWrap w:val="0"/>
            <w:vAlign w:val="center"/>
          </w:tcPr>
          <w:p w14:paraId="3361EC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27.6</w:t>
            </w:r>
          </w:p>
        </w:tc>
        <w:tc>
          <w:tcPr>
            <w:tcW w:w="1503" w:type="pct"/>
            <w:tcBorders>
              <w:tl2br w:val="nil"/>
              <w:tr2bl w:val="nil"/>
            </w:tcBorders>
            <w:shd w:val="clear" w:color="auto" w:fill="auto"/>
            <w:noWrap w:val="0"/>
            <w:vAlign w:val="center"/>
          </w:tcPr>
          <w:p w14:paraId="701C5B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val="en-US" w:eastAsia="zh-CN"/>
              </w:rPr>
              <w:t>27.6</w:t>
            </w:r>
          </w:p>
        </w:tc>
        <w:tc>
          <w:tcPr>
            <w:tcW w:w="1510" w:type="pct"/>
            <w:tcBorders>
              <w:tl2br w:val="nil"/>
              <w:tr2bl w:val="nil"/>
            </w:tcBorders>
            <w:noWrap w:val="0"/>
            <w:vAlign w:val="center"/>
          </w:tcPr>
          <w:p w14:paraId="484DA6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27.6</w:t>
            </w:r>
          </w:p>
        </w:tc>
      </w:tr>
      <w:tr w14:paraId="025F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2198B9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rPr>
              <w:t>分裂间距</w:t>
            </w:r>
            <w:r>
              <w:rPr>
                <w:rFonts w:hint="default" w:ascii="Times New Roman" w:hAnsi="Times New Roman" w:eastAsia="宋体" w:cs="Times New Roman"/>
                <w:caps w:val="0"/>
                <w:color w:val="auto"/>
                <w:spacing w:val="0"/>
                <w:sz w:val="21"/>
                <w:szCs w:val="21"/>
                <w:highlight w:val="none"/>
                <w:lang w:eastAsia="zh-CN"/>
              </w:rPr>
              <w:t>（</w:t>
            </w:r>
            <w:r>
              <w:rPr>
                <w:rFonts w:hint="default" w:ascii="Times New Roman" w:hAnsi="Times New Roman" w:eastAsia="宋体" w:cs="Times New Roman"/>
                <w:caps w:val="0"/>
                <w:color w:val="auto"/>
                <w:spacing w:val="0"/>
                <w:sz w:val="21"/>
                <w:szCs w:val="21"/>
                <w:highlight w:val="none"/>
              </w:rPr>
              <w:t>mm</w:t>
            </w:r>
            <w:r>
              <w:rPr>
                <w:rFonts w:hint="default" w:ascii="Times New Roman" w:hAnsi="Times New Roman" w:eastAsia="宋体" w:cs="Times New Roman"/>
                <w:caps w:val="0"/>
                <w:color w:val="auto"/>
                <w:spacing w:val="0"/>
                <w:sz w:val="21"/>
                <w:szCs w:val="21"/>
                <w:highlight w:val="none"/>
                <w:lang w:eastAsia="zh-CN"/>
              </w:rPr>
              <w:t>）</w:t>
            </w:r>
          </w:p>
        </w:tc>
        <w:tc>
          <w:tcPr>
            <w:tcW w:w="1231" w:type="pct"/>
            <w:tcBorders>
              <w:tl2br w:val="nil"/>
              <w:tr2bl w:val="nil"/>
            </w:tcBorders>
            <w:noWrap w:val="0"/>
            <w:vAlign w:val="center"/>
          </w:tcPr>
          <w:p w14:paraId="089BF6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双分裂，500mm</w:t>
            </w:r>
          </w:p>
        </w:tc>
        <w:tc>
          <w:tcPr>
            <w:tcW w:w="1503" w:type="pct"/>
            <w:tcBorders>
              <w:tl2br w:val="nil"/>
              <w:tr2bl w:val="nil"/>
            </w:tcBorders>
            <w:shd w:val="clear" w:color="auto" w:fill="auto"/>
            <w:noWrap w:val="0"/>
            <w:vAlign w:val="center"/>
          </w:tcPr>
          <w:p w14:paraId="63C555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val="en-US" w:eastAsia="zh-CN"/>
              </w:rPr>
              <w:t>双分裂，500mm</w:t>
            </w:r>
          </w:p>
        </w:tc>
        <w:tc>
          <w:tcPr>
            <w:tcW w:w="1510" w:type="pct"/>
            <w:tcBorders>
              <w:tl2br w:val="nil"/>
              <w:tr2bl w:val="nil"/>
            </w:tcBorders>
            <w:noWrap w:val="0"/>
            <w:vAlign w:val="center"/>
          </w:tcPr>
          <w:p w14:paraId="05A8B8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双分裂，500mm</w:t>
            </w:r>
          </w:p>
        </w:tc>
      </w:tr>
      <w:tr w14:paraId="6266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7E7E44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导线电压等级</w:t>
            </w:r>
          </w:p>
        </w:tc>
        <w:tc>
          <w:tcPr>
            <w:tcW w:w="1231" w:type="pct"/>
            <w:tcBorders>
              <w:tl2br w:val="nil"/>
              <w:tr2bl w:val="nil"/>
            </w:tcBorders>
            <w:noWrap w:val="0"/>
            <w:vAlign w:val="center"/>
          </w:tcPr>
          <w:p w14:paraId="1BABDE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220kV</w:t>
            </w:r>
          </w:p>
        </w:tc>
        <w:tc>
          <w:tcPr>
            <w:tcW w:w="1503" w:type="pct"/>
            <w:tcBorders>
              <w:tl2br w:val="nil"/>
              <w:tr2bl w:val="nil"/>
            </w:tcBorders>
            <w:shd w:val="clear" w:color="auto" w:fill="auto"/>
            <w:noWrap w:val="0"/>
            <w:vAlign w:val="center"/>
          </w:tcPr>
          <w:p w14:paraId="163F6A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val="en-US" w:eastAsia="zh-CN"/>
              </w:rPr>
              <w:t>220kV</w:t>
            </w:r>
          </w:p>
        </w:tc>
        <w:tc>
          <w:tcPr>
            <w:tcW w:w="1510" w:type="pct"/>
            <w:tcBorders>
              <w:tl2br w:val="nil"/>
              <w:tr2bl w:val="nil"/>
            </w:tcBorders>
            <w:noWrap w:val="0"/>
            <w:vAlign w:val="center"/>
          </w:tcPr>
          <w:p w14:paraId="4EEEBB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220kV</w:t>
            </w:r>
          </w:p>
        </w:tc>
      </w:tr>
      <w:tr w14:paraId="5A93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7963F1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预测电压</w:t>
            </w:r>
          </w:p>
        </w:tc>
        <w:tc>
          <w:tcPr>
            <w:tcW w:w="1231" w:type="pct"/>
            <w:tcBorders>
              <w:tl2br w:val="nil"/>
              <w:tr2bl w:val="nil"/>
            </w:tcBorders>
            <w:noWrap w:val="0"/>
            <w:vAlign w:val="center"/>
          </w:tcPr>
          <w:p w14:paraId="00234E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231</w:t>
            </w:r>
            <w:r>
              <w:rPr>
                <w:rFonts w:hint="default" w:ascii="Times New Roman" w:hAnsi="Times New Roman" w:eastAsia="宋体" w:cs="Times New Roman"/>
                <w:caps w:val="0"/>
                <w:color w:val="auto"/>
                <w:spacing w:val="0"/>
                <w:sz w:val="21"/>
                <w:szCs w:val="21"/>
                <w:highlight w:val="none"/>
              </w:rPr>
              <w:t>kV（按照</w:t>
            </w:r>
            <w:r>
              <w:rPr>
                <w:rFonts w:hint="eastAsia" w:ascii="Times New Roman" w:hAnsi="Times New Roman" w:cs="Times New Roman"/>
                <w:caps w:val="0"/>
                <w:color w:val="auto"/>
                <w:spacing w:val="0"/>
                <w:sz w:val="21"/>
                <w:szCs w:val="21"/>
                <w:highlight w:val="none"/>
                <w:lang w:val="en-US" w:eastAsia="zh-CN"/>
              </w:rPr>
              <w:t>22</w:t>
            </w:r>
            <w:r>
              <w:rPr>
                <w:rFonts w:hint="default" w:ascii="Times New Roman" w:hAnsi="Times New Roman" w:eastAsia="宋体" w:cs="Times New Roman"/>
                <w:caps w:val="0"/>
                <w:color w:val="auto"/>
                <w:spacing w:val="0"/>
                <w:sz w:val="21"/>
                <w:szCs w:val="21"/>
                <w:highlight w:val="none"/>
                <w:lang w:val="en-US" w:eastAsia="zh-CN"/>
              </w:rPr>
              <w:t>0</w:t>
            </w:r>
            <w:r>
              <w:rPr>
                <w:rFonts w:hint="default" w:ascii="Times New Roman" w:hAnsi="Times New Roman" w:eastAsia="宋体" w:cs="Times New Roman"/>
                <w:caps w:val="0"/>
                <w:color w:val="auto"/>
                <w:spacing w:val="0"/>
                <w:sz w:val="21"/>
                <w:szCs w:val="21"/>
                <w:highlight w:val="none"/>
              </w:rPr>
              <w:t>kV增加5%考虑）</w:t>
            </w:r>
          </w:p>
        </w:tc>
        <w:tc>
          <w:tcPr>
            <w:tcW w:w="1503" w:type="pct"/>
            <w:tcBorders>
              <w:tl2br w:val="nil"/>
              <w:tr2bl w:val="nil"/>
            </w:tcBorders>
            <w:shd w:val="clear" w:color="auto" w:fill="auto"/>
            <w:noWrap w:val="0"/>
            <w:vAlign w:val="center"/>
          </w:tcPr>
          <w:p w14:paraId="217F89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val="en-US" w:eastAsia="zh-CN"/>
              </w:rPr>
              <w:t>231</w:t>
            </w:r>
            <w:r>
              <w:rPr>
                <w:rFonts w:hint="default" w:ascii="Times New Roman" w:hAnsi="Times New Roman" w:eastAsia="宋体" w:cs="Times New Roman"/>
                <w:caps w:val="0"/>
                <w:color w:val="auto"/>
                <w:spacing w:val="0"/>
                <w:sz w:val="21"/>
                <w:szCs w:val="21"/>
                <w:highlight w:val="none"/>
              </w:rPr>
              <w:t>kV（按照</w:t>
            </w:r>
            <w:r>
              <w:rPr>
                <w:rFonts w:hint="eastAsia" w:ascii="Times New Roman" w:hAnsi="Times New Roman" w:cs="Times New Roman"/>
                <w:caps w:val="0"/>
                <w:color w:val="auto"/>
                <w:spacing w:val="0"/>
                <w:sz w:val="21"/>
                <w:szCs w:val="21"/>
                <w:highlight w:val="none"/>
                <w:lang w:val="en-US" w:eastAsia="zh-CN"/>
              </w:rPr>
              <w:t>22</w:t>
            </w:r>
            <w:r>
              <w:rPr>
                <w:rFonts w:hint="default" w:ascii="Times New Roman" w:hAnsi="Times New Roman" w:eastAsia="宋体" w:cs="Times New Roman"/>
                <w:caps w:val="0"/>
                <w:color w:val="auto"/>
                <w:spacing w:val="0"/>
                <w:sz w:val="21"/>
                <w:szCs w:val="21"/>
                <w:highlight w:val="none"/>
                <w:lang w:val="en-US" w:eastAsia="zh-CN"/>
              </w:rPr>
              <w:t>0</w:t>
            </w:r>
            <w:r>
              <w:rPr>
                <w:rFonts w:hint="default" w:ascii="Times New Roman" w:hAnsi="Times New Roman" w:eastAsia="宋体" w:cs="Times New Roman"/>
                <w:caps w:val="0"/>
                <w:color w:val="auto"/>
                <w:spacing w:val="0"/>
                <w:sz w:val="21"/>
                <w:szCs w:val="21"/>
                <w:highlight w:val="none"/>
              </w:rPr>
              <w:t>kV增加5%考虑）</w:t>
            </w:r>
          </w:p>
        </w:tc>
        <w:tc>
          <w:tcPr>
            <w:tcW w:w="1510" w:type="pct"/>
            <w:tcBorders>
              <w:tl2br w:val="nil"/>
              <w:tr2bl w:val="nil"/>
            </w:tcBorders>
            <w:noWrap w:val="0"/>
            <w:vAlign w:val="center"/>
          </w:tcPr>
          <w:p w14:paraId="1D9504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231</w:t>
            </w:r>
            <w:r>
              <w:rPr>
                <w:rFonts w:hint="default" w:ascii="Times New Roman" w:hAnsi="Times New Roman" w:eastAsia="宋体" w:cs="Times New Roman"/>
                <w:caps w:val="0"/>
                <w:color w:val="auto"/>
                <w:spacing w:val="0"/>
                <w:sz w:val="21"/>
                <w:szCs w:val="21"/>
                <w:highlight w:val="none"/>
              </w:rPr>
              <w:t>kV（按照</w:t>
            </w:r>
            <w:r>
              <w:rPr>
                <w:rFonts w:hint="eastAsia" w:ascii="Times New Roman" w:hAnsi="Times New Roman" w:cs="Times New Roman"/>
                <w:caps w:val="0"/>
                <w:color w:val="auto"/>
                <w:spacing w:val="0"/>
                <w:sz w:val="21"/>
                <w:szCs w:val="21"/>
                <w:highlight w:val="none"/>
                <w:lang w:val="en-US" w:eastAsia="zh-CN"/>
              </w:rPr>
              <w:t>22</w:t>
            </w:r>
            <w:r>
              <w:rPr>
                <w:rFonts w:hint="default" w:ascii="Times New Roman" w:hAnsi="Times New Roman" w:eastAsia="宋体" w:cs="Times New Roman"/>
                <w:caps w:val="0"/>
                <w:color w:val="auto"/>
                <w:spacing w:val="0"/>
                <w:sz w:val="21"/>
                <w:szCs w:val="21"/>
                <w:highlight w:val="none"/>
                <w:lang w:val="en-US" w:eastAsia="zh-CN"/>
              </w:rPr>
              <w:t>0</w:t>
            </w:r>
            <w:r>
              <w:rPr>
                <w:rFonts w:hint="default" w:ascii="Times New Roman" w:hAnsi="Times New Roman" w:eastAsia="宋体" w:cs="Times New Roman"/>
                <w:caps w:val="0"/>
                <w:color w:val="auto"/>
                <w:spacing w:val="0"/>
                <w:sz w:val="21"/>
                <w:szCs w:val="21"/>
                <w:highlight w:val="none"/>
              </w:rPr>
              <w:t>kV增加5%考虑）</w:t>
            </w:r>
          </w:p>
        </w:tc>
      </w:tr>
      <w:tr w14:paraId="13C5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703537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导线电流（A）</w:t>
            </w:r>
          </w:p>
        </w:tc>
        <w:tc>
          <w:tcPr>
            <w:tcW w:w="4245" w:type="pct"/>
            <w:gridSpan w:val="3"/>
            <w:tcBorders>
              <w:tl2br w:val="nil"/>
              <w:tr2bl w:val="nil"/>
            </w:tcBorders>
            <w:noWrap w:val="0"/>
            <w:vAlign w:val="center"/>
          </w:tcPr>
          <w:p w14:paraId="7D6188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本项目220kV额定电流为1320A；</w:t>
            </w:r>
          </w:p>
        </w:tc>
      </w:tr>
      <w:tr w14:paraId="3D42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4" w:type="pct"/>
            <w:gridSpan w:val="3"/>
            <w:tcBorders>
              <w:tl2br w:val="nil"/>
              <w:tr2bl w:val="nil"/>
            </w:tcBorders>
            <w:noWrap w:val="0"/>
            <w:vAlign w:val="center"/>
          </w:tcPr>
          <w:p w14:paraId="50177D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预测导线最低对地距离</w:t>
            </w:r>
            <w:r>
              <w:rPr>
                <w:rFonts w:hint="default" w:ascii="Times New Roman" w:hAnsi="Times New Roman" w:eastAsia="宋体" w:cs="Times New Roman"/>
                <w:caps w:val="0"/>
                <w:color w:val="auto"/>
                <w:spacing w:val="0"/>
                <w:sz w:val="21"/>
                <w:szCs w:val="21"/>
                <w:highlight w:val="none"/>
                <w:lang w:val="en-US" w:eastAsia="zh-CN"/>
              </w:rPr>
              <w:t>h</w:t>
            </w:r>
            <w:r>
              <w:rPr>
                <w:rFonts w:hint="default" w:ascii="Times New Roman" w:hAnsi="Times New Roman" w:eastAsia="宋体" w:cs="Times New Roman"/>
                <w:caps w:val="0"/>
                <w:color w:val="auto"/>
                <w:spacing w:val="0"/>
                <w:sz w:val="21"/>
                <w:szCs w:val="21"/>
                <w:highlight w:val="none"/>
              </w:rPr>
              <w:t>（m）</w:t>
            </w:r>
          </w:p>
        </w:tc>
        <w:tc>
          <w:tcPr>
            <w:tcW w:w="1231" w:type="pct"/>
            <w:tcBorders>
              <w:tl2br w:val="nil"/>
              <w:tr2bl w:val="nil"/>
            </w:tcBorders>
            <w:noWrap w:val="0"/>
            <w:vAlign w:val="center"/>
          </w:tcPr>
          <w:p w14:paraId="4A41BE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非居民区</w:t>
            </w:r>
            <w:r>
              <w:rPr>
                <w:rFonts w:hint="default" w:ascii="Times New Roman" w:hAnsi="Times New Roman" w:eastAsia="宋体" w:cs="Times New Roman"/>
                <w:caps w:val="0"/>
                <w:color w:val="auto"/>
                <w:spacing w:val="0"/>
                <w:sz w:val="21"/>
                <w:szCs w:val="21"/>
                <w:highlight w:val="none"/>
                <w:lang w:val="en-US" w:eastAsia="zh-CN"/>
              </w:rPr>
              <w:t>6.5m、居民区7.5m、设计导线最低高度13.8m（根据线路沿线导线最低距地高度处的平断面图，导线最低距地高度为13.8m）；</w:t>
            </w:r>
          </w:p>
        </w:tc>
        <w:tc>
          <w:tcPr>
            <w:tcW w:w="1503" w:type="pct"/>
            <w:tcBorders>
              <w:tl2br w:val="nil"/>
              <w:tr2bl w:val="nil"/>
            </w:tcBorders>
            <w:noWrap w:val="0"/>
            <w:vAlign w:val="center"/>
          </w:tcPr>
          <w:p w14:paraId="611593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非居民区</w:t>
            </w:r>
            <w:r>
              <w:rPr>
                <w:rFonts w:hint="default" w:ascii="Times New Roman" w:hAnsi="Times New Roman" w:eastAsia="宋体" w:cs="Times New Roman"/>
                <w:caps w:val="0"/>
                <w:color w:val="auto"/>
                <w:spacing w:val="0"/>
                <w:sz w:val="21"/>
                <w:szCs w:val="21"/>
                <w:highlight w:val="none"/>
                <w:lang w:val="en-US" w:eastAsia="zh-CN"/>
              </w:rPr>
              <w:t>6.5m、居民区7.5m、设计导线最低高度13.8m（根据线路沿线导线最低距地高度处的平断面图，导线最低距地高度为13.8m）；</w:t>
            </w:r>
          </w:p>
        </w:tc>
        <w:tc>
          <w:tcPr>
            <w:tcW w:w="1510" w:type="pct"/>
            <w:tcBorders>
              <w:tl2br w:val="nil"/>
              <w:tr2bl w:val="nil"/>
            </w:tcBorders>
            <w:noWrap w:val="0"/>
            <w:vAlign w:val="center"/>
          </w:tcPr>
          <w:p w14:paraId="772FD5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eastAsia="zh-CN"/>
              </w:rPr>
              <w:t>非居民区</w:t>
            </w:r>
            <w:r>
              <w:rPr>
                <w:rFonts w:hint="default" w:ascii="Times New Roman" w:hAnsi="Times New Roman" w:eastAsia="宋体" w:cs="Times New Roman"/>
                <w:caps w:val="0"/>
                <w:color w:val="auto"/>
                <w:spacing w:val="0"/>
                <w:sz w:val="21"/>
                <w:szCs w:val="21"/>
                <w:highlight w:val="none"/>
                <w:lang w:val="en-US" w:eastAsia="zh-CN"/>
              </w:rPr>
              <w:t>6.5m、设计导线最低高度14.5m（根据线路沿线导线最低距地高度处的平断面图，导线最低距地高度为14.5m）；</w:t>
            </w:r>
          </w:p>
          <w:p w14:paraId="4FE6052E">
            <w:pPr>
              <w:pStyle w:val="2"/>
              <w:keepNext w:val="0"/>
              <w:keepLines w:val="0"/>
              <w:pageBreakBefore w:val="0"/>
              <w:widowControl w:val="0"/>
              <w:kinsoku/>
              <w:wordWrap/>
              <w:overflowPunct/>
              <w:topLinePunct w:val="0"/>
              <w:autoSpaceDE/>
              <w:autoSpaceDN/>
              <w:bidi w:val="0"/>
              <w:adjustRightInd w:val="0"/>
              <w:snapToGrid w:val="0"/>
              <w:spacing w:after="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lang w:val="en-US" w:eastAsia="zh-CN"/>
              </w:rPr>
              <w:t>注：本项目220kV双回线路（单侧挂线）段位于500kV乐业变侧，属于非居民区，故本次预测不考虑居民区7.5m高度；</w:t>
            </w:r>
          </w:p>
        </w:tc>
      </w:tr>
      <w:tr w14:paraId="400A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 w:type="pct"/>
            <w:vMerge w:val="restart"/>
            <w:tcBorders>
              <w:tl2br w:val="nil"/>
              <w:tr2bl w:val="nil"/>
            </w:tcBorders>
            <w:noWrap w:val="0"/>
            <w:vAlign w:val="center"/>
          </w:tcPr>
          <w:p w14:paraId="7D14DC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预测参数</w:t>
            </w:r>
          </w:p>
        </w:tc>
        <w:tc>
          <w:tcPr>
            <w:tcW w:w="587" w:type="pct"/>
            <w:gridSpan w:val="2"/>
            <w:tcBorders>
              <w:tl2br w:val="nil"/>
              <w:tr2bl w:val="nil"/>
            </w:tcBorders>
            <w:noWrap w:val="0"/>
            <w:vAlign w:val="center"/>
          </w:tcPr>
          <w:p w14:paraId="5C0A9E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rPr>
              <w:t>导线排列方式</w:t>
            </w:r>
          </w:p>
        </w:tc>
        <w:tc>
          <w:tcPr>
            <w:tcW w:w="1231" w:type="pct"/>
            <w:tcBorders>
              <w:tl2br w:val="nil"/>
              <w:tr2bl w:val="nil"/>
            </w:tcBorders>
            <w:noWrap w:val="0"/>
            <w:vAlign w:val="center"/>
          </w:tcPr>
          <w:p w14:paraId="7EB9D1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eastAsia="zh-CN"/>
              </w:rPr>
            </w:pP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val="en-US" w:eastAsia="zh-CN"/>
              </w:rPr>
              <w:t xml:space="preserve"> </w:t>
            </w:r>
          </w:p>
          <w:p w14:paraId="3D6668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 xml:space="preserve"> C</w:t>
            </w:r>
          </w:p>
        </w:tc>
        <w:tc>
          <w:tcPr>
            <w:tcW w:w="1503" w:type="pct"/>
            <w:tcBorders>
              <w:tl2br w:val="nil"/>
              <w:tr2bl w:val="nil"/>
            </w:tcBorders>
            <w:noWrap w:val="0"/>
            <w:vAlign w:val="center"/>
          </w:tcPr>
          <w:p w14:paraId="218586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 xml:space="preserve"> C</w:t>
            </w:r>
          </w:p>
        </w:tc>
        <w:tc>
          <w:tcPr>
            <w:tcW w:w="1510" w:type="pct"/>
            <w:tcBorders>
              <w:tl2br w:val="nil"/>
              <w:tr2bl w:val="nil"/>
            </w:tcBorders>
            <w:noWrap w:val="0"/>
            <w:vAlign w:val="center"/>
          </w:tcPr>
          <w:p w14:paraId="24EC8D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 xml:space="preserve"> </w:t>
            </w:r>
          </w:p>
          <w:p w14:paraId="087F2D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C</w:t>
            </w:r>
          </w:p>
          <w:p w14:paraId="4AAEE9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 xml:space="preserve">  </w:t>
            </w:r>
          </w:p>
        </w:tc>
      </w:tr>
      <w:tr w14:paraId="3EF0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 w:type="pct"/>
            <w:vMerge w:val="continue"/>
            <w:tcBorders>
              <w:tl2br w:val="nil"/>
              <w:tr2bl w:val="nil"/>
            </w:tcBorders>
            <w:noWrap w:val="0"/>
            <w:vAlign w:val="center"/>
          </w:tcPr>
          <w:p w14:paraId="57756D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p>
        </w:tc>
        <w:tc>
          <w:tcPr>
            <w:tcW w:w="231" w:type="pct"/>
            <w:vMerge w:val="restart"/>
            <w:tcBorders>
              <w:tl2br w:val="nil"/>
              <w:tr2bl w:val="nil"/>
            </w:tcBorders>
            <w:noWrap w:val="0"/>
            <w:vAlign w:val="center"/>
          </w:tcPr>
          <w:p w14:paraId="50EB83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eastAsia="zh-CN"/>
              </w:rPr>
              <w:t>工频电场强度</w:t>
            </w:r>
            <w:r>
              <w:rPr>
                <w:rFonts w:hint="default" w:ascii="Times New Roman" w:hAnsi="Times New Roman" w:eastAsia="宋体" w:cs="Times New Roman"/>
                <w:caps w:val="0"/>
                <w:color w:val="auto"/>
                <w:spacing w:val="0"/>
                <w:sz w:val="21"/>
                <w:szCs w:val="21"/>
                <w:highlight w:val="none"/>
                <w:lang w:val="en-US" w:eastAsia="zh-CN"/>
              </w:rPr>
              <w:t>、</w:t>
            </w:r>
            <w:r>
              <w:rPr>
                <w:rFonts w:hint="default" w:ascii="Times New Roman" w:hAnsi="Times New Roman" w:eastAsia="宋体" w:cs="Times New Roman"/>
                <w:caps w:val="0"/>
                <w:color w:val="auto"/>
                <w:spacing w:val="0"/>
                <w:sz w:val="21"/>
                <w:szCs w:val="21"/>
                <w:highlight w:val="none"/>
                <w:lang w:eastAsia="zh-CN"/>
              </w:rPr>
              <w:t>工频磁感应强度</w:t>
            </w:r>
          </w:p>
        </w:tc>
        <w:tc>
          <w:tcPr>
            <w:tcW w:w="355" w:type="pct"/>
            <w:tcBorders>
              <w:tl2br w:val="nil"/>
              <w:tr2bl w:val="nil"/>
            </w:tcBorders>
            <w:noWrap w:val="0"/>
            <w:vAlign w:val="center"/>
          </w:tcPr>
          <w:p w14:paraId="1F380C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预测塔型</w:t>
            </w:r>
            <w:r>
              <w:rPr>
                <w:rFonts w:hint="default" w:ascii="Times New Roman" w:hAnsi="Times New Roman" w:eastAsia="宋体" w:cs="Times New Roman"/>
                <w:caps w:val="0"/>
                <w:color w:val="auto"/>
                <w:spacing w:val="0"/>
                <w:sz w:val="21"/>
                <w:szCs w:val="21"/>
                <w:highlight w:val="none"/>
              </w:rPr>
              <w:t>各点坐标（m</w:t>
            </w:r>
            <w:r>
              <w:rPr>
                <w:rFonts w:hint="default" w:ascii="Times New Roman" w:hAnsi="Times New Roman" w:eastAsia="宋体" w:cs="Times New Roman"/>
                <w:caps w:val="0"/>
                <w:color w:val="auto"/>
                <w:spacing w:val="0"/>
                <w:sz w:val="21"/>
                <w:szCs w:val="21"/>
                <w:highlight w:val="none"/>
                <w:lang w:eastAsia="zh-CN"/>
              </w:rPr>
              <w:t>）</w:t>
            </w:r>
          </w:p>
        </w:tc>
        <w:tc>
          <w:tcPr>
            <w:tcW w:w="1231" w:type="pct"/>
            <w:tcBorders>
              <w:tl2br w:val="nil"/>
              <w:tr2bl w:val="nil"/>
            </w:tcBorders>
            <w:noWrap w:val="0"/>
            <w:vAlign w:val="center"/>
          </w:tcPr>
          <w:p w14:paraId="4DD8F9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B（0</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4.5+h)</w:t>
            </w:r>
          </w:p>
          <w:p w14:paraId="5BB203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8.3，h</w:t>
            </w:r>
            <w:r>
              <w:rPr>
                <w:rFonts w:hint="default" w:ascii="Times New Roman" w:hAnsi="Times New Roman" w:eastAsia="宋体" w:cs="Times New Roman"/>
                <w:caps w:val="0"/>
                <w:color w:val="auto"/>
                <w:spacing w:val="0"/>
                <w:sz w:val="21"/>
                <w:szCs w:val="21"/>
              </w:rPr>
              <w:t xml:space="preserve">） </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C（</w:t>
            </w:r>
            <w:r>
              <w:rPr>
                <w:rFonts w:hint="default" w:ascii="Times New Roman" w:hAnsi="Times New Roman" w:eastAsia="宋体" w:cs="Times New Roman"/>
                <w:caps w:val="0"/>
                <w:color w:val="auto"/>
                <w:spacing w:val="0"/>
                <w:sz w:val="21"/>
                <w:szCs w:val="21"/>
                <w:lang w:val="en-US" w:eastAsia="zh-CN"/>
              </w:rPr>
              <w:t>6.8，h</w:t>
            </w:r>
            <w:r>
              <w:rPr>
                <w:rFonts w:hint="default" w:ascii="Times New Roman" w:hAnsi="Times New Roman" w:eastAsia="宋体" w:cs="Times New Roman"/>
                <w:caps w:val="0"/>
                <w:color w:val="auto"/>
                <w:spacing w:val="0"/>
                <w:sz w:val="21"/>
                <w:szCs w:val="21"/>
              </w:rPr>
              <w:t>）</w:t>
            </w:r>
          </w:p>
        </w:tc>
        <w:tc>
          <w:tcPr>
            <w:tcW w:w="1503" w:type="pct"/>
            <w:tcBorders>
              <w:tl2br w:val="nil"/>
              <w:tr2bl w:val="nil"/>
            </w:tcBorders>
            <w:noWrap w:val="0"/>
            <w:vAlign w:val="center"/>
          </w:tcPr>
          <w:p w14:paraId="670BB4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10.215，h</w:t>
            </w:r>
            <w:r>
              <w:rPr>
                <w:rFonts w:hint="default" w:ascii="Times New Roman" w:hAnsi="Times New Roman" w:eastAsia="宋体" w:cs="Times New Roman"/>
                <w:caps w:val="0"/>
                <w:color w:val="auto"/>
                <w:spacing w:val="0"/>
                <w:sz w:val="21"/>
                <w:szCs w:val="21"/>
              </w:rPr>
              <w:t>） B（0</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 xml:space="preserve">h)  </w:t>
            </w:r>
            <w:r>
              <w:rPr>
                <w:rFonts w:hint="default" w:ascii="Times New Roman" w:hAnsi="Times New Roman" w:eastAsia="宋体" w:cs="Times New Roman"/>
                <w:caps w:val="0"/>
                <w:color w:val="auto"/>
                <w:spacing w:val="0"/>
                <w:sz w:val="21"/>
                <w:szCs w:val="21"/>
              </w:rPr>
              <w:t>C（</w:t>
            </w:r>
            <w:r>
              <w:rPr>
                <w:rFonts w:hint="default" w:ascii="Times New Roman" w:hAnsi="Times New Roman" w:eastAsia="宋体" w:cs="Times New Roman"/>
                <w:caps w:val="0"/>
                <w:color w:val="auto"/>
                <w:spacing w:val="0"/>
                <w:sz w:val="21"/>
                <w:szCs w:val="21"/>
                <w:lang w:val="en-US" w:eastAsia="zh-CN"/>
              </w:rPr>
              <w:t>10.215，h</w:t>
            </w:r>
            <w:r>
              <w:rPr>
                <w:rFonts w:hint="default" w:ascii="Times New Roman" w:hAnsi="Times New Roman" w:eastAsia="宋体" w:cs="Times New Roman"/>
                <w:caps w:val="0"/>
                <w:color w:val="auto"/>
                <w:spacing w:val="0"/>
                <w:sz w:val="21"/>
                <w:szCs w:val="21"/>
              </w:rPr>
              <w:t>）</w:t>
            </w:r>
          </w:p>
        </w:tc>
        <w:tc>
          <w:tcPr>
            <w:tcW w:w="1510" w:type="pct"/>
            <w:tcBorders>
              <w:tl2br w:val="nil"/>
              <w:tr2bl w:val="nil"/>
            </w:tcBorders>
            <w:noWrap w:val="0"/>
            <w:vAlign w:val="center"/>
          </w:tcPr>
          <w:p w14:paraId="630E41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B</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7.5，h+13.6</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 xml:space="preserve"> </w:t>
            </w:r>
          </w:p>
          <w:p w14:paraId="24FB4B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lang w:val="en-US" w:eastAsia="zh-CN"/>
              </w:rPr>
              <w:t>C</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-10</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h+6.6</w:t>
            </w:r>
            <w:r>
              <w:rPr>
                <w:rFonts w:hint="default" w:ascii="Times New Roman" w:hAnsi="Times New Roman" w:eastAsia="宋体" w:cs="Times New Roman"/>
                <w:caps w:val="0"/>
                <w:color w:val="auto"/>
                <w:spacing w:val="0"/>
                <w:sz w:val="21"/>
                <w:szCs w:val="21"/>
              </w:rPr>
              <w:t xml:space="preserve">） </w:t>
            </w:r>
          </w:p>
          <w:p w14:paraId="4F71C0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lang w:val="en-US" w:eastAsia="zh-CN"/>
              </w:rPr>
              <w:t>A</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-8，h</w:t>
            </w:r>
            <w:r>
              <w:rPr>
                <w:rFonts w:hint="default" w:ascii="Times New Roman" w:hAnsi="Times New Roman" w:eastAsia="宋体" w:cs="Times New Roman"/>
                <w:caps w:val="0"/>
                <w:color w:val="auto"/>
                <w:spacing w:val="0"/>
                <w:sz w:val="21"/>
                <w:szCs w:val="21"/>
              </w:rPr>
              <w:t>）</w:t>
            </w:r>
          </w:p>
        </w:tc>
      </w:tr>
      <w:tr w14:paraId="325D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 w:type="pct"/>
            <w:vMerge w:val="continue"/>
            <w:tcBorders>
              <w:tl2br w:val="nil"/>
              <w:tr2bl w:val="nil"/>
            </w:tcBorders>
            <w:noWrap w:val="0"/>
            <w:vAlign w:val="center"/>
          </w:tcPr>
          <w:p w14:paraId="699B81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p>
        </w:tc>
        <w:tc>
          <w:tcPr>
            <w:tcW w:w="231" w:type="pct"/>
            <w:vMerge w:val="continue"/>
            <w:tcBorders>
              <w:tl2br w:val="nil"/>
              <w:tr2bl w:val="nil"/>
            </w:tcBorders>
            <w:noWrap w:val="0"/>
            <w:vAlign w:val="center"/>
          </w:tcPr>
          <w:p w14:paraId="4BDD74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355" w:type="pct"/>
            <w:tcBorders>
              <w:tl2br w:val="nil"/>
              <w:tr2bl w:val="nil"/>
            </w:tcBorders>
            <w:noWrap w:val="0"/>
            <w:vAlign w:val="center"/>
          </w:tcPr>
          <w:p w14:paraId="74F2AB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lang w:val="en-US" w:eastAsia="zh-CN" w:bidi="ar-SA"/>
              </w:rPr>
            </w:pPr>
            <w:r>
              <w:rPr>
                <w:rFonts w:hint="default" w:ascii="Times New Roman" w:hAnsi="Times New Roman" w:eastAsia="宋体" w:cs="Times New Roman"/>
                <w:caps w:val="0"/>
                <w:color w:val="auto"/>
                <w:spacing w:val="0"/>
                <w:sz w:val="21"/>
                <w:szCs w:val="21"/>
              </w:rPr>
              <w:t>导线垂直间距</w:t>
            </w:r>
          </w:p>
        </w:tc>
        <w:tc>
          <w:tcPr>
            <w:tcW w:w="1231" w:type="pct"/>
            <w:tcBorders>
              <w:tl2br w:val="nil"/>
              <w:tr2bl w:val="nil"/>
            </w:tcBorders>
            <w:noWrap w:val="0"/>
            <w:vAlign w:val="center"/>
          </w:tcPr>
          <w:p w14:paraId="787F3F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4.5</w:t>
            </w:r>
            <w:r>
              <w:rPr>
                <w:rFonts w:hint="default" w:ascii="Times New Roman" w:hAnsi="Times New Roman" w:eastAsia="宋体" w:cs="Times New Roman"/>
                <w:caps w:val="0"/>
                <w:color w:val="auto"/>
                <w:spacing w:val="0"/>
                <w:sz w:val="21"/>
                <w:szCs w:val="21"/>
                <w:highlight w:val="none"/>
              </w:rPr>
              <w:t>m</w:t>
            </w:r>
          </w:p>
        </w:tc>
        <w:tc>
          <w:tcPr>
            <w:tcW w:w="1503" w:type="pct"/>
            <w:tcBorders>
              <w:tl2br w:val="nil"/>
              <w:tr2bl w:val="nil"/>
            </w:tcBorders>
            <w:noWrap w:val="0"/>
            <w:vAlign w:val="center"/>
          </w:tcPr>
          <w:p w14:paraId="27A396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0m</w:t>
            </w:r>
          </w:p>
        </w:tc>
        <w:tc>
          <w:tcPr>
            <w:tcW w:w="1510" w:type="pct"/>
            <w:tcBorders>
              <w:tl2br w:val="nil"/>
              <w:tr2bl w:val="nil"/>
            </w:tcBorders>
            <w:noWrap w:val="0"/>
            <w:vAlign w:val="center"/>
          </w:tcPr>
          <w:p w14:paraId="13EE46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6.6m/7m</w:t>
            </w:r>
          </w:p>
        </w:tc>
      </w:tr>
      <w:tr w14:paraId="21E6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 w:type="pct"/>
            <w:vMerge w:val="continue"/>
            <w:tcBorders>
              <w:tl2br w:val="nil"/>
              <w:tr2bl w:val="nil"/>
            </w:tcBorders>
            <w:noWrap w:val="0"/>
            <w:vAlign w:val="center"/>
          </w:tcPr>
          <w:p w14:paraId="5D832B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p>
        </w:tc>
        <w:tc>
          <w:tcPr>
            <w:tcW w:w="231" w:type="pct"/>
            <w:vMerge w:val="continue"/>
            <w:tcBorders>
              <w:tl2br w:val="nil"/>
              <w:tr2bl w:val="nil"/>
            </w:tcBorders>
            <w:noWrap w:val="0"/>
            <w:vAlign w:val="center"/>
          </w:tcPr>
          <w:p w14:paraId="5A6B1A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355" w:type="pct"/>
            <w:tcBorders>
              <w:tl2br w:val="nil"/>
              <w:tr2bl w:val="nil"/>
            </w:tcBorders>
            <w:noWrap w:val="0"/>
            <w:vAlign w:val="center"/>
          </w:tcPr>
          <w:p w14:paraId="4CD424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kern w:val="2"/>
                <w:sz w:val="21"/>
                <w:szCs w:val="21"/>
                <w:lang w:val="en-US" w:eastAsia="zh-CN" w:bidi="ar-SA"/>
              </w:rPr>
            </w:pPr>
            <w:r>
              <w:rPr>
                <w:rFonts w:hint="default" w:ascii="Times New Roman" w:hAnsi="Times New Roman" w:eastAsia="宋体" w:cs="Times New Roman"/>
                <w:caps w:val="0"/>
                <w:color w:val="auto"/>
                <w:spacing w:val="0"/>
                <w:sz w:val="21"/>
                <w:szCs w:val="21"/>
              </w:rPr>
              <w:t>导线水平间距</w:t>
            </w:r>
          </w:p>
        </w:tc>
        <w:tc>
          <w:tcPr>
            <w:tcW w:w="1231" w:type="pct"/>
            <w:tcBorders>
              <w:tl2br w:val="nil"/>
              <w:tr2bl w:val="nil"/>
            </w:tcBorders>
            <w:noWrap w:val="0"/>
            <w:vAlign w:val="center"/>
          </w:tcPr>
          <w:p w14:paraId="3CE04F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highlight w:val="none"/>
                <w:lang w:val="en-US" w:eastAsia="zh-CN"/>
              </w:rPr>
              <w:t>15.1</w:t>
            </w:r>
            <w:r>
              <w:rPr>
                <w:rFonts w:hint="default" w:ascii="Times New Roman" w:hAnsi="Times New Roman" w:eastAsia="宋体" w:cs="Times New Roman"/>
                <w:caps w:val="0"/>
                <w:color w:val="auto"/>
                <w:spacing w:val="0"/>
                <w:sz w:val="21"/>
                <w:szCs w:val="21"/>
                <w:highlight w:val="none"/>
              </w:rPr>
              <w:t>m</w:t>
            </w:r>
          </w:p>
        </w:tc>
        <w:tc>
          <w:tcPr>
            <w:tcW w:w="1503" w:type="pct"/>
            <w:tcBorders>
              <w:tl2br w:val="nil"/>
              <w:tr2bl w:val="nil"/>
            </w:tcBorders>
            <w:noWrap w:val="0"/>
            <w:vAlign w:val="center"/>
          </w:tcPr>
          <w:p w14:paraId="62A9DE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20.43m</w:t>
            </w:r>
          </w:p>
        </w:tc>
        <w:tc>
          <w:tcPr>
            <w:tcW w:w="1510" w:type="pct"/>
            <w:tcBorders>
              <w:tl2br w:val="nil"/>
              <w:tr2bl w:val="nil"/>
            </w:tcBorders>
            <w:noWrap w:val="0"/>
            <w:vAlign w:val="center"/>
          </w:tcPr>
          <w:p w14:paraId="0A0B33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w:t>
            </w:r>
          </w:p>
        </w:tc>
      </w:tr>
      <w:tr w14:paraId="6AAB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 w:type="pct"/>
            <w:vMerge w:val="continue"/>
            <w:tcBorders>
              <w:tl2br w:val="nil"/>
              <w:tr2bl w:val="nil"/>
            </w:tcBorders>
            <w:noWrap w:val="0"/>
            <w:vAlign w:val="center"/>
          </w:tcPr>
          <w:p w14:paraId="612E18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rPr>
            </w:pPr>
          </w:p>
        </w:tc>
        <w:tc>
          <w:tcPr>
            <w:tcW w:w="231" w:type="pct"/>
            <w:vMerge w:val="continue"/>
            <w:tcBorders>
              <w:tl2br w:val="nil"/>
              <w:tr2bl w:val="nil"/>
            </w:tcBorders>
            <w:noWrap w:val="0"/>
            <w:vAlign w:val="center"/>
          </w:tcPr>
          <w:p w14:paraId="7EAC63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355" w:type="pct"/>
            <w:tcBorders>
              <w:tl2br w:val="nil"/>
              <w:tr2bl w:val="nil"/>
            </w:tcBorders>
            <w:noWrap w:val="0"/>
            <w:vAlign w:val="center"/>
          </w:tcPr>
          <w:p w14:paraId="65629D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选用塔型</w:t>
            </w:r>
          </w:p>
        </w:tc>
        <w:tc>
          <w:tcPr>
            <w:tcW w:w="1231" w:type="pct"/>
            <w:tcBorders>
              <w:tl2br w:val="nil"/>
              <w:tr2bl w:val="nil"/>
            </w:tcBorders>
            <w:noWrap w:val="0"/>
            <w:vAlign w:val="center"/>
          </w:tcPr>
          <w:p w14:paraId="6F8E4F50">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val="0"/>
                <w:bCs w:val="0"/>
                <w:caps w:val="0"/>
                <w:color w:val="auto"/>
                <w:spacing w:val="0"/>
                <w:sz w:val="21"/>
                <w:szCs w:val="21"/>
                <w:lang w:val="en-US" w:eastAsia="zh-CN"/>
              </w:rPr>
            </w:pPr>
            <w:r>
              <w:rPr>
                <w:rFonts w:hint="default" w:ascii="Times New Roman" w:hAnsi="Times New Roman" w:eastAsia="宋体" w:cs="Times New Roman"/>
                <w:b w:val="0"/>
                <w:bCs w:val="0"/>
                <w:caps w:val="0"/>
                <w:color w:val="auto"/>
                <w:spacing w:val="0"/>
                <w:sz w:val="21"/>
                <w:szCs w:val="21"/>
                <w:lang w:val="en-US" w:eastAsia="zh-CN"/>
              </w:rPr>
              <w:t>2E1Y3-J3-27塔</w:t>
            </w:r>
          </w:p>
          <w:p w14:paraId="72665B9F">
            <w:pPr>
              <w:pStyle w:val="23"/>
              <w:keepNext w:val="0"/>
              <w:keepLines w:val="0"/>
              <w:pageBreakBefore w:val="0"/>
              <w:widowControl w:val="0"/>
              <w:kinsoku/>
              <w:wordWrap/>
              <w:overflowPunct/>
              <w:topLinePunct w:val="0"/>
              <w:autoSpaceDE/>
              <w:autoSpaceDN/>
              <w:bidi w:val="0"/>
              <w:adjustRightInd w:val="0"/>
              <w:snapToGrid w:val="0"/>
              <w:spacing w:before="0" w:after="0"/>
              <w:ind w:left="0" w:leftChars="0" w:right="0" w:right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drawing>
                <wp:inline distT="0" distB="0" distL="114300" distR="114300">
                  <wp:extent cx="1886585" cy="2124075"/>
                  <wp:effectExtent l="0" t="0" r="1841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3"/>
                          <a:stretch>
                            <a:fillRect/>
                          </a:stretch>
                        </pic:blipFill>
                        <pic:spPr>
                          <a:xfrm>
                            <a:off x="0" y="0"/>
                            <a:ext cx="1886585" cy="2124075"/>
                          </a:xfrm>
                          <a:prstGeom prst="rect">
                            <a:avLst/>
                          </a:prstGeom>
                          <a:noFill/>
                          <a:ln>
                            <a:noFill/>
                          </a:ln>
                        </pic:spPr>
                      </pic:pic>
                    </a:graphicData>
                  </a:graphic>
                </wp:inline>
              </w:drawing>
            </w:r>
          </w:p>
        </w:tc>
        <w:tc>
          <w:tcPr>
            <w:tcW w:w="1503" w:type="pct"/>
            <w:tcBorders>
              <w:tl2br w:val="nil"/>
              <w:tr2bl w:val="nil"/>
            </w:tcBorders>
            <w:noWrap w:val="0"/>
            <w:vAlign w:val="center"/>
          </w:tcPr>
          <w:p w14:paraId="36E46D36">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aps w:val="0"/>
                <w:color w:val="auto"/>
                <w:spacing w:val="0"/>
                <w:sz w:val="21"/>
                <w:szCs w:val="21"/>
                <w:lang w:val="en-US" w:eastAsia="zh-CN"/>
              </w:rPr>
              <w:t>2E1Y3-J3-33塔</w:t>
            </w:r>
          </w:p>
          <w:p w14:paraId="3955B8B8">
            <w:pPr>
              <w:pStyle w:val="23"/>
              <w:keepNext w:val="0"/>
              <w:keepLines w:val="0"/>
              <w:pageBreakBefore w:val="0"/>
              <w:widowControl w:val="0"/>
              <w:kinsoku/>
              <w:wordWrap/>
              <w:overflowPunct/>
              <w:topLinePunct w:val="0"/>
              <w:autoSpaceDE/>
              <w:autoSpaceDN/>
              <w:bidi w:val="0"/>
              <w:adjustRightInd w:val="0"/>
              <w:snapToGrid w:val="0"/>
              <w:spacing w:before="0" w:after="0"/>
              <w:ind w:left="0" w:leftChars="0" w:right="0" w:right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drawing>
                <wp:inline distT="0" distB="0" distL="114300" distR="114300">
                  <wp:extent cx="2565400" cy="1734820"/>
                  <wp:effectExtent l="0" t="0" r="6350" b="17780"/>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64"/>
                          <a:stretch>
                            <a:fillRect/>
                          </a:stretch>
                        </pic:blipFill>
                        <pic:spPr>
                          <a:xfrm>
                            <a:off x="0" y="0"/>
                            <a:ext cx="2565400" cy="1734820"/>
                          </a:xfrm>
                          <a:prstGeom prst="rect">
                            <a:avLst/>
                          </a:prstGeom>
                          <a:noFill/>
                          <a:ln>
                            <a:noFill/>
                          </a:ln>
                        </pic:spPr>
                      </pic:pic>
                    </a:graphicData>
                  </a:graphic>
                </wp:inline>
              </w:drawing>
            </w:r>
          </w:p>
        </w:tc>
        <w:tc>
          <w:tcPr>
            <w:tcW w:w="1510" w:type="pct"/>
            <w:tcBorders>
              <w:tl2br w:val="nil"/>
              <w:tr2bl w:val="nil"/>
            </w:tcBorders>
            <w:noWrap w:val="0"/>
            <w:vAlign w:val="center"/>
          </w:tcPr>
          <w:p w14:paraId="7139F49B">
            <w:pPr>
              <w:pStyle w:val="23"/>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jc w:val="center"/>
              <w:textAlignment w:val="auto"/>
              <w:rPr>
                <w:rFonts w:hint="default" w:ascii="Times New Roman" w:hAnsi="Times New Roman" w:eastAsia="宋体" w:cs="Times New Roman"/>
                <w:b w:val="0"/>
                <w:bCs w:val="0"/>
                <w:caps w:val="0"/>
                <w:color w:val="auto"/>
                <w:spacing w:val="0"/>
                <w:sz w:val="21"/>
                <w:szCs w:val="21"/>
                <w:lang w:val="en-US" w:eastAsia="zh-CN"/>
              </w:rPr>
            </w:pPr>
            <w:r>
              <w:rPr>
                <w:rFonts w:hint="default" w:ascii="Times New Roman" w:hAnsi="Times New Roman" w:eastAsia="宋体" w:cs="Times New Roman"/>
                <w:b w:val="0"/>
                <w:bCs w:val="0"/>
                <w:caps w:val="0"/>
                <w:color w:val="auto"/>
                <w:spacing w:val="0"/>
                <w:sz w:val="21"/>
                <w:szCs w:val="21"/>
                <w:lang w:val="en-US" w:eastAsia="zh-CN"/>
              </w:rPr>
              <w:t>2D2Y5-JD-36塔</w:t>
            </w:r>
          </w:p>
          <w:p w14:paraId="24F5865E">
            <w:pPr>
              <w:pStyle w:val="23"/>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jc w:val="center"/>
              <w:textAlignment w:val="auto"/>
              <w:rPr>
                <w:rFonts w:hint="default" w:ascii="Times New Roman" w:hAnsi="Times New Roman" w:eastAsia="宋体" w:cs="Times New Roman"/>
                <w:b w:val="0"/>
                <w:bCs w:val="0"/>
                <w:caps w:val="0"/>
                <w:color w:val="auto"/>
                <w:spacing w:val="0"/>
                <w:sz w:val="21"/>
                <w:szCs w:val="21"/>
                <w:lang w:val="en-US" w:eastAsia="zh-CN"/>
              </w:rPr>
            </w:pPr>
            <w:r>
              <w:rPr>
                <w:rFonts w:hint="default" w:ascii="Times New Roman" w:hAnsi="Times New Roman" w:eastAsia="宋体" w:cs="Times New Roman"/>
                <w:b w:val="0"/>
                <w:bCs w:val="0"/>
                <w:color w:val="auto"/>
                <w:sz w:val="21"/>
                <w:szCs w:val="21"/>
              </w:rPr>
              <w:drawing>
                <wp:inline distT="0" distB="0" distL="114300" distR="114300">
                  <wp:extent cx="1939290" cy="2265680"/>
                  <wp:effectExtent l="0" t="0" r="381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5"/>
                          <a:stretch>
                            <a:fillRect/>
                          </a:stretch>
                        </pic:blipFill>
                        <pic:spPr>
                          <a:xfrm>
                            <a:off x="0" y="0"/>
                            <a:ext cx="1939290" cy="2265680"/>
                          </a:xfrm>
                          <a:prstGeom prst="rect">
                            <a:avLst/>
                          </a:prstGeom>
                          <a:noFill/>
                          <a:ln>
                            <a:noFill/>
                          </a:ln>
                        </pic:spPr>
                      </pic:pic>
                    </a:graphicData>
                  </a:graphic>
                </wp:inline>
              </w:drawing>
            </w:r>
          </w:p>
        </w:tc>
      </w:tr>
      <w:tr w14:paraId="4548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6"/>
            <w:tcBorders>
              <w:tl2br w:val="nil"/>
              <w:tr2bl w:val="nil"/>
            </w:tcBorders>
            <w:noWrap w:val="0"/>
            <w:vAlign w:val="center"/>
          </w:tcPr>
          <w:p w14:paraId="0FAEF5FF">
            <w:pPr>
              <w:pStyle w:val="9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bCs/>
                <w:caps w:val="0"/>
                <w:color w:val="auto"/>
                <w:spacing w:val="0"/>
                <w:sz w:val="21"/>
                <w:szCs w:val="21"/>
                <w:highlight w:val="none"/>
                <w:lang w:eastAsia="zh-CN"/>
              </w:rPr>
            </w:pPr>
            <w:r>
              <w:rPr>
                <w:rFonts w:hint="default" w:ascii="Times New Roman" w:hAnsi="Times New Roman" w:eastAsia="宋体" w:cs="Times New Roman"/>
                <w:b/>
                <w:bCs/>
                <w:caps w:val="0"/>
                <w:color w:val="auto"/>
                <w:spacing w:val="0"/>
                <w:sz w:val="21"/>
                <w:szCs w:val="21"/>
                <w:highlight w:val="none"/>
              </w:rPr>
              <w:t>注：①</w:t>
            </w:r>
            <w:r>
              <w:rPr>
                <w:rFonts w:hint="default" w:ascii="Times New Roman" w:hAnsi="Times New Roman" w:eastAsia="宋体" w:cs="Times New Roman"/>
                <w:b/>
                <w:bCs/>
                <w:caps w:val="0"/>
                <w:color w:val="auto"/>
                <w:spacing w:val="0"/>
                <w:sz w:val="21"/>
                <w:szCs w:val="21"/>
                <w:highlight w:val="none"/>
                <w:lang w:val="en-US" w:eastAsia="zh-CN"/>
              </w:rPr>
              <w:t>h</w:t>
            </w:r>
            <w:r>
              <w:rPr>
                <w:rFonts w:hint="default" w:ascii="Times New Roman" w:hAnsi="Times New Roman" w:eastAsia="宋体" w:cs="Times New Roman"/>
                <w:b/>
                <w:bCs/>
                <w:caps w:val="0"/>
                <w:color w:val="auto"/>
                <w:spacing w:val="0"/>
                <w:sz w:val="21"/>
                <w:szCs w:val="21"/>
                <w:highlight w:val="none"/>
              </w:rPr>
              <w:t>为导线对地距离</w:t>
            </w:r>
            <w:r>
              <w:rPr>
                <w:rFonts w:hint="default" w:ascii="Times New Roman" w:hAnsi="Times New Roman" w:eastAsia="宋体" w:cs="Times New Roman"/>
                <w:b/>
                <w:bCs/>
                <w:caps w:val="0"/>
                <w:color w:val="auto"/>
                <w:spacing w:val="0"/>
                <w:sz w:val="21"/>
                <w:szCs w:val="21"/>
                <w:highlight w:val="none"/>
                <w:lang w:eastAsia="zh-CN"/>
              </w:rPr>
              <w:t>；</w:t>
            </w:r>
          </w:p>
          <w:p w14:paraId="70CDA2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rPr>
                <w:rFonts w:hint="default" w:ascii="Times New Roman" w:hAnsi="Times New Roman" w:eastAsia="宋体" w:cs="Times New Roman"/>
                <w:b/>
                <w:bCs/>
                <w:caps w:val="0"/>
                <w:color w:val="auto"/>
                <w:spacing w:val="0"/>
                <w:sz w:val="21"/>
                <w:szCs w:val="21"/>
                <w:highlight w:val="none"/>
                <w:lang w:eastAsia="zh-CN"/>
              </w:rPr>
            </w:pPr>
            <w:r>
              <w:rPr>
                <w:rFonts w:hint="default" w:ascii="Times New Roman" w:hAnsi="Times New Roman" w:eastAsia="宋体" w:cs="Times New Roman"/>
                <w:b/>
                <w:bCs/>
                <w:caps w:val="0"/>
                <w:color w:val="auto"/>
                <w:spacing w:val="0"/>
                <w:sz w:val="21"/>
                <w:szCs w:val="21"/>
                <w:highlight w:val="none"/>
                <w:lang w:eastAsia="zh-CN"/>
              </w:rPr>
              <w:t>②</w:t>
            </w:r>
            <w:r>
              <w:rPr>
                <w:rFonts w:hint="default" w:ascii="Times New Roman" w:hAnsi="Times New Roman" w:eastAsia="宋体" w:cs="Times New Roman"/>
                <w:b/>
                <w:bCs/>
                <w:caps w:val="0"/>
                <w:color w:val="auto"/>
                <w:spacing w:val="0"/>
                <w:sz w:val="21"/>
                <w:szCs w:val="21"/>
                <w:highlight w:val="none"/>
                <w:lang w:val="en-US" w:eastAsia="zh-CN"/>
              </w:rPr>
              <w:t>本次预测软件为南京晶森环境科技有限公司开发的</w:t>
            </w:r>
            <w:r>
              <w:rPr>
                <w:rFonts w:hint="default" w:ascii="Times New Roman" w:hAnsi="Times New Roman" w:eastAsia="宋体" w:cs="Times New Roman"/>
                <w:b/>
                <w:bCs/>
                <w:caps w:val="0"/>
                <w:color w:val="auto"/>
                <w:spacing w:val="0"/>
                <w:kern w:val="0"/>
                <w:sz w:val="21"/>
                <w:szCs w:val="21"/>
                <w:highlight w:val="none"/>
                <w:lang w:val="en-US" w:eastAsia="zh-CN" w:bidi="ar-SA"/>
              </w:rPr>
              <w:t>晶森EHL-电磁环境影响预测软件</w:t>
            </w:r>
            <w:r>
              <w:rPr>
                <w:rFonts w:hint="default" w:ascii="Times New Roman" w:hAnsi="Times New Roman" w:eastAsia="宋体" w:cs="Times New Roman"/>
                <w:b/>
                <w:bCs/>
                <w:caps w:val="0"/>
                <w:color w:val="auto"/>
                <w:spacing w:val="0"/>
                <w:sz w:val="21"/>
                <w:szCs w:val="21"/>
                <w:highlight w:val="none"/>
              </w:rPr>
              <w:t>。</w:t>
            </w:r>
          </w:p>
        </w:tc>
      </w:tr>
    </w:tbl>
    <w:p w14:paraId="27FFFA88">
      <w:pPr>
        <w:pStyle w:val="5"/>
        <w:adjustRightInd w:val="0"/>
        <w:snapToGrid w:val="0"/>
        <w:spacing w:line="440" w:lineRule="exact"/>
        <w:ind w:firstLine="482" w:firstLineChars="200"/>
        <w:rPr>
          <w:rFonts w:ascii="Times New Roman" w:hAnsi="Times New Roman" w:cs="Times New Roman"/>
          <w:color w:val="auto"/>
        </w:rPr>
        <w:sectPr>
          <w:pgSz w:w="16839" w:h="11907" w:orient="landscape"/>
          <w:pgMar w:top="1531" w:right="1191" w:bottom="1531" w:left="1191" w:header="737" w:footer="1020" w:gutter="0"/>
          <w:pgBorders>
            <w:top w:val="none" w:sz="0" w:space="0"/>
            <w:left w:val="none" w:sz="0" w:space="0"/>
            <w:bottom w:val="none" w:sz="0" w:space="0"/>
            <w:right w:val="none" w:sz="0" w:space="0"/>
          </w:pgBorders>
          <w:cols w:space="425" w:num="1"/>
          <w:docGrid w:type="lines" w:linePitch="312" w:charSpace="0"/>
        </w:sectPr>
      </w:pPr>
      <w:bookmarkStart w:id="170" w:name="_Toc5683"/>
      <w:bookmarkStart w:id="171" w:name="_Toc8217"/>
    </w:p>
    <w:p w14:paraId="772E33EA">
      <w:pPr>
        <w:pStyle w:val="5"/>
        <w:adjustRightInd w:val="0"/>
        <w:snapToGrid w:val="0"/>
        <w:spacing w:line="440" w:lineRule="exact"/>
        <w:ind w:firstLine="482" w:firstLineChars="200"/>
        <w:rPr>
          <w:rFonts w:hint="eastAsia" w:ascii="Times New Roman" w:hAnsi="Times New Roman" w:cs="Times New Roman"/>
          <w:color w:val="auto"/>
        </w:rPr>
      </w:pPr>
      <w:r>
        <w:rPr>
          <w:rFonts w:ascii="Times New Roman" w:hAnsi="Times New Roman" w:cs="Times New Roman"/>
          <w:color w:val="auto"/>
        </w:rPr>
        <w:t>5.1.3</w:t>
      </w:r>
      <w:r>
        <w:rPr>
          <w:rFonts w:hint="eastAsia" w:ascii="Times New Roman" w:hAnsi="Times New Roman" w:cs="Times New Roman"/>
          <w:color w:val="auto"/>
          <w:lang w:eastAsia="zh-CN"/>
        </w:rPr>
        <w:t>其他地区</w:t>
      </w:r>
      <w:r>
        <w:rPr>
          <w:rFonts w:ascii="Times New Roman" w:hAnsi="Times New Roman" w:cs="Times New Roman"/>
          <w:color w:val="auto"/>
        </w:rPr>
        <w:t>预测与分析</w:t>
      </w:r>
      <w:bookmarkEnd w:id="170"/>
      <w:bookmarkEnd w:id="171"/>
    </w:p>
    <w:p w14:paraId="67D49020">
      <w:pPr>
        <w:pStyle w:val="2"/>
        <w:adjustRightInd w:val="0"/>
        <w:snapToGrid w:val="0"/>
        <w:spacing w:after="0" w:line="440" w:lineRule="exact"/>
        <w:ind w:firstLine="480" w:firstLineChars="20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（1）220kV单回路</w:t>
      </w:r>
      <w:r>
        <w:rPr>
          <w:rFonts w:hint="eastAsia" w:ascii="Times New Roman" w:hAnsi="Times New Roman" w:cs="Times New Roman"/>
          <w:color w:val="auto"/>
          <w:sz w:val="24"/>
        </w:rPr>
        <w:t>架设</w:t>
      </w:r>
      <w:r>
        <w:rPr>
          <w:bCs/>
          <w:color w:val="auto"/>
          <w:spacing w:val="-6"/>
          <w:sz w:val="24"/>
        </w:rPr>
        <w:t>电磁环境预测</w:t>
      </w:r>
    </w:p>
    <w:p w14:paraId="58BF85A1">
      <w:pPr>
        <w:pStyle w:val="2"/>
        <w:adjustRightInd w:val="0"/>
        <w:snapToGrid w:val="0"/>
        <w:spacing w:after="0" w:line="440" w:lineRule="exact"/>
        <w:ind w:firstLine="482" w:firstLineChars="200"/>
        <w:rPr>
          <w:b/>
          <w:bCs/>
          <w:color w:val="auto"/>
          <w:spacing w:val="-6"/>
          <w:sz w:val="24"/>
        </w:rPr>
      </w:pPr>
      <w:r>
        <w:rPr>
          <w:rFonts w:hint="default" w:ascii="Times New Roman" w:hAnsi="Times New Roman" w:cs="Times New Roman"/>
          <w:b/>
          <w:bCs/>
          <w:color w:val="auto"/>
          <w:sz w:val="24"/>
          <w:lang w:val="en-US" w:eastAsia="zh-CN"/>
        </w:rPr>
        <w:t>①</w:t>
      </w:r>
      <w:r>
        <w:rPr>
          <w:rFonts w:hint="eastAsia" w:cs="Times New Roman"/>
          <w:b/>
          <w:bCs/>
          <w:color w:val="auto"/>
          <w:sz w:val="24"/>
          <w:lang w:val="en-US" w:eastAsia="zh-CN"/>
        </w:rPr>
        <w:t>三角排列</w:t>
      </w:r>
      <w:r>
        <w:rPr>
          <w:rFonts w:hint="eastAsia" w:ascii="Times New Roman" w:hAnsi="Times New Roman" w:cs="Times New Roman"/>
          <w:b/>
          <w:bCs/>
          <w:color w:val="auto"/>
          <w:sz w:val="24"/>
        </w:rPr>
        <w:t>架设</w:t>
      </w:r>
      <w:r>
        <w:rPr>
          <w:b/>
          <w:bCs/>
          <w:color w:val="auto"/>
          <w:spacing w:val="-6"/>
          <w:sz w:val="24"/>
        </w:rPr>
        <w:t>电磁环境预测</w:t>
      </w:r>
    </w:p>
    <w:p w14:paraId="02CE06F9">
      <w:pPr>
        <w:adjustRightInd w:val="0"/>
        <w:snapToGrid w:val="0"/>
        <w:spacing w:line="440" w:lineRule="exact"/>
        <w:ind w:firstLine="480" w:firstLineChars="200"/>
        <w:rPr>
          <w:rFonts w:ascii="Times New Roman" w:hAnsi="Times New Roman" w:cs="Times New Roman"/>
          <w:b/>
          <w:bCs/>
          <w:color w:val="auto"/>
          <w:spacing w:val="-6"/>
          <w:sz w:val="24"/>
          <w:highlight w:val="none"/>
        </w:rPr>
      </w:pPr>
      <w:r>
        <w:rPr>
          <w:rFonts w:ascii="Times New Roman" w:hAnsi="Times New Roman" w:cs="Times New Roman"/>
          <w:color w:val="auto"/>
          <w:sz w:val="24"/>
        </w:rPr>
        <w:t>本</w:t>
      </w:r>
      <w:r>
        <w:rPr>
          <w:rFonts w:hint="eastAsia" w:ascii="Times New Roman" w:hAnsi="Times New Roman" w:cs="Times New Roman"/>
          <w:color w:val="auto"/>
          <w:sz w:val="24"/>
        </w:rPr>
        <w:t>项目220kV单回路</w:t>
      </w:r>
      <w:r>
        <w:rPr>
          <w:rFonts w:hint="eastAsia" w:ascii="Times New Roman" w:hAnsi="Times New Roman" w:cs="Times New Roman"/>
          <w:color w:val="auto"/>
          <w:sz w:val="24"/>
          <w:lang w:val="en-US" w:eastAsia="zh-CN"/>
        </w:rPr>
        <w:t>三角排列</w:t>
      </w:r>
      <w:r>
        <w:rPr>
          <w:rFonts w:hint="eastAsia" w:ascii="Times New Roman" w:hAnsi="Times New Roman" w:cs="Times New Roman"/>
          <w:color w:val="auto"/>
          <w:sz w:val="24"/>
        </w:rPr>
        <w:t>架设非居民区</w:t>
      </w:r>
      <w:r>
        <w:rPr>
          <w:rFonts w:ascii="Times New Roman" w:hAnsi="Times New Roman" w:cs="Times New Roman"/>
          <w:color w:val="auto"/>
          <w:sz w:val="24"/>
        </w:rPr>
        <w:t>工频电场强度、工频磁感应强度预测结果见表5-2。</w:t>
      </w:r>
    </w:p>
    <w:p w14:paraId="78D3D820">
      <w:pPr>
        <w:pStyle w:val="2"/>
        <w:adjustRightInd w:val="0"/>
        <w:snapToGrid w:val="0"/>
        <w:spacing w:after="0"/>
        <w:jc w:val="center"/>
        <w:rPr>
          <w:rFonts w:hint="eastAsia" w:ascii="Times New Roman" w:hAnsi="Times New Roman" w:cs="Times New Roman"/>
          <w:bCs/>
          <w:color w:val="auto"/>
          <w:spacing w:val="-6"/>
          <w:sz w:val="24"/>
          <w:highlight w:val="none"/>
        </w:rPr>
      </w:pPr>
      <w:r>
        <w:rPr>
          <w:rFonts w:ascii="Times New Roman" w:hAnsi="Times New Roman" w:cs="Times New Roman"/>
          <w:b/>
          <w:bCs/>
          <w:color w:val="auto"/>
          <w:spacing w:val="-6"/>
          <w:sz w:val="24"/>
          <w:highlight w:val="none"/>
        </w:rPr>
        <w:t xml:space="preserve">表5-2  </w:t>
      </w:r>
      <w:r>
        <w:rPr>
          <w:rFonts w:hint="eastAsia" w:ascii="Times New Roman" w:hAnsi="Times New Roman" w:cs="Times New Roman"/>
          <w:b/>
          <w:bCs/>
          <w:color w:val="auto"/>
          <w:spacing w:val="-6"/>
          <w:sz w:val="24"/>
          <w:highlight w:val="none"/>
        </w:rPr>
        <w:t>220kV</w:t>
      </w:r>
      <w:r>
        <w:rPr>
          <w:rFonts w:ascii="Times New Roman" w:hAnsi="Times New Roman" w:cs="Times New Roman"/>
          <w:b/>
          <w:bCs/>
          <w:color w:val="auto"/>
          <w:spacing w:val="-6"/>
          <w:sz w:val="24"/>
          <w:highlight w:val="none"/>
        </w:rPr>
        <w:t>单回路</w:t>
      </w:r>
      <w:r>
        <w:rPr>
          <w:rFonts w:hint="eastAsia" w:cs="Times New Roman"/>
          <w:b/>
          <w:bCs/>
          <w:color w:val="auto"/>
          <w:spacing w:val="-6"/>
          <w:sz w:val="24"/>
          <w:highlight w:val="none"/>
          <w:lang w:val="en-US" w:eastAsia="zh-CN"/>
        </w:rPr>
        <w:t>三角排列</w:t>
      </w:r>
      <w:r>
        <w:rPr>
          <w:rFonts w:hint="eastAsia" w:ascii="Times New Roman" w:hAnsi="Times New Roman" w:cs="Times New Roman"/>
          <w:b/>
          <w:bCs/>
          <w:color w:val="auto"/>
          <w:spacing w:val="-6"/>
          <w:sz w:val="24"/>
          <w:highlight w:val="none"/>
        </w:rPr>
        <w:t>架设</w:t>
      </w:r>
      <w:r>
        <w:rPr>
          <w:rFonts w:ascii="Times New Roman" w:hAnsi="Times New Roman" w:cs="Times New Roman"/>
          <w:b/>
          <w:bCs/>
          <w:color w:val="auto"/>
          <w:spacing w:val="-6"/>
          <w:sz w:val="24"/>
          <w:highlight w:val="none"/>
        </w:rPr>
        <w:t>工频电场强度、工频磁感应强度预测结果</w:t>
      </w:r>
    </w:p>
    <w:tbl>
      <w:tblPr>
        <w:tblStyle w:val="2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1069"/>
        <w:gridCol w:w="1069"/>
        <w:gridCol w:w="3532"/>
        <w:gridCol w:w="1894"/>
      </w:tblGrid>
      <w:tr w14:paraId="36916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restart"/>
            <w:tcBorders>
              <w:tl2br w:val="nil"/>
              <w:tr2bl w:val="nil"/>
            </w:tcBorders>
            <w:vAlign w:val="center"/>
          </w:tcPr>
          <w:p w14:paraId="646F215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距线路中心距离（m）</w:t>
            </w:r>
          </w:p>
        </w:tc>
        <w:tc>
          <w:tcPr>
            <w:tcW w:w="1180" w:type="pct"/>
            <w:gridSpan w:val="2"/>
            <w:vMerge w:val="restart"/>
            <w:tcBorders>
              <w:tl2br w:val="nil"/>
              <w:tr2bl w:val="nil"/>
            </w:tcBorders>
            <w:vAlign w:val="center"/>
          </w:tcPr>
          <w:p w14:paraId="00CEE67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距边导线距离（m）</w:t>
            </w:r>
          </w:p>
        </w:tc>
        <w:tc>
          <w:tcPr>
            <w:tcW w:w="1949" w:type="pct"/>
            <w:tcBorders>
              <w:tl2br w:val="nil"/>
              <w:tr2bl w:val="nil"/>
            </w:tcBorders>
            <w:vAlign w:val="center"/>
          </w:tcPr>
          <w:p w14:paraId="2602AA9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工频电场强度kV/m</w:t>
            </w:r>
          </w:p>
        </w:tc>
        <w:tc>
          <w:tcPr>
            <w:tcW w:w="1045" w:type="pct"/>
            <w:tcBorders>
              <w:tl2br w:val="nil"/>
              <w:tr2bl w:val="nil"/>
            </w:tcBorders>
            <w:vAlign w:val="center"/>
          </w:tcPr>
          <w:p w14:paraId="41F7A66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工频磁感应强度μT</w:t>
            </w:r>
          </w:p>
        </w:tc>
      </w:tr>
      <w:tr w14:paraId="5EE2D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continue"/>
            <w:tcBorders>
              <w:tl2br w:val="nil"/>
              <w:tr2bl w:val="nil"/>
            </w:tcBorders>
            <w:vAlign w:val="center"/>
          </w:tcPr>
          <w:p w14:paraId="6B9E32B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180" w:type="pct"/>
            <w:gridSpan w:val="2"/>
            <w:vMerge w:val="continue"/>
            <w:tcBorders>
              <w:tl2br w:val="nil"/>
              <w:tr2bl w:val="nil"/>
            </w:tcBorders>
            <w:vAlign w:val="center"/>
          </w:tcPr>
          <w:p w14:paraId="472E6F3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949" w:type="pct"/>
            <w:tcBorders>
              <w:tl2br w:val="nil"/>
              <w:tr2bl w:val="nil"/>
            </w:tcBorders>
            <w:vAlign w:val="center"/>
          </w:tcPr>
          <w:p w14:paraId="2BA5596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c>
          <w:tcPr>
            <w:tcW w:w="1045" w:type="pct"/>
            <w:tcBorders>
              <w:tl2br w:val="nil"/>
              <w:tr2bl w:val="nil"/>
            </w:tcBorders>
            <w:vAlign w:val="center"/>
          </w:tcPr>
          <w:p w14:paraId="7C94AB5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r>
      <w:tr w14:paraId="1BA0F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continue"/>
            <w:tcBorders>
              <w:tl2br w:val="nil"/>
              <w:tr2bl w:val="nil"/>
            </w:tcBorders>
            <w:vAlign w:val="center"/>
          </w:tcPr>
          <w:p w14:paraId="74243F3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180" w:type="pct"/>
            <w:gridSpan w:val="2"/>
            <w:vMerge w:val="continue"/>
            <w:tcBorders>
              <w:tl2br w:val="nil"/>
              <w:tr2bl w:val="nil"/>
            </w:tcBorders>
            <w:vAlign w:val="center"/>
          </w:tcPr>
          <w:p w14:paraId="31B48A6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949" w:type="pct"/>
            <w:tcBorders>
              <w:tl2br w:val="nil"/>
              <w:tr2bl w:val="nil"/>
            </w:tcBorders>
            <w:vAlign w:val="center"/>
          </w:tcPr>
          <w:p w14:paraId="682FD69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c>
          <w:tcPr>
            <w:tcW w:w="1045" w:type="pct"/>
            <w:tcBorders>
              <w:tl2br w:val="nil"/>
              <w:tr2bl w:val="nil"/>
            </w:tcBorders>
            <w:vAlign w:val="center"/>
          </w:tcPr>
          <w:p w14:paraId="0319AF6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r>
      <w:tr w14:paraId="709BB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58FE467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590" w:type="pct"/>
            <w:vMerge w:val="restart"/>
            <w:tcBorders>
              <w:tl2br w:val="nil"/>
              <w:tr2bl w:val="nil"/>
            </w:tcBorders>
            <w:shd w:val="clear" w:color="auto" w:fill="auto"/>
            <w:vAlign w:val="center"/>
          </w:tcPr>
          <w:p w14:paraId="36C10D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589" w:type="pct"/>
            <w:tcBorders>
              <w:tl2br w:val="nil"/>
              <w:tr2bl w:val="nil"/>
            </w:tcBorders>
            <w:shd w:val="clear" w:color="auto" w:fill="auto"/>
            <w:vAlign w:val="bottom"/>
          </w:tcPr>
          <w:p w14:paraId="7CEB4FC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-41.7</w:t>
            </w:r>
          </w:p>
        </w:tc>
        <w:tc>
          <w:tcPr>
            <w:tcW w:w="3448" w:type="dxa"/>
            <w:tcBorders>
              <w:tl2br w:val="nil"/>
              <w:tr2bl w:val="nil"/>
            </w:tcBorders>
            <w:shd w:val="clear" w:color="auto" w:fill="auto"/>
            <w:vAlign w:val="bottom"/>
          </w:tcPr>
          <w:p w14:paraId="4AEFDA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0.099</w:t>
            </w:r>
          </w:p>
        </w:tc>
        <w:tc>
          <w:tcPr>
            <w:tcW w:w="1849" w:type="dxa"/>
            <w:tcBorders>
              <w:tl2br w:val="nil"/>
              <w:tr2bl w:val="nil"/>
            </w:tcBorders>
            <w:shd w:val="clear" w:color="auto" w:fill="auto"/>
            <w:vAlign w:val="bottom"/>
          </w:tcPr>
          <w:p w14:paraId="02D748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1.5299</w:t>
            </w:r>
          </w:p>
        </w:tc>
      </w:tr>
      <w:tr w14:paraId="0B55D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4" w:type="pct"/>
            <w:tcBorders>
              <w:tl2br w:val="nil"/>
              <w:tr2bl w:val="nil"/>
            </w:tcBorders>
            <w:shd w:val="clear" w:color="auto" w:fill="auto"/>
            <w:vAlign w:val="bottom"/>
          </w:tcPr>
          <w:p w14:paraId="22F14E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590" w:type="pct"/>
            <w:vMerge w:val="continue"/>
            <w:tcBorders>
              <w:tl2br w:val="nil"/>
              <w:tr2bl w:val="nil"/>
            </w:tcBorders>
            <w:shd w:val="clear" w:color="auto" w:fill="auto"/>
            <w:vAlign w:val="center"/>
          </w:tcPr>
          <w:p w14:paraId="5E02AE7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185023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-36.7</w:t>
            </w:r>
          </w:p>
        </w:tc>
        <w:tc>
          <w:tcPr>
            <w:tcW w:w="3448" w:type="dxa"/>
            <w:tcBorders>
              <w:tl2br w:val="nil"/>
              <w:tr2bl w:val="nil"/>
            </w:tcBorders>
            <w:shd w:val="clear" w:color="auto" w:fill="auto"/>
            <w:vAlign w:val="bottom"/>
          </w:tcPr>
          <w:p w14:paraId="4EF3667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0.1293</w:t>
            </w:r>
          </w:p>
        </w:tc>
        <w:tc>
          <w:tcPr>
            <w:tcW w:w="1849" w:type="dxa"/>
            <w:tcBorders>
              <w:tl2br w:val="nil"/>
              <w:tr2bl w:val="nil"/>
            </w:tcBorders>
            <w:shd w:val="clear" w:color="auto" w:fill="auto"/>
            <w:vAlign w:val="bottom"/>
          </w:tcPr>
          <w:p w14:paraId="3E3877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1.9009</w:t>
            </w:r>
          </w:p>
        </w:tc>
      </w:tr>
      <w:tr w14:paraId="5F0DA5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4" w:type="pct"/>
            <w:tcBorders>
              <w:tl2br w:val="nil"/>
              <w:tr2bl w:val="nil"/>
            </w:tcBorders>
            <w:shd w:val="clear" w:color="auto" w:fill="auto"/>
            <w:vAlign w:val="bottom"/>
          </w:tcPr>
          <w:p w14:paraId="357923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590" w:type="pct"/>
            <w:vMerge w:val="continue"/>
            <w:tcBorders>
              <w:tl2br w:val="nil"/>
              <w:tr2bl w:val="nil"/>
            </w:tcBorders>
            <w:shd w:val="clear" w:color="auto" w:fill="auto"/>
            <w:vAlign w:val="center"/>
          </w:tcPr>
          <w:p w14:paraId="42FADA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B3F861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-31.7</w:t>
            </w:r>
          </w:p>
        </w:tc>
        <w:tc>
          <w:tcPr>
            <w:tcW w:w="3448" w:type="dxa"/>
            <w:tcBorders>
              <w:tl2br w:val="nil"/>
              <w:tr2bl w:val="nil"/>
            </w:tcBorders>
            <w:shd w:val="clear" w:color="auto" w:fill="auto"/>
            <w:vAlign w:val="bottom"/>
          </w:tcPr>
          <w:p w14:paraId="282C7A8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0.1762</w:t>
            </w:r>
          </w:p>
        </w:tc>
        <w:tc>
          <w:tcPr>
            <w:tcW w:w="1849" w:type="dxa"/>
            <w:tcBorders>
              <w:tl2br w:val="nil"/>
              <w:tr2bl w:val="nil"/>
            </w:tcBorders>
            <w:shd w:val="clear" w:color="auto" w:fill="auto"/>
            <w:vAlign w:val="bottom"/>
          </w:tcPr>
          <w:p w14:paraId="5BBA2F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2.4261</w:t>
            </w:r>
          </w:p>
        </w:tc>
      </w:tr>
      <w:tr w14:paraId="6ADC4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3DA45E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590" w:type="pct"/>
            <w:vMerge w:val="continue"/>
            <w:tcBorders>
              <w:tl2br w:val="nil"/>
              <w:tr2bl w:val="nil"/>
            </w:tcBorders>
            <w:shd w:val="clear" w:color="auto" w:fill="auto"/>
            <w:vAlign w:val="center"/>
          </w:tcPr>
          <w:p w14:paraId="1FFE81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B55EAB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-26.7</w:t>
            </w:r>
          </w:p>
        </w:tc>
        <w:tc>
          <w:tcPr>
            <w:tcW w:w="3448" w:type="dxa"/>
            <w:tcBorders>
              <w:tl2br w:val="nil"/>
              <w:tr2bl w:val="nil"/>
            </w:tcBorders>
            <w:shd w:val="clear" w:color="auto" w:fill="auto"/>
            <w:vAlign w:val="bottom"/>
          </w:tcPr>
          <w:p w14:paraId="377F6F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0.2545</w:t>
            </w:r>
          </w:p>
        </w:tc>
        <w:tc>
          <w:tcPr>
            <w:tcW w:w="1849" w:type="dxa"/>
            <w:tcBorders>
              <w:tl2br w:val="nil"/>
              <w:tr2bl w:val="nil"/>
            </w:tcBorders>
            <w:shd w:val="clear" w:color="auto" w:fill="auto"/>
            <w:vAlign w:val="bottom"/>
          </w:tcPr>
          <w:p w14:paraId="718ECC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3.2048</w:t>
            </w:r>
          </w:p>
        </w:tc>
      </w:tr>
      <w:tr w14:paraId="7AAA8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5CF0A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590" w:type="pct"/>
            <w:vMerge w:val="continue"/>
            <w:tcBorders>
              <w:tl2br w:val="nil"/>
              <w:tr2bl w:val="nil"/>
            </w:tcBorders>
            <w:shd w:val="clear" w:color="auto" w:fill="auto"/>
            <w:vAlign w:val="center"/>
          </w:tcPr>
          <w:p w14:paraId="438407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3BB4A9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-21.7</w:t>
            </w:r>
          </w:p>
        </w:tc>
        <w:tc>
          <w:tcPr>
            <w:tcW w:w="3448" w:type="dxa"/>
            <w:tcBorders>
              <w:tl2br w:val="nil"/>
              <w:tr2bl w:val="nil"/>
            </w:tcBorders>
            <w:shd w:val="clear" w:color="auto" w:fill="auto"/>
            <w:vAlign w:val="bottom"/>
          </w:tcPr>
          <w:p w14:paraId="456B37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0.3975</w:t>
            </w:r>
          </w:p>
        </w:tc>
        <w:tc>
          <w:tcPr>
            <w:tcW w:w="1849" w:type="dxa"/>
            <w:tcBorders>
              <w:tl2br w:val="nil"/>
              <w:tr2bl w:val="nil"/>
            </w:tcBorders>
            <w:shd w:val="clear" w:color="auto" w:fill="auto"/>
            <w:vAlign w:val="bottom"/>
          </w:tcPr>
          <w:p w14:paraId="754306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4.4317</w:t>
            </w:r>
          </w:p>
        </w:tc>
      </w:tr>
      <w:tr w14:paraId="623AC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6EB120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590" w:type="pct"/>
            <w:vMerge w:val="continue"/>
            <w:tcBorders>
              <w:tl2br w:val="nil"/>
              <w:tr2bl w:val="nil"/>
            </w:tcBorders>
            <w:shd w:val="clear" w:color="auto" w:fill="auto"/>
            <w:vAlign w:val="center"/>
          </w:tcPr>
          <w:p w14:paraId="3EC676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645500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-16.7</w:t>
            </w:r>
          </w:p>
        </w:tc>
        <w:tc>
          <w:tcPr>
            <w:tcW w:w="3448" w:type="dxa"/>
            <w:tcBorders>
              <w:tl2br w:val="nil"/>
              <w:tr2bl w:val="nil"/>
            </w:tcBorders>
            <w:shd w:val="clear" w:color="auto" w:fill="auto"/>
            <w:vAlign w:val="bottom"/>
          </w:tcPr>
          <w:p w14:paraId="3F63A1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0.6898</w:t>
            </w:r>
          </w:p>
        </w:tc>
        <w:tc>
          <w:tcPr>
            <w:tcW w:w="1849" w:type="dxa"/>
            <w:tcBorders>
              <w:tl2br w:val="nil"/>
              <w:tr2bl w:val="nil"/>
            </w:tcBorders>
            <w:shd w:val="clear" w:color="auto" w:fill="auto"/>
            <w:vAlign w:val="bottom"/>
          </w:tcPr>
          <w:p w14:paraId="6C27AD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6.5307</w:t>
            </w:r>
          </w:p>
        </w:tc>
      </w:tr>
      <w:tr w14:paraId="440776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659D193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590" w:type="pct"/>
            <w:vMerge w:val="continue"/>
            <w:tcBorders>
              <w:tl2br w:val="nil"/>
              <w:tr2bl w:val="nil"/>
            </w:tcBorders>
            <w:shd w:val="clear" w:color="auto" w:fill="auto"/>
            <w:vAlign w:val="center"/>
          </w:tcPr>
          <w:p w14:paraId="0011998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16BFD3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-11.7</w:t>
            </w:r>
          </w:p>
        </w:tc>
        <w:tc>
          <w:tcPr>
            <w:tcW w:w="3448" w:type="dxa"/>
            <w:tcBorders>
              <w:tl2br w:val="nil"/>
              <w:tr2bl w:val="nil"/>
            </w:tcBorders>
            <w:shd w:val="clear" w:color="auto" w:fill="auto"/>
            <w:vAlign w:val="bottom"/>
          </w:tcPr>
          <w:p w14:paraId="390E2E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1.3766</w:t>
            </w:r>
          </w:p>
        </w:tc>
        <w:tc>
          <w:tcPr>
            <w:tcW w:w="1849" w:type="dxa"/>
            <w:tcBorders>
              <w:tl2br w:val="nil"/>
              <w:tr2bl w:val="nil"/>
            </w:tcBorders>
            <w:shd w:val="clear" w:color="auto" w:fill="auto"/>
            <w:vAlign w:val="bottom"/>
          </w:tcPr>
          <w:p w14:paraId="038C66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10.561</w:t>
            </w:r>
          </w:p>
        </w:tc>
      </w:tr>
      <w:tr w14:paraId="447B04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0ECF179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590" w:type="pct"/>
            <w:vMerge w:val="continue"/>
            <w:tcBorders>
              <w:tl2br w:val="nil"/>
              <w:tr2bl w:val="nil"/>
            </w:tcBorders>
            <w:shd w:val="clear" w:color="auto" w:fill="auto"/>
            <w:vAlign w:val="center"/>
          </w:tcPr>
          <w:p w14:paraId="06BF7A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1770F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-6.7</w:t>
            </w:r>
          </w:p>
        </w:tc>
        <w:tc>
          <w:tcPr>
            <w:tcW w:w="3448" w:type="dxa"/>
            <w:tcBorders>
              <w:tl2br w:val="nil"/>
              <w:tr2bl w:val="nil"/>
            </w:tcBorders>
            <w:shd w:val="clear" w:color="auto" w:fill="auto"/>
            <w:vAlign w:val="bottom"/>
          </w:tcPr>
          <w:p w14:paraId="4927F5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3.2045</w:t>
            </w:r>
          </w:p>
        </w:tc>
        <w:tc>
          <w:tcPr>
            <w:tcW w:w="1849" w:type="dxa"/>
            <w:tcBorders>
              <w:tl2br w:val="nil"/>
              <w:tr2bl w:val="nil"/>
            </w:tcBorders>
            <w:shd w:val="clear" w:color="auto" w:fill="auto"/>
            <w:vAlign w:val="bottom"/>
          </w:tcPr>
          <w:p w14:paraId="1D9BBB2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19.5691</w:t>
            </w:r>
          </w:p>
        </w:tc>
      </w:tr>
      <w:tr w14:paraId="70BBF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6F0658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590" w:type="pct"/>
            <w:vMerge w:val="continue"/>
            <w:tcBorders>
              <w:tl2br w:val="nil"/>
              <w:tr2bl w:val="nil"/>
            </w:tcBorders>
            <w:shd w:val="clear" w:color="auto" w:fill="auto"/>
            <w:vAlign w:val="center"/>
          </w:tcPr>
          <w:p w14:paraId="10C935D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5D82D0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-1.7</w:t>
            </w:r>
          </w:p>
        </w:tc>
        <w:tc>
          <w:tcPr>
            <w:tcW w:w="3448" w:type="dxa"/>
            <w:tcBorders>
              <w:tl2br w:val="nil"/>
              <w:tr2bl w:val="nil"/>
            </w:tcBorders>
            <w:shd w:val="clear" w:color="auto" w:fill="auto"/>
            <w:vAlign w:val="bottom"/>
          </w:tcPr>
          <w:p w14:paraId="68DBAE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6.9126</w:t>
            </w:r>
          </w:p>
        </w:tc>
        <w:tc>
          <w:tcPr>
            <w:tcW w:w="1849" w:type="dxa"/>
            <w:tcBorders>
              <w:tl2br w:val="nil"/>
              <w:tr2bl w:val="nil"/>
            </w:tcBorders>
            <w:shd w:val="clear" w:color="auto" w:fill="auto"/>
            <w:vAlign w:val="bottom"/>
          </w:tcPr>
          <w:p w14:paraId="3A6DE7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39.3998</w:t>
            </w:r>
          </w:p>
        </w:tc>
      </w:tr>
      <w:tr w14:paraId="6C647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BF257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590" w:type="pct"/>
            <w:vMerge w:val="continue"/>
            <w:tcBorders>
              <w:tl2br w:val="nil"/>
              <w:tr2bl w:val="nil"/>
            </w:tcBorders>
            <w:shd w:val="clear" w:color="auto" w:fill="auto"/>
            <w:vAlign w:val="center"/>
          </w:tcPr>
          <w:p w14:paraId="68B6303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6C557C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-0.7</w:t>
            </w:r>
          </w:p>
        </w:tc>
        <w:tc>
          <w:tcPr>
            <w:tcW w:w="3448" w:type="dxa"/>
            <w:tcBorders>
              <w:tl2br w:val="nil"/>
              <w:tr2bl w:val="nil"/>
            </w:tcBorders>
            <w:shd w:val="clear" w:color="auto" w:fill="auto"/>
            <w:vAlign w:val="bottom"/>
          </w:tcPr>
          <w:p w14:paraId="18D2A6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7.3135</w:t>
            </w:r>
          </w:p>
        </w:tc>
        <w:tc>
          <w:tcPr>
            <w:tcW w:w="1849" w:type="dxa"/>
            <w:tcBorders>
              <w:tl2br w:val="nil"/>
              <w:tr2bl w:val="nil"/>
            </w:tcBorders>
            <w:shd w:val="clear" w:color="auto" w:fill="auto"/>
            <w:vAlign w:val="bottom"/>
          </w:tcPr>
          <w:p w14:paraId="3B50CB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43.5419</w:t>
            </w:r>
          </w:p>
        </w:tc>
      </w:tr>
      <w:tr w14:paraId="48681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24" w:type="pct"/>
            <w:tcBorders>
              <w:tl2br w:val="nil"/>
              <w:tr2bl w:val="nil"/>
            </w:tcBorders>
            <w:shd w:val="clear" w:color="auto" w:fill="auto"/>
            <w:vAlign w:val="bottom"/>
          </w:tcPr>
          <w:p w14:paraId="68700B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590" w:type="pct"/>
            <w:vMerge w:val="restart"/>
            <w:tcBorders>
              <w:tl2br w:val="nil"/>
              <w:tr2bl w:val="nil"/>
            </w:tcBorders>
            <w:shd w:val="clear" w:color="auto" w:fill="auto"/>
            <w:vAlign w:val="center"/>
          </w:tcPr>
          <w:p w14:paraId="7C214E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589" w:type="pct"/>
            <w:tcBorders>
              <w:tl2br w:val="nil"/>
              <w:tr2bl w:val="nil"/>
            </w:tcBorders>
            <w:shd w:val="clear" w:color="auto" w:fill="auto"/>
            <w:vAlign w:val="bottom"/>
          </w:tcPr>
          <w:p w14:paraId="512FF1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30BB5C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7.2556</w:t>
            </w:r>
          </w:p>
        </w:tc>
        <w:tc>
          <w:tcPr>
            <w:tcW w:w="1849" w:type="dxa"/>
            <w:tcBorders>
              <w:tl2br w:val="nil"/>
              <w:tr2bl w:val="nil"/>
            </w:tcBorders>
            <w:shd w:val="clear" w:color="auto" w:fill="auto"/>
            <w:vAlign w:val="bottom"/>
          </w:tcPr>
          <w:p w14:paraId="356C86D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46.4961</w:t>
            </w:r>
          </w:p>
        </w:tc>
      </w:tr>
      <w:tr w14:paraId="7164C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3232D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590" w:type="pct"/>
            <w:vMerge w:val="continue"/>
            <w:tcBorders>
              <w:tl2br w:val="nil"/>
              <w:tr2bl w:val="nil"/>
            </w:tcBorders>
            <w:shd w:val="clear" w:color="auto" w:fill="auto"/>
            <w:vAlign w:val="center"/>
          </w:tcPr>
          <w:p w14:paraId="29B993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264DD1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728D971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6.7136</w:t>
            </w:r>
          </w:p>
        </w:tc>
        <w:tc>
          <w:tcPr>
            <w:tcW w:w="1849" w:type="dxa"/>
            <w:tcBorders>
              <w:tl2br w:val="nil"/>
              <w:tr2bl w:val="nil"/>
            </w:tcBorders>
            <w:shd w:val="clear" w:color="auto" w:fill="auto"/>
            <w:vAlign w:val="bottom"/>
          </w:tcPr>
          <w:p w14:paraId="7C043C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47.9049</w:t>
            </w:r>
          </w:p>
        </w:tc>
      </w:tr>
      <w:tr w14:paraId="2865D2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52D645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590" w:type="pct"/>
            <w:vMerge w:val="continue"/>
            <w:tcBorders>
              <w:tl2br w:val="nil"/>
              <w:tr2bl w:val="nil"/>
            </w:tcBorders>
            <w:shd w:val="clear" w:color="auto" w:fill="auto"/>
            <w:vAlign w:val="center"/>
          </w:tcPr>
          <w:p w14:paraId="47C1B8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5326B6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6990E05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5.8153</w:t>
            </w:r>
          </w:p>
        </w:tc>
        <w:tc>
          <w:tcPr>
            <w:tcW w:w="1849" w:type="dxa"/>
            <w:tcBorders>
              <w:tl2br w:val="nil"/>
              <w:tr2bl w:val="nil"/>
            </w:tcBorders>
            <w:shd w:val="clear" w:color="auto" w:fill="auto"/>
            <w:vAlign w:val="bottom"/>
          </w:tcPr>
          <w:p w14:paraId="3913A70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47.9438</w:t>
            </w:r>
          </w:p>
        </w:tc>
      </w:tr>
      <w:tr w14:paraId="07D37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5E0148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590" w:type="pct"/>
            <w:vMerge w:val="continue"/>
            <w:tcBorders>
              <w:tl2br w:val="nil"/>
              <w:tr2bl w:val="nil"/>
            </w:tcBorders>
            <w:shd w:val="clear" w:color="auto" w:fill="auto"/>
            <w:vAlign w:val="center"/>
          </w:tcPr>
          <w:p w14:paraId="6A87E1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C9429B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16FD20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4.7578</w:t>
            </w:r>
          </w:p>
        </w:tc>
        <w:tc>
          <w:tcPr>
            <w:tcW w:w="1849" w:type="dxa"/>
            <w:tcBorders>
              <w:tl2br w:val="nil"/>
              <w:tr2bl w:val="nil"/>
            </w:tcBorders>
            <w:shd w:val="clear" w:color="auto" w:fill="auto"/>
            <w:vAlign w:val="bottom"/>
          </w:tcPr>
          <w:p w14:paraId="65585B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47.1314</w:t>
            </w:r>
          </w:p>
        </w:tc>
      </w:tr>
      <w:tr w14:paraId="1ED5D5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76CF45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590" w:type="pct"/>
            <w:vMerge w:val="continue"/>
            <w:tcBorders>
              <w:tl2br w:val="nil"/>
              <w:tr2bl w:val="nil"/>
            </w:tcBorders>
            <w:shd w:val="clear" w:color="auto" w:fill="auto"/>
            <w:vAlign w:val="center"/>
          </w:tcPr>
          <w:p w14:paraId="20578F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54644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280818D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3.7149</w:t>
            </w:r>
          </w:p>
        </w:tc>
        <w:tc>
          <w:tcPr>
            <w:tcW w:w="1849" w:type="dxa"/>
            <w:tcBorders>
              <w:tl2br w:val="nil"/>
              <w:tr2bl w:val="nil"/>
            </w:tcBorders>
            <w:shd w:val="clear" w:color="auto" w:fill="auto"/>
            <w:vAlign w:val="bottom"/>
          </w:tcPr>
          <w:p w14:paraId="2EAA520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46.0013</w:t>
            </w:r>
          </w:p>
        </w:tc>
      </w:tr>
      <w:tr w14:paraId="7B0BE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0C130C2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590" w:type="pct"/>
            <w:vMerge w:val="continue"/>
            <w:tcBorders>
              <w:tl2br w:val="nil"/>
              <w:tr2bl w:val="nil"/>
            </w:tcBorders>
            <w:shd w:val="clear" w:color="auto" w:fill="auto"/>
            <w:vAlign w:val="center"/>
          </w:tcPr>
          <w:p w14:paraId="15FD695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422067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47166F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2.8071</w:t>
            </w:r>
          </w:p>
        </w:tc>
        <w:tc>
          <w:tcPr>
            <w:tcW w:w="1849" w:type="dxa"/>
            <w:tcBorders>
              <w:tl2br w:val="nil"/>
              <w:tr2bl w:val="nil"/>
            </w:tcBorders>
            <w:shd w:val="clear" w:color="auto" w:fill="auto"/>
            <w:vAlign w:val="bottom"/>
          </w:tcPr>
          <w:p w14:paraId="6FC37B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44.9321</w:t>
            </w:r>
          </w:p>
        </w:tc>
      </w:tr>
      <w:tr w14:paraId="2EF72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4FABB3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590" w:type="pct"/>
            <w:vMerge w:val="continue"/>
            <w:tcBorders>
              <w:tl2br w:val="nil"/>
              <w:tr2bl w:val="nil"/>
            </w:tcBorders>
            <w:shd w:val="clear" w:color="auto" w:fill="auto"/>
            <w:vAlign w:val="center"/>
          </w:tcPr>
          <w:p w14:paraId="391BDBF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685091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33C9CB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2.1273</w:t>
            </w:r>
          </w:p>
        </w:tc>
        <w:tc>
          <w:tcPr>
            <w:tcW w:w="1849" w:type="dxa"/>
            <w:tcBorders>
              <w:tl2br w:val="nil"/>
              <w:tr2bl w:val="nil"/>
            </w:tcBorders>
            <w:shd w:val="clear" w:color="auto" w:fill="auto"/>
            <w:vAlign w:val="bottom"/>
          </w:tcPr>
          <w:p w14:paraId="0B6894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44.1417</w:t>
            </w:r>
          </w:p>
        </w:tc>
      </w:tr>
      <w:tr w14:paraId="23F67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49AF9A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590" w:type="pct"/>
            <w:vMerge w:val="continue"/>
            <w:tcBorders>
              <w:tl2br w:val="nil"/>
              <w:tr2bl w:val="nil"/>
            </w:tcBorders>
            <w:shd w:val="clear" w:color="auto" w:fill="auto"/>
            <w:vAlign w:val="center"/>
          </w:tcPr>
          <w:p w14:paraId="003C0B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5C0BAFC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643875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1.7854</w:t>
            </w:r>
          </w:p>
        </w:tc>
        <w:tc>
          <w:tcPr>
            <w:tcW w:w="1849" w:type="dxa"/>
            <w:tcBorders>
              <w:tl2br w:val="nil"/>
              <w:tr2bl w:val="nil"/>
            </w:tcBorders>
            <w:shd w:val="clear" w:color="auto" w:fill="auto"/>
            <w:vAlign w:val="bottom"/>
          </w:tcPr>
          <w:p w14:paraId="27CEBA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43.7373</w:t>
            </w:r>
          </w:p>
        </w:tc>
      </w:tr>
      <w:tr w14:paraId="7F0B84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79FFA03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590" w:type="pct"/>
            <w:vMerge w:val="continue"/>
            <w:tcBorders>
              <w:tl2br w:val="nil"/>
              <w:tr2bl w:val="nil"/>
            </w:tcBorders>
            <w:shd w:val="clear" w:color="auto" w:fill="auto"/>
            <w:vAlign w:val="center"/>
          </w:tcPr>
          <w:p w14:paraId="26EE30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25CA7A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4FD245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1.8781</w:t>
            </w:r>
          </w:p>
        </w:tc>
        <w:tc>
          <w:tcPr>
            <w:tcW w:w="1849" w:type="dxa"/>
            <w:tcBorders>
              <w:tl2br w:val="nil"/>
              <w:tr2bl w:val="nil"/>
            </w:tcBorders>
            <w:shd w:val="clear" w:color="auto" w:fill="auto"/>
            <w:vAlign w:val="bottom"/>
          </w:tcPr>
          <w:p w14:paraId="1E88795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43.7596</w:t>
            </w:r>
          </w:p>
        </w:tc>
      </w:tr>
      <w:tr w14:paraId="242E08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70E27C5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590" w:type="pct"/>
            <w:vMerge w:val="continue"/>
            <w:tcBorders>
              <w:tl2br w:val="nil"/>
              <w:tr2bl w:val="nil"/>
            </w:tcBorders>
            <w:shd w:val="clear" w:color="auto" w:fill="auto"/>
            <w:vAlign w:val="center"/>
          </w:tcPr>
          <w:p w14:paraId="5C1B759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1D6C23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48E3C0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2.3645</w:t>
            </w:r>
          </w:p>
        </w:tc>
        <w:tc>
          <w:tcPr>
            <w:tcW w:w="1849" w:type="dxa"/>
            <w:tcBorders>
              <w:tl2br w:val="nil"/>
              <w:tr2bl w:val="nil"/>
            </w:tcBorders>
            <w:shd w:val="clear" w:color="auto" w:fill="auto"/>
            <w:vAlign w:val="bottom"/>
          </w:tcPr>
          <w:p w14:paraId="7A07265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44.2008</w:t>
            </w:r>
          </w:p>
        </w:tc>
      </w:tr>
      <w:tr w14:paraId="53AB2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7A60AC3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590" w:type="pct"/>
            <w:vMerge w:val="continue"/>
            <w:tcBorders>
              <w:tl2br w:val="nil"/>
              <w:tr2bl w:val="nil"/>
            </w:tcBorders>
            <w:shd w:val="clear" w:color="auto" w:fill="auto"/>
            <w:vAlign w:val="center"/>
          </w:tcPr>
          <w:p w14:paraId="2FA186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3A9B20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5353F2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3.1291</w:t>
            </w:r>
          </w:p>
        </w:tc>
        <w:tc>
          <w:tcPr>
            <w:tcW w:w="1849" w:type="dxa"/>
            <w:tcBorders>
              <w:tl2br w:val="nil"/>
              <w:tr2bl w:val="nil"/>
            </w:tcBorders>
            <w:shd w:val="clear" w:color="auto" w:fill="auto"/>
            <w:vAlign w:val="bottom"/>
          </w:tcPr>
          <w:p w14:paraId="19BBB4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44.9985</w:t>
            </w:r>
          </w:p>
        </w:tc>
      </w:tr>
      <w:tr w14:paraId="63561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08BF58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590" w:type="pct"/>
            <w:vMerge w:val="continue"/>
            <w:tcBorders>
              <w:tl2br w:val="nil"/>
              <w:tr2bl w:val="nil"/>
            </w:tcBorders>
            <w:shd w:val="clear" w:color="auto" w:fill="auto"/>
            <w:vAlign w:val="center"/>
          </w:tcPr>
          <w:p w14:paraId="52B8E8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3AAA4C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1C462A1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4.0825</w:t>
            </w:r>
          </w:p>
        </w:tc>
        <w:tc>
          <w:tcPr>
            <w:tcW w:w="1849" w:type="dxa"/>
            <w:tcBorders>
              <w:tl2br w:val="nil"/>
              <w:tr2bl w:val="nil"/>
            </w:tcBorders>
            <w:shd w:val="clear" w:color="auto" w:fill="auto"/>
            <w:vAlign w:val="bottom"/>
          </w:tcPr>
          <w:p w14:paraId="51D01B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46.0036</w:t>
            </w:r>
          </w:p>
        </w:tc>
      </w:tr>
      <w:tr w14:paraId="0D7A6F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3C8A0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590" w:type="pct"/>
            <w:vMerge w:val="continue"/>
            <w:tcBorders>
              <w:tl2br w:val="nil"/>
              <w:tr2bl w:val="nil"/>
            </w:tcBorders>
            <w:shd w:val="clear" w:color="auto" w:fill="auto"/>
            <w:vAlign w:val="center"/>
          </w:tcPr>
          <w:p w14:paraId="376D2F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C2BCB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2AF6FE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5.1291</w:t>
            </w:r>
          </w:p>
        </w:tc>
        <w:tc>
          <w:tcPr>
            <w:tcW w:w="1849" w:type="dxa"/>
            <w:tcBorders>
              <w:tl2br w:val="nil"/>
              <w:tr2bl w:val="nil"/>
            </w:tcBorders>
            <w:shd w:val="clear" w:color="auto" w:fill="auto"/>
            <w:vAlign w:val="bottom"/>
          </w:tcPr>
          <w:p w14:paraId="54EC398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46.9293</w:t>
            </w:r>
          </w:p>
        </w:tc>
      </w:tr>
      <w:tr w14:paraId="69309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5FC915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590" w:type="pct"/>
            <w:vMerge w:val="continue"/>
            <w:tcBorders>
              <w:tl2br w:val="nil"/>
              <w:tr2bl w:val="nil"/>
            </w:tcBorders>
            <w:shd w:val="clear" w:color="auto" w:fill="auto"/>
            <w:vAlign w:val="center"/>
          </w:tcPr>
          <w:p w14:paraId="0EF9B8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4435655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17EE71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6.1233</w:t>
            </w:r>
          </w:p>
        </w:tc>
        <w:tc>
          <w:tcPr>
            <w:tcW w:w="1849" w:type="dxa"/>
            <w:tcBorders>
              <w:tl2br w:val="nil"/>
              <w:tr2bl w:val="nil"/>
            </w:tcBorders>
            <w:shd w:val="clear" w:color="auto" w:fill="auto"/>
            <w:vAlign w:val="bottom"/>
          </w:tcPr>
          <w:p w14:paraId="219EEE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47.3188</w:t>
            </w:r>
          </w:p>
        </w:tc>
      </w:tr>
      <w:tr w14:paraId="39EF3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020EAD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590" w:type="pct"/>
            <w:vMerge w:val="continue"/>
            <w:tcBorders>
              <w:tl2br w:val="nil"/>
              <w:tr2bl w:val="nil"/>
            </w:tcBorders>
            <w:shd w:val="clear" w:color="auto" w:fill="auto"/>
            <w:vAlign w:val="center"/>
          </w:tcPr>
          <w:p w14:paraId="5DC002A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CA66F7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3448" w:type="dxa"/>
            <w:tcBorders>
              <w:tl2br w:val="nil"/>
              <w:tr2bl w:val="nil"/>
            </w:tcBorders>
            <w:shd w:val="clear" w:color="auto" w:fill="auto"/>
            <w:vAlign w:val="bottom"/>
          </w:tcPr>
          <w:p w14:paraId="23C3FC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6.8689</w:t>
            </w:r>
          </w:p>
        </w:tc>
        <w:tc>
          <w:tcPr>
            <w:tcW w:w="1849" w:type="dxa"/>
            <w:tcBorders>
              <w:tl2br w:val="nil"/>
              <w:tr2bl w:val="nil"/>
            </w:tcBorders>
            <w:shd w:val="clear" w:color="auto" w:fill="auto"/>
            <w:vAlign w:val="bottom"/>
          </w:tcPr>
          <w:p w14:paraId="5B6AD25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46.6194</w:t>
            </w:r>
          </w:p>
        </w:tc>
      </w:tr>
      <w:tr w14:paraId="54EC5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0AC6BA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590" w:type="pct"/>
            <w:vMerge w:val="restart"/>
            <w:tcBorders>
              <w:tl2br w:val="nil"/>
              <w:tr2bl w:val="nil"/>
            </w:tcBorders>
            <w:shd w:val="clear" w:color="auto" w:fill="auto"/>
            <w:vAlign w:val="center"/>
          </w:tcPr>
          <w:p w14:paraId="43A1C6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589" w:type="pct"/>
            <w:tcBorders>
              <w:tl2br w:val="nil"/>
              <w:tr2bl w:val="nil"/>
            </w:tcBorders>
            <w:shd w:val="clear" w:color="auto" w:fill="auto"/>
            <w:vAlign w:val="bottom"/>
          </w:tcPr>
          <w:p w14:paraId="0396BDC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0.2</w:t>
            </w:r>
          </w:p>
        </w:tc>
        <w:tc>
          <w:tcPr>
            <w:tcW w:w="3448" w:type="dxa"/>
            <w:tcBorders>
              <w:tl2br w:val="nil"/>
              <w:tr2bl w:val="nil"/>
            </w:tcBorders>
            <w:shd w:val="clear" w:color="auto" w:fill="auto"/>
            <w:vAlign w:val="bottom"/>
          </w:tcPr>
          <w:p w14:paraId="257E4E8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7.185</w:t>
            </w:r>
          </w:p>
        </w:tc>
        <w:tc>
          <w:tcPr>
            <w:tcW w:w="1849" w:type="dxa"/>
            <w:tcBorders>
              <w:tl2br w:val="nil"/>
              <w:tr2bl w:val="nil"/>
            </w:tcBorders>
            <w:shd w:val="clear" w:color="auto" w:fill="auto"/>
            <w:vAlign w:val="bottom"/>
          </w:tcPr>
          <w:p w14:paraId="0DC82DB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44.4451</w:t>
            </w:r>
          </w:p>
        </w:tc>
      </w:tr>
      <w:tr w14:paraId="4F670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7623F1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590" w:type="pct"/>
            <w:vMerge w:val="continue"/>
            <w:tcBorders>
              <w:tl2br w:val="nil"/>
              <w:tr2bl w:val="nil"/>
            </w:tcBorders>
            <w:shd w:val="clear" w:color="auto" w:fill="auto"/>
            <w:vAlign w:val="center"/>
          </w:tcPr>
          <w:p w14:paraId="6FF9C4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6DDFE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1.2</w:t>
            </w:r>
          </w:p>
        </w:tc>
        <w:tc>
          <w:tcPr>
            <w:tcW w:w="3448" w:type="dxa"/>
            <w:tcBorders>
              <w:tl2br w:val="nil"/>
              <w:tr2bl w:val="nil"/>
            </w:tcBorders>
            <w:shd w:val="clear" w:color="auto" w:fill="auto"/>
            <w:vAlign w:val="bottom"/>
          </w:tcPr>
          <w:p w14:paraId="27FF57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7.0115</w:t>
            </w:r>
          </w:p>
        </w:tc>
        <w:tc>
          <w:tcPr>
            <w:tcW w:w="1849" w:type="dxa"/>
            <w:tcBorders>
              <w:tl2br w:val="nil"/>
              <w:tr2bl w:val="nil"/>
            </w:tcBorders>
            <w:shd w:val="clear" w:color="auto" w:fill="auto"/>
            <w:vAlign w:val="bottom"/>
          </w:tcPr>
          <w:p w14:paraId="638D91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40.8805</w:t>
            </w:r>
          </w:p>
        </w:tc>
      </w:tr>
      <w:tr w14:paraId="3EE3E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522244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590" w:type="pct"/>
            <w:vMerge w:val="continue"/>
            <w:tcBorders>
              <w:tl2br w:val="nil"/>
              <w:tr2bl w:val="nil"/>
            </w:tcBorders>
            <w:shd w:val="clear" w:color="auto" w:fill="auto"/>
            <w:vAlign w:val="bottom"/>
          </w:tcPr>
          <w:p w14:paraId="14E1BC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D7E42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2.2</w:t>
            </w:r>
          </w:p>
        </w:tc>
        <w:tc>
          <w:tcPr>
            <w:tcW w:w="3448" w:type="dxa"/>
            <w:tcBorders>
              <w:tl2br w:val="nil"/>
              <w:tr2bl w:val="nil"/>
            </w:tcBorders>
            <w:shd w:val="clear" w:color="auto" w:fill="auto"/>
            <w:vAlign w:val="bottom"/>
          </w:tcPr>
          <w:p w14:paraId="365292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6.4466</w:t>
            </w:r>
          </w:p>
        </w:tc>
        <w:tc>
          <w:tcPr>
            <w:tcW w:w="1849" w:type="dxa"/>
            <w:tcBorders>
              <w:tl2br w:val="nil"/>
              <w:tr2bl w:val="nil"/>
            </w:tcBorders>
            <w:shd w:val="clear" w:color="auto" w:fill="auto"/>
            <w:vAlign w:val="bottom"/>
          </w:tcPr>
          <w:p w14:paraId="5BC689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36.4756</w:t>
            </w:r>
          </w:p>
        </w:tc>
      </w:tr>
      <w:tr w14:paraId="61A9A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1DD8EB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590" w:type="pct"/>
            <w:vMerge w:val="continue"/>
            <w:tcBorders>
              <w:tl2br w:val="nil"/>
              <w:tr2bl w:val="nil"/>
            </w:tcBorders>
            <w:shd w:val="clear" w:color="auto" w:fill="auto"/>
            <w:vAlign w:val="bottom"/>
          </w:tcPr>
          <w:p w14:paraId="50F7EA0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4C7B05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3.2</w:t>
            </w:r>
          </w:p>
        </w:tc>
        <w:tc>
          <w:tcPr>
            <w:tcW w:w="3448" w:type="dxa"/>
            <w:tcBorders>
              <w:tl2br w:val="nil"/>
              <w:tr2bl w:val="nil"/>
            </w:tcBorders>
            <w:shd w:val="clear" w:color="auto" w:fill="auto"/>
            <w:vAlign w:val="bottom"/>
          </w:tcPr>
          <w:p w14:paraId="0DC432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5.6714</w:t>
            </w:r>
          </w:p>
        </w:tc>
        <w:tc>
          <w:tcPr>
            <w:tcW w:w="1849" w:type="dxa"/>
            <w:tcBorders>
              <w:tl2br w:val="nil"/>
              <w:tr2bl w:val="nil"/>
            </w:tcBorders>
            <w:shd w:val="clear" w:color="auto" w:fill="auto"/>
            <w:vAlign w:val="bottom"/>
          </w:tcPr>
          <w:p w14:paraId="5309AA9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31.8979</w:t>
            </w:r>
          </w:p>
        </w:tc>
      </w:tr>
      <w:tr w14:paraId="7138CB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3621755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590" w:type="pct"/>
            <w:vMerge w:val="continue"/>
            <w:tcBorders>
              <w:tl2br w:val="nil"/>
              <w:tr2bl w:val="nil"/>
            </w:tcBorders>
            <w:shd w:val="clear" w:color="auto" w:fill="auto"/>
            <w:vAlign w:val="bottom"/>
          </w:tcPr>
          <w:p w14:paraId="62863AE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68C35C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8.2</w:t>
            </w:r>
          </w:p>
        </w:tc>
        <w:tc>
          <w:tcPr>
            <w:tcW w:w="3448" w:type="dxa"/>
            <w:tcBorders>
              <w:tl2br w:val="nil"/>
              <w:tr2bl w:val="nil"/>
            </w:tcBorders>
            <w:shd w:val="clear" w:color="auto" w:fill="auto"/>
            <w:vAlign w:val="bottom"/>
          </w:tcPr>
          <w:p w14:paraId="784556D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2.3764</w:t>
            </w:r>
          </w:p>
        </w:tc>
        <w:tc>
          <w:tcPr>
            <w:tcW w:w="1849" w:type="dxa"/>
            <w:tcBorders>
              <w:tl2br w:val="nil"/>
              <w:tr2bl w:val="nil"/>
            </w:tcBorders>
            <w:shd w:val="clear" w:color="auto" w:fill="auto"/>
            <w:vAlign w:val="bottom"/>
          </w:tcPr>
          <w:p w14:paraId="74499BB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15.7709</w:t>
            </w:r>
          </w:p>
        </w:tc>
      </w:tr>
      <w:tr w14:paraId="55F0F9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6AFC42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590" w:type="pct"/>
            <w:vMerge w:val="continue"/>
            <w:tcBorders>
              <w:tl2br w:val="nil"/>
              <w:tr2bl w:val="nil"/>
            </w:tcBorders>
            <w:shd w:val="clear" w:color="auto" w:fill="auto"/>
            <w:vAlign w:val="bottom"/>
          </w:tcPr>
          <w:p w14:paraId="44ABA94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2EB0DE3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13.2</w:t>
            </w:r>
          </w:p>
        </w:tc>
        <w:tc>
          <w:tcPr>
            <w:tcW w:w="3448" w:type="dxa"/>
            <w:tcBorders>
              <w:tl2br w:val="nil"/>
              <w:tr2bl w:val="nil"/>
            </w:tcBorders>
            <w:shd w:val="clear" w:color="auto" w:fill="auto"/>
            <w:vAlign w:val="bottom"/>
          </w:tcPr>
          <w:p w14:paraId="7A7BE48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1.0606</w:t>
            </w:r>
          </w:p>
        </w:tc>
        <w:tc>
          <w:tcPr>
            <w:tcW w:w="1849" w:type="dxa"/>
            <w:tcBorders>
              <w:tl2br w:val="nil"/>
              <w:tr2bl w:val="nil"/>
            </w:tcBorders>
            <w:shd w:val="clear" w:color="auto" w:fill="auto"/>
            <w:vAlign w:val="bottom"/>
          </w:tcPr>
          <w:p w14:paraId="405676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8.9264</w:t>
            </w:r>
          </w:p>
        </w:tc>
      </w:tr>
      <w:tr w14:paraId="15827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4DD1E71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590" w:type="pct"/>
            <w:vMerge w:val="continue"/>
            <w:tcBorders>
              <w:tl2br w:val="nil"/>
              <w:tr2bl w:val="nil"/>
            </w:tcBorders>
            <w:shd w:val="clear" w:color="auto" w:fill="auto"/>
            <w:vAlign w:val="bottom"/>
          </w:tcPr>
          <w:p w14:paraId="201E47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35590D2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18.2</w:t>
            </w:r>
          </w:p>
        </w:tc>
        <w:tc>
          <w:tcPr>
            <w:tcW w:w="3448" w:type="dxa"/>
            <w:tcBorders>
              <w:tl2br w:val="nil"/>
              <w:tr2bl w:val="nil"/>
            </w:tcBorders>
            <w:shd w:val="clear" w:color="auto" w:fill="auto"/>
            <w:vAlign w:val="bottom"/>
          </w:tcPr>
          <w:p w14:paraId="7496D0F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0.5589</w:t>
            </w:r>
          </w:p>
        </w:tc>
        <w:tc>
          <w:tcPr>
            <w:tcW w:w="1849" w:type="dxa"/>
            <w:tcBorders>
              <w:tl2br w:val="nil"/>
              <w:tr2bl w:val="nil"/>
            </w:tcBorders>
            <w:shd w:val="clear" w:color="auto" w:fill="auto"/>
            <w:vAlign w:val="bottom"/>
          </w:tcPr>
          <w:p w14:paraId="698486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5.7091</w:t>
            </w:r>
          </w:p>
        </w:tc>
      </w:tr>
      <w:tr w14:paraId="1A29E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270FC70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590" w:type="pct"/>
            <w:vMerge w:val="continue"/>
            <w:tcBorders>
              <w:tl2br w:val="nil"/>
              <w:tr2bl w:val="nil"/>
            </w:tcBorders>
            <w:shd w:val="clear" w:color="auto" w:fill="auto"/>
            <w:vAlign w:val="bottom"/>
          </w:tcPr>
          <w:p w14:paraId="6AF6D7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7C6F17F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23.2</w:t>
            </w:r>
          </w:p>
        </w:tc>
        <w:tc>
          <w:tcPr>
            <w:tcW w:w="3448" w:type="dxa"/>
            <w:tcBorders>
              <w:tl2br w:val="nil"/>
              <w:tr2bl w:val="nil"/>
            </w:tcBorders>
            <w:shd w:val="clear" w:color="auto" w:fill="auto"/>
            <w:vAlign w:val="bottom"/>
          </w:tcPr>
          <w:p w14:paraId="1C709DE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0.3369</w:t>
            </w:r>
          </w:p>
        </w:tc>
        <w:tc>
          <w:tcPr>
            <w:tcW w:w="1849" w:type="dxa"/>
            <w:tcBorders>
              <w:tl2br w:val="nil"/>
              <w:tr2bl w:val="nil"/>
            </w:tcBorders>
            <w:shd w:val="clear" w:color="auto" w:fill="auto"/>
            <w:vAlign w:val="bottom"/>
          </w:tcPr>
          <w:p w14:paraId="1A708D9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3.9639</w:t>
            </w:r>
          </w:p>
        </w:tc>
      </w:tr>
      <w:tr w14:paraId="7DD75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3B299B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590" w:type="pct"/>
            <w:vMerge w:val="continue"/>
            <w:tcBorders>
              <w:tl2br w:val="nil"/>
              <w:tr2bl w:val="nil"/>
            </w:tcBorders>
            <w:shd w:val="clear" w:color="auto" w:fill="auto"/>
            <w:vAlign w:val="bottom"/>
          </w:tcPr>
          <w:p w14:paraId="5B006C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3DB963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28.2</w:t>
            </w:r>
          </w:p>
        </w:tc>
        <w:tc>
          <w:tcPr>
            <w:tcW w:w="3448" w:type="dxa"/>
            <w:tcBorders>
              <w:tl2br w:val="nil"/>
              <w:tr2bl w:val="nil"/>
            </w:tcBorders>
            <w:shd w:val="clear" w:color="auto" w:fill="auto"/>
            <w:vAlign w:val="bottom"/>
          </w:tcPr>
          <w:p w14:paraId="79B07B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0.224</w:t>
            </w:r>
          </w:p>
        </w:tc>
        <w:tc>
          <w:tcPr>
            <w:tcW w:w="1849" w:type="dxa"/>
            <w:tcBorders>
              <w:tl2br w:val="nil"/>
              <w:tr2bl w:val="nil"/>
            </w:tcBorders>
            <w:shd w:val="clear" w:color="auto" w:fill="auto"/>
            <w:vAlign w:val="bottom"/>
          </w:tcPr>
          <w:p w14:paraId="294F71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2.9137</w:t>
            </w:r>
          </w:p>
        </w:tc>
      </w:tr>
      <w:tr w14:paraId="7D702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7E17A9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590" w:type="pct"/>
            <w:vMerge w:val="continue"/>
            <w:tcBorders>
              <w:tl2br w:val="nil"/>
              <w:tr2bl w:val="nil"/>
            </w:tcBorders>
            <w:shd w:val="clear" w:color="auto" w:fill="auto"/>
            <w:vAlign w:val="bottom"/>
          </w:tcPr>
          <w:p w14:paraId="1724719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0EA523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33.2</w:t>
            </w:r>
          </w:p>
        </w:tc>
        <w:tc>
          <w:tcPr>
            <w:tcW w:w="3448" w:type="dxa"/>
            <w:tcBorders>
              <w:tl2br w:val="nil"/>
              <w:tr2bl w:val="nil"/>
            </w:tcBorders>
            <w:shd w:val="clear" w:color="auto" w:fill="auto"/>
            <w:vAlign w:val="bottom"/>
          </w:tcPr>
          <w:p w14:paraId="4272BD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0.1597</w:t>
            </w:r>
          </w:p>
        </w:tc>
        <w:tc>
          <w:tcPr>
            <w:tcW w:w="1849" w:type="dxa"/>
            <w:tcBorders>
              <w:tl2br w:val="nil"/>
              <w:tr2bl w:val="nil"/>
            </w:tcBorders>
            <w:shd w:val="clear" w:color="auto" w:fill="auto"/>
            <w:vAlign w:val="bottom"/>
          </w:tcPr>
          <w:p w14:paraId="613A72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2.2327</w:t>
            </w:r>
          </w:p>
        </w:tc>
      </w:tr>
      <w:tr w14:paraId="51BED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31493F8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590" w:type="pct"/>
            <w:vMerge w:val="continue"/>
            <w:tcBorders>
              <w:tl2br w:val="nil"/>
              <w:tr2bl w:val="nil"/>
            </w:tcBorders>
            <w:shd w:val="clear" w:color="auto" w:fill="auto"/>
            <w:vAlign w:val="bottom"/>
          </w:tcPr>
          <w:p w14:paraId="7A71DA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5DE42EF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38.2</w:t>
            </w:r>
          </w:p>
        </w:tc>
        <w:tc>
          <w:tcPr>
            <w:tcW w:w="3448" w:type="dxa"/>
            <w:tcBorders>
              <w:tl2br w:val="nil"/>
              <w:tr2bl w:val="nil"/>
            </w:tcBorders>
            <w:shd w:val="clear" w:color="auto" w:fill="auto"/>
            <w:vAlign w:val="bottom"/>
          </w:tcPr>
          <w:p w14:paraId="397F6C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0.1198</w:t>
            </w:r>
          </w:p>
        </w:tc>
        <w:tc>
          <w:tcPr>
            <w:tcW w:w="1849" w:type="dxa"/>
            <w:tcBorders>
              <w:tl2br w:val="nil"/>
              <w:tr2bl w:val="nil"/>
            </w:tcBorders>
            <w:shd w:val="clear" w:color="auto" w:fill="auto"/>
            <w:vAlign w:val="bottom"/>
          </w:tcPr>
          <w:p w14:paraId="139903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1.7659</w:t>
            </w:r>
          </w:p>
        </w:tc>
      </w:tr>
      <w:tr w14:paraId="69D51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bottom"/>
          </w:tcPr>
          <w:p w14:paraId="1818EA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590" w:type="pct"/>
            <w:vMerge w:val="continue"/>
            <w:tcBorders>
              <w:tl2br w:val="nil"/>
              <w:tr2bl w:val="nil"/>
            </w:tcBorders>
            <w:shd w:val="clear" w:color="auto" w:fill="auto"/>
            <w:vAlign w:val="bottom"/>
          </w:tcPr>
          <w:p w14:paraId="4C6BB9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89" w:type="pct"/>
            <w:tcBorders>
              <w:tl2br w:val="nil"/>
              <w:tr2bl w:val="nil"/>
            </w:tcBorders>
            <w:shd w:val="clear" w:color="auto" w:fill="auto"/>
            <w:vAlign w:val="bottom"/>
          </w:tcPr>
          <w:p w14:paraId="6E80818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43.2</w:t>
            </w:r>
          </w:p>
        </w:tc>
        <w:tc>
          <w:tcPr>
            <w:tcW w:w="3448" w:type="dxa"/>
            <w:tcBorders>
              <w:tl2br w:val="nil"/>
              <w:tr2bl w:val="nil"/>
            </w:tcBorders>
            <w:shd w:val="clear" w:color="auto" w:fill="auto"/>
            <w:vAlign w:val="bottom"/>
          </w:tcPr>
          <w:p w14:paraId="081F51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0.0934</w:t>
            </w:r>
          </w:p>
        </w:tc>
        <w:tc>
          <w:tcPr>
            <w:tcW w:w="1849" w:type="dxa"/>
            <w:tcBorders>
              <w:tl2br w:val="nil"/>
              <w:tr2bl w:val="nil"/>
            </w:tcBorders>
            <w:shd w:val="clear" w:color="auto" w:fill="auto"/>
            <w:vAlign w:val="bottom"/>
          </w:tcPr>
          <w:p w14:paraId="4A7EFF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1.4319</w:t>
            </w:r>
          </w:p>
        </w:tc>
      </w:tr>
      <w:tr w14:paraId="0598B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04" w:type="pct"/>
            <w:gridSpan w:val="3"/>
            <w:tcBorders>
              <w:tl2br w:val="nil"/>
              <w:tr2bl w:val="nil"/>
            </w:tcBorders>
            <w:shd w:val="clear" w:color="auto" w:fill="auto"/>
            <w:vAlign w:val="bottom"/>
          </w:tcPr>
          <w:p w14:paraId="7A3CAB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eastAsia" w:ascii="Times New Roman" w:hAnsi="Times New Roman" w:cs="Times New Roman"/>
                <w:b/>
                <w:bCs/>
                <w:i w:val="0"/>
                <w:iCs w:val="0"/>
                <w:color w:val="auto"/>
                <w:kern w:val="0"/>
                <w:sz w:val="20"/>
                <w:szCs w:val="20"/>
                <w:u w:val="none"/>
                <w:lang w:val="en-US" w:eastAsia="zh-CN" w:bidi="ar"/>
              </w:rPr>
            </w:pPr>
            <w:r>
              <w:rPr>
                <w:rFonts w:hint="eastAsia" w:ascii="Times New Roman" w:hAnsi="Times New Roman" w:cs="Times New Roman"/>
                <w:b/>
                <w:bCs/>
                <w:i w:val="0"/>
                <w:iCs w:val="0"/>
                <w:color w:val="auto"/>
                <w:kern w:val="0"/>
                <w:sz w:val="20"/>
                <w:szCs w:val="20"/>
                <w:u w:val="none"/>
                <w:lang w:val="en-US" w:eastAsia="zh-CN" w:bidi="ar"/>
              </w:rPr>
              <w:t>电磁环境预测最大值</w:t>
            </w:r>
          </w:p>
        </w:tc>
        <w:tc>
          <w:tcPr>
            <w:tcW w:w="1949" w:type="pct"/>
            <w:tcBorders>
              <w:tl2br w:val="nil"/>
              <w:tr2bl w:val="nil"/>
            </w:tcBorders>
            <w:shd w:val="clear" w:color="auto" w:fill="auto"/>
            <w:vAlign w:val="bottom"/>
          </w:tcPr>
          <w:p w14:paraId="6E59202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7.2556</w:t>
            </w:r>
          </w:p>
        </w:tc>
        <w:tc>
          <w:tcPr>
            <w:tcW w:w="1045" w:type="pct"/>
            <w:tcBorders>
              <w:tl2br w:val="nil"/>
              <w:tr2bl w:val="nil"/>
            </w:tcBorders>
            <w:shd w:val="clear" w:color="auto" w:fill="auto"/>
            <w:vAlign w:val="bottom"/>
          </w:tcPr>
          <w:p w14:paraId="721B0C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47.9438</w:t>
            </w:r>
          </w:p>
        </w:tc>
      </w:tr>
    </w:tbl>
    <w:p w14:paraId="40F3B005">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11"/>
          <w:szCs w:val="11"/>
          <w:highlight w:val="none"/>
          <w:lang w:eastAsia="zh-CN"/>
        </w:rPr>
      </w:pPr>
    </w:p>
    <w:p w14:paraId="6868288C">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06415" cy="2725420"/>
            <wp:effectExtent l="0" t="0" r="13335" b="17780"/>
            <wp:docPr id="53" name="图片 53" descr="工频电场图 单回三角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工频电场图 单回三角排列 6.5m"/>
                    <pic:cNvPicPr>
                      <a:picLocks noChangeAspect="1"/>
                    </pic:cNvPicPr>
                  </pic:nvPicPr>
                  <pic:blipFill>
                    <a:blip r:embed="rId66"/>
                    <a:stretch>
                      <a:fillRect/>
                    </a:stretch>
                  </pic:blipFill>
                  <pic:spPr>
                    <a:xfrm>
                      <a:off x="0" y="0"/>
                      <a:ext cx="5606415" cy="2725420"/>
                    </a:xfrm>
                    <a:prstGeom prst="rect">
                      <a:avLst/>
                    </a:prstGeom>
                  </pic:spPr>
                </pic:pic>
              </a:graphicData>
            </a:graphic>
          </wp:inline>
        </w:drawing>
      </w:r>
    </w:p>
    <w:p w14:paraId="2ED9ADA8">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cs="Times New Roman"/>
          <w:b/>
          <w:color w:val="auto"/>
          <w:sz w:val="24"/>
          <w:highlight w:val="none"/>
        </w:rPr>
      </w:pPr>
      <w:r>
        <w:rPr>
          <w:rFonts w:ascii="Times New Roman" w:hAnsi="Times New Roman" w:cs="Times New Roman"/>
          <w:b/>
          <w:color w:val="auto"/>
          <w:sz w:val="24"/>
          <w:highlight w:val="none"/>
        </w:rPr>
        <w:t>图5-5  工频电场强度分布图</w:t>
      </w:r>
    </w:p>
    <w:p w14:paraId="77C89496">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2844800"/>
            <wp:effectExtent l="0" t="0" r="8255" b="12700"/>
            <wp:docPr id="54" name="图片 54" descr="电场等值线图 单回三角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电场等值线图 单回三角排列 6.5m"/>
                    <pic:cNvPicPr>
                      <a:picLocks noChangeAspect="1"/>
                    </pic:cNvPicPr>
                  </pic:nvPicPr>
                  <pic:blipFill>
                    <a:blip r:embed="rId67"/>
                    <a:srcRect b="3986"/>
                    <a:stretch>
                      <a:fillRect/>
                    </a:stretch>
                  </pic:blipFill>
                  <pic:spPr>
                    <a:xfrm>
                      <a:off x="0" y="0"/>
                      <a:ext cx="5611495" cy="2844800"/>
                    </a:xfrm>
                    <a:prstGeom prst="rect">
                      <a:avLst/>
                    </a:prstGeom>
                  </pic:spPr>
                </pic:pic>
              </a:graphicData>
            </a:graphic>
          </wp:inline>
        </w:drawing>
      </w:r>
    </w:p>
    <w:p w14:paraId="73721298">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6</w:t>
      </w:r>
      <w:r>
        <w:rPr>
          <w:rFonts w:ascii="Times New Roman" w:hAnsi="Times New Roman" w:cs="Times New Roman"/>
          <w:b/>
          <w:color w:val="auto"/>
          <w:sz w:val="24"/>
          <w:highlight w:val="none"/>
        </w:rPr>
        <w:t xml:space="preserve">  工频电场</w:t>
      </w:r>
      <w:r>
        <w:rPr>
          <w:rFonts w:hint="eastAsia" w:ascii="Times New Roman" w:hAnsi="Times New Roman" w:cs="Times New Roman"/>
          <w:b/>
          <w:color w:val="auto"/>
          <w:sz w:val="24"/>
          <w:highlight w:val="none"/>
        </w:rPr>
        <w:t>等值线图</w:t>
      </w:r>
    </w:p>
    <w:p w14:paraId="632D7F4E">
      <w:pPr>
        <w:pStyle w:val="2"/>
        <w:adjustRightIn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5305" cy="2544445"/>
            <wp:effectExtent l="0" t="0" r="4445" b="8255"/>
            <wp:docPr id="56" name="图片 56" descr="工频磁场图 单回三角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工频磁场图 单回三角排列 6.5m"/>
                    <pic:cNvPicPr>
                      <a:picLocks noChangeAspect="1"/>
                    </pic:cNvPicPr>
                  </pic:nvPicPr>
                  <pic:blipFill>
                    <a:blip r:embed="rId68"/>
                    <a:stretch>
                      <a:fillRect/>
                    </a:stretch>
                  </pic:blipFill>
                  <pic:spPr>
                    <a:xfrm>
                      <a:off x="0" y="0"/>
                      <a:ext cx="5615305" cy="2544445"/>
                    </a:xfrm>
                    <a:prstGeom prst="rect">
                      <a:avLst/>
                    </a:prstGeom>
                  </pic:spPr>
                </pic:pic>
              </a:graphicData>
            </a:graphic>
          </wp:inline>
        </w:drawing>
      </w:r>
    </w:p>
    <w:p w14:paraId="6B62D663">
      <w:pPr>
        <w:pStyle w:val="2"/>
        <w:adjustRightIn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7</w:t>
      </w:r>
      <w:r>
        <w:rPr>
          <w:rFonts w:ascii="Times New Roman" w:hAnsi="Times New Roman" w:cs="Times New Roman"/>
          <w:b/>
          <w:color w:val="auto"/>
          <w:sz w:val="24"/>
          <w:highlight w:val="none"/>
        </w:rPr>
        <w:t xml:space="preserve">  工频磁感应强度分布图</w:t>
      </w:r>
    </w:p>
    <w:p w14:paraId="39DF8408">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235325"/>
            <wp:effectExtent l="0" t="0" r="8255" b="3175"/>
            <wp:docPr id="55" name="图片 55" descr="磁场等值线图 单回三角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磁场等值线图 单回三角排列 6.5m"/>
                    <pic:cNvPicPr>
                      <a:picLocks noChangeAspect="1"/>
                    </pic:cNvPicPr>
                  </pic:nvPicPr>
                  <pic:blipFill>
                    <a:blip r:embed="rId69"/>
                    <a:srcRect b="3431"/>
                    <a:stretch>
                      <a:fillRect/>
                    </a:stretch>
                  </pic:blipFill>
                  <pic:spPr>
                    <a:xfrm>
                      <a:off x="0" y="0"/>
                      <a:ext cx="5611495" cy="3235325"/>
                    </a:xfrm>
                    <a:prstGeom prst="rect">
                      <a:avLst/>
                    </a:prstGeom>
                  </pic:spPr>
                </pic:pic>
              </a:graphicData>
            </a:graphic>
          </wp:inline>
        </w:drawing>
      </w:r>
    </w:p>
    <w:p w14:paraId="1D0D19DE">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Cs/>
          <w:color w:val="auto"/>
          <w:spacing w:val="-6"/>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8</w:t>
      </w:r>
      <w:r>
        <w:rPr>
          <w:rFonts w:ascii="Times New Roman" w:hAnsi="Times New Roman" w:cs="Times New Roman"/>
          <w:b/>
          <w:color w:val="auto"/>
          <w:sz w:val="24"/>
          <w:highlight w:val="none"/>
        </w:rPr>
        <w:t xml:space="preserve">  工频磁感应强度</w:t>
      </w:r>
      <w:r>
        <w:rPr>
          <w:rFonts w:hint="eastAsia" w:ascii="Times New Roman" w:hAnsi="Times New Roman" w:cs="Times New Roman"/>
          <w:b/>
          <w:color w:val="auto"/>
          <w:sz w:val="24"/>
          <w:highlight w:val="none"/>
        </w:rPr>
        <w:t>等值线图</w:t>
      </w:r>
    </w:p>
    <w:p w14:paraId="70D881CF">
      <w:pPr>
        <w:pStyle w:val="2"/>
        <w:adjustRightInd w:val="0"/>
        <w:spacing w:after="0" w:line="440" w:lineRule="atLeast"/>
        <w:ind w:firstLine="456" w:firstLineChars="200"/>
        <w:rPr>
          <w:rFonts w:ascii="Times New Roman" w:hAnsi="Times New Roman" w:cs="Times New Roman"/>
          <w:bCs/>
          <w:color w:val="auto"/>
          <w:spacing w:val="-6"/>
          <w:sz w:val="24"/>
          <w:highlight w:val="none"/>
        </w:rPr>
      </w:pPr>
      <w:r>
        <w:rPr>
          <w:rFonts w:ascii="Times New Roman" w:hAnsi="Times New Roman" w:cs="Times New Roman"/>
          <w:bCs/>
          <w:color w:val="auto"/>
          <w:spacing w:val="-6"/>
          <w:sz w:val="24"/>
          <w:highlight w:val="none"/>
        </w:rPr>
        <w:t>导线离地高度6.5m、距地面1.5m时，</w:t>
      </w:r>
      <w:r>
        <w:rPr>
          <w:rFonts w:hint="eastAsia" w:ascii="Times New Roman" w:hAnsi="Times New Roman" w:cs="Times New Roman"/>
          <w:bCs/>
          <w:color w:val="auto"/>
          <w:spacing w:val="-6"/>
          <w:sz w:val="24"/>
          <w:highlight w:val="none"/>
        </w:rPr>
        <w:t>220kV</w:t>
      </w:r>
      <w:r>
        <w:rPr>
          <w:rFonts w:ascii="Times New Roman" w:hAnsi="Times New Roman" w:cs="Times New Roman"/>
          <w:bCs/>
          <w:color w:val="auto"/>
          <w:spacing w:val="-6"/>
          <w:sz w:val="24"/>
          <w:highlight w:val="none"/>
        </w:rPr>
        <w:t>单回路</w:t>
      </w:r>
      <w:r>
        <w:rPr>
          <w:rFonts w:hint="eastAsia" w:cs="Times New Roman"/>
          <w:bCs/>
          <w:color w:val="auto"/>
          <w:spacing w:val="-6"/>
          <w:sz w:val="24"/>
          <w:highlight w:val="none"/>
          <w:lang w:val="en-US" w:eastAsia="zh-CN"/>
        </w:rPr>
        <w:t>三角排列</w:t>
      </w:r>
      <w:r>
        <w:rPr>
          <w:rFonts w:hint="eastAsia" w:ascii="Times New Roman" w:hAnsi="Times New Roman" w:cs="Times New Roman"/>
          <w:bCs/>
          <w:color w:val="auto"/>
          <w:spacing w:val="-6"/>
          <w:sz w:val="24"/>
          <w:highlight w:val="none"/>
        </w:rPr>
        <w:t>架设</w:t>
      </w:r>
      <w:r>
        <w:rPr>
          <w:rFonts w:ascii="Times New Roman" w:hAnsi="Times New Roman" w:cs="Times New Roman"/>
          <w:bCs/>
          <w:color w:val="auto"/>
          <w:spacing w:val="-6"/>
          <w:sz w:val="24"/>
          <w:highlight w:val="none"/>
        </w:rPr>
        <w:t>线路产生的工频电场强度最大值出现在距离线路中心</w:t>
      </w:r>
      <w:r>
        <w:rPr>
          <w:rFonts w:hint="eastAsia" w:cs="Times New Roman"/>
          <w:bCs/>
          <w:color w:val="auto"/>
          <w:spacing w:val="-6"/>
          <w:sz w:val="24"/>
          <w:highlight w:val="none"/>
          <w:lang w:val="en-US" w:eastAsia="zh-CN"/>
        </w:rPr>
        <w:t>-8</w:t>
      </w:r>
      <w:r>
        <w:rPr>
          <w:rFonts w:ascii="Times New Roman" w:hAnsi="Times New Roman" w:cs="Times New Roman"/>
          <w:bCs/>
          <w:color w:val="auto"/>
          <w:spacing w:val="-6"/>
          <w:sz w:val="24"/>
          <w:highlight w:val="none"/>
        </w:rPr>
        <w:t>m处，为</w:t>
      </w:r>
      <w:r>
        <w:rPr>
          <w:rFonts w:hint="eastAsia" w:ascii="Times New Roman" w:hAnsi="Times New Roman" w:cs="Times New Roman"/>
          <w:bCs/>
          <w:color w:val="auto"/>
          <w:spacing w:val="-6"/>
          <w:sz w:val="24"/>
          <w:highlight w:val="none"/>
          <w:lang w:val="en-US" w:eastAsia="zh-CN"/>
        </w:rPr>
        <w:t>7.2556</w:t>
      </w:r>
      <w:r>
        <w:rPr>
          <w:rFonts w:ascii="Times New Roman" w:hAnsi="Times New Roman" w:cs="Times New Roman"/>
          <w:bCs/>
          <w:color w:val="auto"/>
          <w:spacing w:val="-6"/>
          <w:sz w:val="24"/>
          <w:highlight w:val="none"/>
        </w:rPr>
        <w:t>kV/m；工频磁感应强度最大值出现在距离线路中心</w:t>
      </w:r>
      <w:r>
        <w:rPr>
          <w:rFonts w:hint="eastAsia" w:cs="Times New Roman"/>
          <w:bCs/>
          <w:color w:val="auto"/>
          <w:spacing w:val="-6"/>
          <w:sz w:val="24"/>
          <w:highlight w:val="none"/>
          <w:lang w:val="en-US" w:eastAsia="zh-CN"/>
        </w:rPr>
        <w:t>-6</w:t>
      </w:r>
      <w:r>
        <w:rPr>
          <w:rFonts w:ascii="Times New Roman" w:hAnsi="Times New Roman" w:cs="Times New Roman"/>
          <w:bCs/>
          <w:color w:val="auto"/>
          <w:spacing w:val="-6"/>
          <w:sz w:val="24"/>
          <w:highlight w:val="none"/>
        </w:rPr>
        <w:t>m处，为</w:t>
      </w:r>
      <w:r>
        <w:rPr>
          <w:rFonts w:hint="eastAsia" w:ascii="Times New Roman" w:hAnsi="Times New Roman" w:cs="Times New Roman"/>
          <w:bCs/>
          <w:color w:val="auto"/>
          <w:spacing w:val="-6"/>
          <w:sz w:val="24"/>
          <w:highlight w:val="none"/>
          <w:lang w:val="en-US" w:eastAsia="zh-CN"/>
        </w:rPr>
        <w:t>47.9438</w:t>
      </w:r>
      <w:r>
        <w:rPr>
          <w:rFonts w:ascii="Times New Roman" w:hAnsi="Times New Roman" w:cs="Times New Roman"/>
          <w:bCs/>
          <w:color w:val="auto"/>
          <w:spacing w:val="-6"/>
          <w:sz w:val="24"/>
          <w:highlight w:val="none"/>
        </w:rPr>
        <w:t>μT。预测结果满足《电磁环境控制限值》（GB8702-2014）中</w:t>
      </w:r>
      <w:r>
        <w:rPr>
          <w:rFonts w:hint="eastAsia" w:cs="Times New Roman"/>
          <w:bCs/>
          <w:color w:val="auto"/>
          <w:spacing w:val="-6"/>
          <w:sz w:val="24"/>
          <w:highlight w:val="none"/>
          <w:lang w:eastAsia="zh-CN"/>
        </w:rPr>
        <w:t>其他地区</w:t>
      </w:r>
      <w:r>
        <w:rPr>
          <w:rFonts w:ascii="Times New Roman" w:hAnsi="Times New Roman" w:cs="Times New Roman"/>
          <w:bCs/>
          <w:color w:val="auto"/>
          <w:spacing w:val="-6"/>
          <w:sz w:val="24"/>
          <w:highlight w:val="none"/>
        </w:rPr>
        <w:t>工频电场强度10kV/m的标准要求。</w:t>
      </w:r>
    </w:p>
    <w:p w14:paraId="63B25456">
      <w:pPr>
        <w:pStyle w:val="2"/>
        <w:adjustRightInd w:val="0"/>
        <w:snapToGrid w:val="0"/>
        <w:spacing w:after="0" w:line="440" w:lineRule="exact"/>
        <w:ind w:firstLine="482" w:firstLineChars="200"/>
        <w:rPr>
          <w:rFonts w:hint="eastAsia" w:ascii="Times New Roman" w:hAnsi="Times New Roman" w:cs="Times New Roman"/>
          <w:b/>
          <w:bCs/>
          <w:color w:val="auto"/>
          <w:sz w:val="24"/>
        </w:rPr>
      </w:pPr>
      <w:r>
        <w:rPr>
          <w:rFonts w:hint="default" w:ascii="Times New Roman" w:hAnsi="Times New Roman" w:cs="Times New Roman"/>
          <w:b/>
          <w:bCs/>
          <w:color w:val="auto"/>
          <w:sz w:val="24"/>
          <w:lang w:val="en-US" w:eastAsia="zh-CN"/>
        </w:rPr>
        <w:t>②</w:t>
      </w:r>
      <w:r>
        <w:rPr>
          <w:rFonts w:hint="eastAsia" w:ascii="Times New Roman" w:hAnsi="Times New Roman" w:cs="Times New Roman"/>
          <w:b/>
          <w:bCs/>
          <w:color w:val="auto"/>
          <w:sz w:val="24"/>
          <w:lang w:val="en-US" w:eastAsia="zh-CN"/>
        </w:rPr>
        <w:t>水平排列</w:t>
      </w:r>
      <w:r>
        <w:rPr>
          <w:rFonts w:hint="eastAsia" w:ascii="Times New Roman" w:hAnsi="Times New Roman" w:cs="Times New Roman"/>
          <w:b/>
          <w:bCs/>
          <w:color w:val="auto"/>
          <w:sz w:val="24"/>
        </w:rPr>
        <w:t>架设电磁环境预测</w:t>
      </w:r>
    </w:p>
    <w:p w14:paraId="64492349">
      <w:pPr>
        <w:adjustRightInd w:val="0"/>
        <w:snapToGrid w:val="0"/>
        <w:spacing w:line="440" w:lineRule="exact"/>
        <w:ind w:firstLine="480" w:firstLineChars="200"/>
        <w:rPr>
          <w:rFonts w:ascii="Times New Roman" w:hAnsi="Times New Roman" w:cs="Times New Roman"/>
          <w:b/>
          <w:bCs/>
          <w:color w:val="auto"/>
          <w:spacing w:val="-6"/>
          <w:sz w:val="24"/>
          <w:highlight w:val="none"/>
        </w:rPr>
      </w:pPr>
      <w:r>
        <w:rPr>
          <w:rFonts w:ascii="Times New Roman" w:hAnsi="Times New Roman" w:cs="Times New Roman"/>
          <w:color w:val="auto"/>
          <w:sz w:val="24"/>
        </w:rPr>
        <w:t>本</w:t>
      </w:r>
      <w:r>
        <w:rPr>
          <w:rFonts w:hint="eastAsia" w:ascii="Times New Roman" w:hAnsi="Times New Roman" w:cs="Times New Roman"/>
          <w:color w:val="auto"/>
          <w:sz w:val="24"/>
        </w:rPr>
        <w:t>项目220kV单回路</w:t>
      </w:r>
      <w:r>
        <w:rPr>
          <w:rFonts w:hint="eastAsia" w:ascii="Times New Roman" w:hAnsi="Times New Roman" w:cs="Times New Roman"/>
          <w:color w:val="auto"/>
          <w:sz w:val="24"/>
          <w:lang w:val="en-US" w:eastAsia="zh-CN"/>
        </w:rPr>
        <w:t>水平排列</w:t>
      </w:r>
      <w:r>
        <w:rPr>
          <w:rFonts w:hint="eastAsia" w:ascii="Times New Roman" w:hAnsi="Times New Roman" w:cs="Times New Roman"/>
          <w:color w:val="auto"/>
          <w:sz w:val="24"/>
        </w:rPr>
        <w:t>架设非居民区</w:t>
      </w:r>
      <w:r>
        <w:rPr>
          <w:rFonts w:ascii="Times New Roman" w:hAnsi="Times New Roman" w:cs="Times New Roman"/>
          <w:color w:val="auto"/>
          <w:sz w:val="24"/>
        </w:rPr>
        <w:t>工频电场强度、工频磁感应强度预测结果见表5-2。</w:t>
      </w:r>
    </w:p>
    <w:p w14:paraId="43B9EBA8">
      <w:pPr>
        <w:pStyle w:val="2"/>
        <w:adjustRightInd w:val="0"/>
        <w:snapToGrid w:val="0"/>
        <w:spacing w:after="0"/>
        <w:jc w:val="center"/>
        <w:rPr>
          <w:rFonts w:hint="eastAsia" w:ascii="Times New Roman" w:hAnsi="Times New Roman" w:cs="Times New Roman"/>
          <w:bCs/>
          <w:color w:val="auto"/>
          <w:spacing w:val="-6"/>
          <w:sz w:val="24"/>
          <w:highlight w:val="none"/>
        </w:rPr>
      </w:pPr>
      <w:r>
        <w:rPr>
          <w:rFonts w:ascii="Times New Roman" w:hAnsi="Times New Roman" w:cs="Times New Roman"/>
          <w:b/>
          <w:bCs/>
          <w:color w:val="auto"/>
          <w:spacing w:val="-6"/>
          <w:sz w:val="24"/>
          <w:highlight w:val="none"/>
        </w:rPr>
        <w:t xml:space="preserve">表5-2  </w:t>
      </w:r>
      <w:r>
        <w:rPr>
          <w:rFonts w:hint="eastAsia" w:ascii="Times New Roman" w:hAnsi="Times New Roman" w:cs="Times New Roman"/>
          <w:b/>
          <w:bCs/>
          <w:color w:val="auto"/>
          <w:spacing w:val="-6"/>
          <w:sz w:val="24"/>
          <w:highlight w:val="none"/>
        </w:rPr>
        <w:t>220kV</w:t>
      </w:r>
      <w:r>
        <w:rPr>
          <w:rFonts w:ascii="Times New Roman" w:hAnsi="Times New Roman" w:cs="Times New Roman"/>
          <w:b/>
          <w:bCs/>
          <w:color w:val="auto"/>
          <w:spacing w:val="-6"/>
          <w:sz w:val="24"/>
          <w:highlight w:val="none"/>
        </w:rPr>
        <w:t>单回路</w:t>
      </w:r>
      <w:r>
        <w:rPr>
          <w:rFonts w:hint="eastAsia" w:cs="Times New Roman"/>
          <w:b/>
          <w:bCs/>
          <w:color w:val="auto"/>
          <w:spacing w:val="-6"/>
          <w:sz w:val="24"/>
          <w:highlight w:val="none"/>
          <w:lang w:val="en-US" w:eastAsia="zh-CN"/>
        </w:rPr>
        <w:t>水平排列</w:t>
      </w:r>
      <w:r>
        <w:rPr>
          <w:rFonts w:hint="eastAsia" w:ascii="Times New Roman" w:hAnsi="Times New Roman" w:cs="Times New Roman"/>
          <w:b/>
          <w:bCs/>
          <w:color w:val="auto"/>
          <w:spacing w:val="-6"/>
          <w:sz w:val="24"/>
          <w:highlight w:val="none"/>
        </w:rPr>
        <w:t>架设</w:t>
      </w:r>
      <w:r>
        <w:rPr>
          <w:rFonts w:ascii="Times New Roman" w:hAnsi="Times New Roman" w:cs="Times New Roman"/>
          <w:b/>
          <w:bCs/>
          <w:color w:val="auto"/>
          <w:spacing w:val="-6"/>
          <w:sz w:val="24"/>
          <w:highlight w:val="none"/>
        </w:rPr>
        <w:t>工频电场强度、工频磁感应强度预测结果</w:t>
      </w:r>
    </w:p>
    <w:tbl>
      <w:tblPr>
        <w:tblStyle w:val="27"/>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1067"/>
        <w:gridCol w:w="1071"/>
        <w:gridCol w:w="3231"/>
        <w:gridCol w:w="2194"/>
      </w:tblGrid>
      <w:tr w14:paraId="77309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restart"/>
            <w:tcBorders>
              <w:tl2br w:val="nil"/>
              <w:tr2bl w:val="nil"/>
            </w:tcBorders>
            <w:vAlign w:val="center"/>
          </w:tcPr>
          <w:p w14:paraId="711A11C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距线路中心距离（m）</w:t>
            </w:r>
          </w:p>
        </w:tc>
        <w:tc>
          <w:tcPr>
            <w:tcW w:w="1180" w:type="pct"/>
            <w:gridSpan w:val="2"/>
            <w:vMerge w:val="restart"/>
            <w:tcBorders>
              <w:tl2br w:val="nil"/>
              <w:tr2bl w:val="nil"/>
            </w:tcBorders>
            <w:vAlign w:val="center"/>
          </w:tcPr>
          <w:p w14:paraId="7A9BDEB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距边导线距离（m）</w:t>
            </w:r>
          </w:p>
        </w:tc>
        <w:tc>
          <w:tcPr>
            <w:tcW w:w="1783" w:type="pct"/>
            <w:tcBorders>
              <w:tl2br w:val="nil"/>
              <w:tr2bl w:val="nil"/>
            </w:tcBorders>
            <w:vAlign w:val="center"/>
          </w:tcPr>
          <w:p w14:paraId="03B7F90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工频电场强度kV/m</w:t>
            </w:r>
          </w:p>
        </w:tc>
        <w:tc>
          <w:tcPr>
            <w:tcW w:w="1211" w:type="pct"/>
            <w:tcBorders>
              <w:tl2br w:val="nil"/>
              <w:tr2bl w:val="nil"/>
            </w:tcBorders>
            <w:vAlign w:val="center"/>
          </w:tcPr>
          <w:p w14:paraId="435FD9B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工频磁感应强度μT</w:t>
            </w:r>
          </w:p>
        </w:tc>
      </w:tr>
      <w:tr w14:paraId="4CD66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continue"/>
            <w:tcBorders>
              <w:tl2br w:val="nil"/>
              <w:tr2bl w:val="nil"/>
            </w:tcBorders>
            <w:vAlign w:val="center"/>
          </w:tcPr>
          <w:p w14:paraId="469478E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180" w:type="pct"/>
            <w:gridSpan w:val="2"/>
            <w:vMerge w:val="continue"/>
            <w:tcBorders>
              <w:tl2br w:val="nil"/>
              <w:tr2bl w:val="nil"/>
            </w:tcBorders>
            <w:vAlign w:val="center"/>
          </w:tcPr>
          <w:p w14:paraId="0029FB3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783" w:type="pct"/>
            <w:tcBorders>
              <w:tl2br w:val="nil"/>
              <w:tr2bl w:val="nil"/>
            </w:tcBorders>
            <w:vAlign w:val="center"/>
          </w:tcPr>
          <w:p w14:paraId="4CD77C4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c>
          <w:tcPr>
            <w:tcW w:w="1211" w:type="pct"/>
            <w:tcBorders>
              <w:tl2br w:val="nil"/>
              <w:tr2bl w:val="nil"/>
            </w:tcBorders>
            <w:vAlign w:val="center"/>
          </w:tcPr>
          <w:p w14:paraId="55D9D58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r>
      <w:tr w14:paraId="12AB7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vMerge w:val="continue"/>
            <w:tcBorders>
              <w:tl2br w:val="nil"/>
              <w:tr2bl w:val="nil"/>
            </w:tcBorders>
            <w:vAlign w:val="center"/>
          </w:tcPr>
          <w:p w14:paraId="1066E9D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180" w:type="pct"/>
            <w:gridSpan w:val="2"/>
            <w:vMerge w:val="continue"/>
            <w:tcBorders>
              <w:tl2br w:val="nil"/>
              <w:tr2bl w:val="nil"/>
            </w:tcBorders>
            <w:vAlign w:val="center"/>
          </w:tcPr>
          <w:p w14:paraId="3F5F8CD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color w:val="auto"/>
                <w:szCs w:val="21"/>
                <w:highlight w:val="none"/>
              </w:rPr>
            </w:pPr>
          </w:p>
        </w:tc>
        <w:tc>
          <w:tcPr>
            <w:tcW w:w="1783" w:type="pct"/>
            <w:tcBorders>
              <w:tl2br w:val="nil"/>
              <w:tr2bl w:val="nil"/>
            </w:tcBorders>
            <w:vAlign w:val="center"/>
          </w:tcPr>
          <w:p w14:paraId="60C0F10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c>
          <w:tcPr>
            <w:tcW w:w="1211" w:type="pct"/>
            <w:tcBorders>
              <w:tl2br w:val="nil"/>
              <w:tr2bl w:val="nil"/>
            </w:tcBorders>
            <w:vAlign w:val="center"/>
          </w:tcPr>
          <w:p w14:paraId="48ED4B6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r>
      <w:tr w14:paraId="2168D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A57D3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589" w:type="pct"/>
            <w:vMerge w:val="restart"/>
            <w:tcBorders>
              <w:tl2br w:val="nil"/>
              <w:tr2bl w:val="nil"/>
            </w:tcBorders>
            <w:shd w:val="clear" w:color="auto" w:fill="auto"/>
            <w:vAlign w:val="center"/>
          </w:tcPr>
          <w:p w14:paraId="05833EB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591" w:type="pct"/>
            <w:tcBorders>
              <w:tl2br w:val="nil"/>
              <w:tr2bl w:val="nil"/>
            </w:tcBorders>
            <w:shd w:val="clear" w:color="auto" w:fill="auto"/>
            <w:vAlign w:val="center"/>
          </w:tcPr>
          <w:p w14:paraId="03457E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-39.8</w:t>
            </w:r>
          </w:p>
        </w:tc>
        <w:tc>
          <w:tcPr>
            <w:tcW w:w="1783" w:type="pct"/>
            <w:tcBorders>
              <w:tl2br w:val="nil"/>
              <w:tr2bl w:val="nil"/>
            </w:tcBorders>
            <w:shd w:val="clear" w:color="auto" w:fill="auto"/>
            <w:vAlign w:val="bottom"/>
          </w:tcPr>
          <w:p w14:paraId="2CFB28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0.109</w:t>
            </w:r>
          </w:p>
        </w:tc>
        <w:tc>
          <w:tcPr>
            <w:tcW w:w="1211" w:type="pct"/>
            <w:tcBorders>
              <w:tl2br w:val="nil"/>
              <w:tr2bl w:val="nil"/>
            </w:tcBorders>
            <w:shd w:val="clear" w:color="auto" w:fill="auto"/>
            <w:vAlign w:val="bottom"/>
          </w:tcPr>
          <w:p w14:paraId="45F7FC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1.9411</w:t>
            </w:r>
          </w:p>
        </w:tc>
      </w:tr>
      <w:tr w14:paraId="0E77E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4" w:type="pct"/>
            <w:tcBorders>
              <w:tl2br w:val="nil"/>
              <w:tr2bl w:val="nil"/>
            </w:tcBorders>
            <w:shd w:val="clear" w:color="auto" w:fill="auto"/>
            <w:vAlign w:val="center"/>
          </w:tcPr>
          <w:p w14:paraId="6B1CBB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589" w:type="pct"/>
            <w:vMerge w:val="continue"/>
            <w:tcBorders>
              <w:tl2br w:val="nil"/>
              <w:tr2bl w:val="nil"/>
            </w:tcBorders>
            <w:shd w:val="clear" w:color="auto" w:fill="auto"/>
            <w:vAlign w:val="center"/>
          </w:tcPr>
          <w:p w14:paraId="7E9248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067B8B1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-34.8</w:t>
            </w:r>
          </w:p>
        </w:tc>
        <w:tc>
          <w:tcPr>
            <w:tcW w:w="1783" w:type="pct"/>
            <w:tcBorders>
              <w:tl2br w:val="nil"/>
              <w:tr2bl w:val="nil"/>
            </w:tcBorders>
            <w:shd w:val="clear" w:color="auto" w:fill="auto"/>
            <w:vAlign w:val="bottom"/>
          </w:tcPr>
          <w:p w14:paraId="0C336A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0.1515</w:t>
            </w:r>
          </w:p>
        </w:tc>
        <w:tc>
          <w:tcPr>
            <w:tcW w:w="1211" w:type="pct"/>
            <w:tcBorders>
              <w:tl2br w:val="nil"/>
              <w:tr2bl w:val="nil"/>
            </w:tcBorders>
            <w:shd w:val="clear" w:color="auto" w:fill="auto"/>
            <w:vAlign w:val="bottom"/>
          </w:tcPr>
          <w:p w14:paraId="5F72B9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2.4176</w:t>
            </w:r>
          </w:p>
        </w:tc>
      </w:tr>
      <w:tr w14:paraId="620D6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4" w:type="pct"/>
            <w:tcBorders>
              <w:tl2br w:val="nil"/>
              <w:tr2bl w:val="nil"/>
            </w:tcBorders>
            <w:shd w:val="clear" w:color="auto" w:fill="auto"/>
            <w:vAlign w:val="center"/>
          </w:tcPr>
          <w:p w14:paraId="359550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589" w:type="pct"/>
            <w:vMerge w:val="continue"/>
            <w:tcBorders>
              <w:tl2br w:val="nil"/>
              <w:tr2bl w:val="nil"/>
            </w:tcBorders>
            <w:shd w:val="clear" w:color="auto" w:fill="auto"/>
            <w:vAlign w:val="center"/>
          </w:tcPr>
          <w:p w14:paraId="5CBE74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14249C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-29.8</w:t>
            </w:r>
          </w:p>
        </w:tc>
        <w:tc>
          <w:tcPr>
            <w:tcW w:w="1783" w:type="pct"/>
            <w:tcBorders>
              <w:tl2br w:val="nil"/>
              <w:tr2bl w:val="nil"/>
            </w:tcBorders>
            <w:shd w:val="clear" w:color="auto" w:fill="auto"/>
            <w:vAlign w:val="bottom"/>
          </w:tcPr>
          <w:p w14:paraId="2C2CE6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0.2195</w:t>
            </w:r>
          </w:p>
        </w:tc>
        <w:tc>
          <w:tcPr>
            <w:tcW w:w="1211" w:type="pct"/>
            <w:tcBorders>
              <w:tl2br w:val="nil"/>
              <w:tr2bl w:val="nil"/>
            </w:tcBorders>
            <w:shd w:val="clear" w:color="auto" w:fill="auto"/>
            <w:vAlign w:val="bottom"/>
          </w:tcPr>
          <w:p w14:paraId="5314D71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3.0974</w:t>
            </w:r>
          </w:p>
        </w:tc>
      </w:tr>
      <w:tr w14:paraId="1B369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2FC7F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589" w:type="pct"/>
            <w:vMerge w:val="continue"/>
            <w:tcBorders>
              <w:tl2br w:val="nil"/>
              <w:tr2bl w:val="nil"/>
            </w:tcBorders>
            <w:shd w:val="clear" w:color="auto" w:fill="auto"/>
            <w:vAlign w:val="center"/>
          </w:tcPr>
          <w:p w14:paraId="2B7E4D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71B3EA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-24.8</w:t>
            </w:r>
          </w:p>
        </w:tc>
        <w:tc>
          <w:tcPr>
            <w:tcW w:w="1783" w:type="pct"/>
            <w:tcBorders>
              <w:tl2br w:val="nil"/>
              <w:tr2bl w:val="nil"/>
            </w:tcBorders>
            <w:shd w:val="clear" w:color="auto" w:fill="auto"/>
            <w:vAlign w:val="bottom"/>
          </w:tcPr>
          <w:p w14:paraId="4FC55E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0.3357</w:t>
            </w:r>
          </w:p>
        </w:tc>
        <w:tc>
          <w:tcPr>
            <w:tcW w:w="1211" w:type="pct"/>
            <w:tcBorders>
              <w:tl2br w:val="nil"/>
              <w:tr2bl w:val="nil"/>
            </w:tcBorders>
            <w:shd w:val="clear" w:color="auto" w:fill="auto"/>
            <w:vAlign w:val="bottom"/>
          </w:tcPr>
          <w:p w14:paraId="7455AD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4.1171</w:t>
            </w:r>
          </w:p>
        </w:tc>
      </w:tr>
      <w:tr w14:paraId="35799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7F2AA0F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589" w:type="pct"/>
            <w:vMerge w:val="continue"/>
            <w:tcBorders>
              <w:tl2br w:val="nil"/>
              <w:tr2bl w:val="nil"/>
            </w:tcBorders>
            <w:shd w:val="clear" w:color="auto" w:fill="auto"/>
            <w:vAlign w:val="center"/>
          </w:tcPr>
          <w:p w14:paraId="1AB8EF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0EDF06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-19.8</w:t>
            </w:r>
          </w:p>
        </w:tc>
        <w:tc>
          <w:tcPr>
            <w:tcW w:w="1783" w:type="pct"/>
            <w:tcBorders>
              <w:tl2br w:val="nil"/>
              <w:tr2bl w:val="nil"/>
            </w:tcBorders>
            <w:shd w:val="clear" w:color="auto" w:fill="auto"/>
            <w:vAlign w:val="bottom"/>
          </w:tcPr>
          <w:p w14:paraId="56302E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0.5515</w:t>
            </w:r>
          </w:p>
        </w:tc>
        <w:tc>
          <w:tcPr>
            <w:tcW w:w="1211" w:type="pct"/>
            <w:tcBorders>
              <w:tl2br w:val="nil"/>
              <w:tr2bl w:val="nil"/>
            </w:tcBorders>
            <w:shd w:val="clear" w:color="auto" w:fill="auto"/>
            <w:vAlign w:val="bottom"/>
          </w:tcPr>
          <w:p w14:paraId="0DEFD5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5.7533</w:t>
            </w:r>
          </w:p>
        </w:tc>
      </w:tr>
      <w:tr w14:paraId="520D3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5EDA7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589" w:type="pct"/>
            <w:vMerge w:val="continue"/>
            <w:tcBorders>
              <w:tl2br w:val="nil"/>
              <w:tr2bl w:val="nil"/>
            </w:tcBorders>
            <w:shd w:val="clear" w:color="auto" w:fill="auto"/>
            <w:vAlign w:val="center"/>
          </w:tcPr>
          <w:p w14:paraId="1628FE0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6C2181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-14.8</w:t>
            </w:r>
          </w:p>
        </w:tc>
        <w:tc>
          <w:tcPr>
            <w:tcW w:w="1783" w:type="pct"/>
            <w:tcBorders>
              <w:tl2br w:val="nil"/>
              <w:tr2bl w:val="nil"/>
            </w:tcBorders>
            <w:shd w:val="clear" w:color="auto" w:fill="auto"/>
            <w:vAlign w:val="bottom"/>
          </w:tcPr>
          <w:p w14:paraId="7458EBF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0.9986</w:t>
            </w:r>
          </w:p>
        </w:tc>
        <w:tc>
          <w:tcPr>
            <w:tcW w:w="1211" w:type="pct"/>
            <w:tcBorders>
              <w:tl2br w:val="nil"/>
              <w:tr2bl w:val="nil"/>
            </w:tcBorders>
            <w:shd w:val="clear" w:color="auto" w:fill="auto"/>
            <w:vAlign w:val="bottom"/>
          </w:tcPr>
          <w:p w14:paraId="7CA518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8.6363</w:t>
            </w:r>
          </w:p>
        </w:tc>
      </w:tr>
      <w:tr w14:paraId="69EA2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1D20FE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589" w:type="pct"/>
            <w:vMerge w:val="continue"/>
            <w:tcBorders>
              <w:tl2br w:val="nil"/>
              <w:tr2bl w:val="nil"/>
            </w:tcBorders>
            <w:shd w:val="clear" w:color="auto" w:fill="auto"/>
            <w:vAlign w:val="center"/>
          </w:tcPr>
          <w:p w14:paraId="2658FC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2FF82D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-9.8</w:t>
            </w:r>
          </w:p>
        </w:tc>
        <w:tc>
          <w:tcPr>
            <w:tcW w:w="1783" w:type="pct"/>
            <w:tcBorders>
              <w:tl2br w:val="nil"/>
              <w:tr2bl w:val="nil"/>
            </w:tcBorders>
            <w:shd w:val="clear" w:color="auto" w:fill="auto"/>
            <w:vAlign w:val="bottom"/>
          </w:tcPr>
          <w:p w14:paraId="3DA4316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2.0579</w:t>
            </w:r>
          </w:p>
        </w:tc>
        <w:tc>
          <w:tcPr>
            <w:tcW w:w="1211" w:type="pct"/>
            <w:tcBorders>
              <w:tl2br w:val="nil"/>
              <w:tr2bl w:val="nil"/>
            </w:tcBorders>
            <w:shd w:val="clear" w:color="auto" w:fill="auto"/>
            <w:vAlign w:val="bottom"/>
          </w:tcPr>
          <w:p w14:paraId="51A3ED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14.4364</w:t>
            </w:r>
          </w:p>
        </w:tc>
      </w:tr>
      <w:tr w14:paraId="581F1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4E3A206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589" w:type="pct"/>
            <w:vMerge w:val="continue"/>
            <w:tcBorders>
              <w:tl2br w:val="nil"/>
              <w:tr2bl w:val="nil"/>
            </w:tcBorders>
            <w:shd w:val="clear" w:color="auto" w:fill="auto"/>
            <w:vAlign w:val="center"/>
          </w:tcPr>
          <w:p w14:paraId="47421B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4CB489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-4.8</w:t>
            </w:r>
          </w:p>
        </w:tc>
        <w:tc>
          <w:tcPr>
            <w:tcW w:w="1783" w:type="pct"/>
            <w:tcBorders>
              <w:tl2br w:val="nil"/>
              <w:tr2bl w:val="nil"/>
            </w:tcBorders>
            <w:shd w:val="clear" w:color="auto" w:fill="auto"/>
            <w:vAlign w:val="bottom"/>
          </w:tcPr>
          <w:p w14:paraId="6767BF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4.7561</w:t>
            </w:r>
          </w:p>
        </w:tc>
        <w:tc>
          <w:tcPr>
            <w:tcW w:w="1211" w:type="pct"/>
            <w:tcBorders>
              <w:tl2br w:val="nil"/>
              <w:tr2bl w:val="nil"/>
            </w:tcBorders>
            <w:shd w:val="clear" w:color="auto" w:fill="auto"/>
            <w:vAlign w:val="bottom"/>
          </w:tcPr>
          <w:p w14:paraId="41090A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28.0224</w:t>
            </w:r>
          </w:p>
        </w:tc>
      </w:tr>
      <w:tr w14:paraId="4BF0F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56F701C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w:t>
            </w:r>
          </w:p>
        </w:tc>
        <w:tc>
          <w:tcPr>
            <w:tcW w:w="589" w:type="pct"/>
            <w:vMerge w:val="continue"/>
            <w:tcBorders>
              <w:tl2br w:val="nil"/>
              <w:tr2bl w:val="nil"/>
            </w:tcBorders>
            <w:shd w:val="clear" w:color="auto" w:fill="auto"/>
            <w:vAlign w:val="center"/>
          </w:tcPr>
          <w:p w14:paraId="727F129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3F0BE2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-0.8</w:t>
            </w:r>
          </w:p>
        </w:tc>
        <w:tc>
          <w:tcPr>
            <w:tcW w:w="1783" w:type="pct"/>
            <w:tcBorders>
              <w:tl2br w:val="nil"/>
              <w:tr2bl w:val="nil"/>
            </w:tcBorders>
            <w:shd w:val="clear" w:color="auto" w:fill="auto"/>
            <w:vAlign w:val="bottom"/>
          </w:tcPr>
          <w:p w14:paraId="500BDD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7.5856</w:t>
            </w:r>
          </w:p>
        </w:tc>
        <w:tc>
          <w:tcPr>
            <w:tcW w:w="1211" w:type="pct"/>
            <w:tcBorders>
              <w:tl2br w:val="nil"/>
              <w:tr2bl w:val="nil"/>
            </w:tcBorders>
            <w:shd w:val="clear" w:color="auto" w:fill="auto"/>
            <w:vAlign w:val="bottom"/>
          </w:tcPr>
          <w:p w14:paraId="00E2CE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47.1156</w:t>
            </w:r>
          </w:p>
        </w:tc>
      </w:tr>
      <w:tr w14:paraId="65450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3552B63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589" w:type="pct"/>
            <w:vMerge w:val="restart"/>
            <w:tcBorders>
              <w:tl2br w:val="nil"/>
              <w:tr2bl w:val="nil"/>
            </w:tcBorders>
            <w:shd w:val="clear" w:color="auto" w:fill="auto"/>
            <w:vAlign w:val="center"/>
          </w:tcPr>
          <w:p w14:paraId="7C3ED0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591" w:type="pct"/>
            <w:tcBorders>
              <w:tl2br w:val="nil"/>
              <w:tr2bl w:val="nil"/>
            </w:tcBorders>
            <w:shd w:val="clear" w:color="auto" w:fill="auto"/>
            <w:vAlign w:val="center"/>
          </w:tcPr>
          <w:p w14:paraId="6CB9FA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67644A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7.5887</w:t>
            </w:r>
          </w:p>
        </w:tc>
        <w:tc>
          <w:tcPr>
            <w:tcW w:w="1211" w:type="pct"/>
            <w:tcBorders>
              <w:tl2br w:val="nil"/>
              <w:tr2bl w:val="nil"/>
            </w:tcBorders>
            <w:shd w:val="clear" w:color="auto" w:fill="auto"/>
            <w:vAlign w:val="bottom"/>
          </w:tcPr>
          <w:p w14:paraId="230B54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50.6726</w:t>
            </w:r>
          </w:p>
        </w:tc>
      </w:tr>
      <w:tr w14:paraId="6B96E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6CBC0C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589" w:type="pct"/>
            <w:vMerge w:val="continue"/>
            <w:tcBorders>
              <w:tl2br w:val="nil"/>
              <w:tr2bl w:val="nil"/>
            </w:tcBorders>
            <w:shd w:val="clear" w:color="auto" w:fill="auto"/>
            <w:vAlign w:val="center"/>
          </w:tcPr>
          <w:p w14:paraId="39DAB7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1CCB9C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245DB6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7.1196</w:t>
            </w:r>
          </w:p>
        </w:tc>
        <w:tc>
          <w:tcPr>
            <w:tcW w:w="1211" w:type="pct"/>
            <w:tcBorders>
              <w:tl2br w:val="nil"/>
              <w:tr2bl w:val="nil"/>
            </w:tcBorders>
            <w:shd w:val="clear" w:color="auto" w:fill="auto"/>
            <w:vAlign w:val="bottom"/>
          </w:tcPr>
          <w:p w14:paraId="4B7A79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52.69</w:t>
            </w:r>
          </w:p>
        </w:tc>
      </w:tr>
      <w:tr w14:paraId="069E1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24" w:type="pct"/>
            <w:tcBorders>
              <w:tl2br w:val="nil"/>
              <w:tr2bl w:val="nil"/>
            </w:tcBorders>
            <w:shd w:val="clear" w:color="auto" w:fill="auto"/>
            <w:vAlign w:val="center"/>
          </w:tcPr>
          <w:p w14:paraId="5FCB617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589" w:type="pct"/>
            <w:vMerge w:val="continue"/>
            <w:tcBorders>
              <w:tl2br w:val="nil"/>
              <w:tr2bl w:val="nil"/>
            </w:tcBorders>
            <w:shd w:val="clear" w:color="auto" w:fill="auto"/>
            <w:vAlign w:val="center"/>
          </w:tcPr>
          <w:p w14:paraId="324FE2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68D749B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62A6AA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6.3145</w:t>
            </w:r>
          </w:p>
        </w:tc>
        <w:tc>
          <w:tcPr>
            <w:tcW w:w="1211" w:type="pct"/>
            <w:tcBorders>
              <w:tl2br w:val="nil"/>
              <w:tr2bl w:val="nil"/>
            </w:tcBorders>
            <w:shd w:val="clear" w:color="auto" w:fill="auto"/>
            <w:vAlign w:val="bottom"/>
          </w:tcPr>
          <w:p w14:paraId="0988EE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val="0"/>
                <w:bCs w:val="0"/>
                <w:i w:val="0"/>
                <w:iCs w:val="0"/>
                <w:color w:val="auto"/>
                <w:kern w:val="2"/>
                <w:sz w:val="20"/>
                <w:szCs w:val="20"/>
                <w:u w:val="none"/>
                <w:lang w:val="en-US" w:eastAsia="zh-CN" w:bidi="ar-SA"/>
              </w:rPr>
              <w:t>53.3276</w:t>
            </w:r>
          </w:p>
        </w:tc>
      </w:tr>
      <w:tr w14:paraId="09B56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28376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589" w:type="pct"/>
            <w:vMerge w:val="continue"/>
            <w:tcBorders>
              <w:tl2br w:val="nil"/>
              <w:tr2bl w:val="nil"/>
            </w:tcBorders>
            <w:shd w:val="clear" w:color="auto" w:fill="auto"/>
            <w:vAlign w:val="center"/>
          </w:tcPr>
          <w:p w14:paraId="6D99AD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0A1F80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17E2E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5.4149</w:t>
            </w:r>
          </w:p>
        </w:tc>
        <w:tc>
          <w:tcPr>
            <w:tcW w:w="1211" w:type="pct"/>
            <w:tcBorders>
              <w:tl2br w:val="nil"/>
              <w:tr2bl w:val="nil"/>
            </w:tcBorders>
            <w:shd w:val="clear" w:color="auto" w:fill="auto"/>
            <w:vAlign w:val="bottom"/>
          </w:tcPr>
          <w:p w14:paraId="751421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53.145</w:t>
            </w:r>
          </w:p>
        </w:tc>
      </w:tr>
      <w:tr w14:paraId="6D846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490D5A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589" w:type="pct"/>
            <w:vMerge w:val="continue"/>
            <w:tcBorders>
              <w:tl2br w:val="nil"/>
              <w:tr2bl w:val="nil"/>
            </w:tcBorders>
            <w:shd w:val="clear" w:color="auto" w:fill="auto"/>
            <w:vAlign w:val="center"/>
          </w:tcPr>
          <w:p w14:paraId="256E12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665857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209515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4.692</w:t>
            </w:r>
          </w:p>
        </w:tc>
        <w:tc>
          <w:tcPr>
            <w:tcW w:w="1211" w:type="pct"/>
            <w:tcBorders>
              <w:tl2br w:val="nil"/>
              <w:tr2bl w:val="nil"/>
            </w:tcBorders>
            <w:shd w:val="clear" w:color="auto" w:fill="auto"/>
            <w:vAlign w:val="bottom"/>
          </w:tcPr>
          <w:p w14:paraId="4F8B8D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52.7459</w:t>
            </w:r>
          </w:p>
        </w:tc>
      </w:tr>
      <w:tr w14:paraId="4A2B0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2A0820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589" w:type="pct"/>
            <w:vMerge w:val="continue"/>
            <w:tcBorders>
              <w:tl2br w:val="nil"/>
              <w:tr2bl w:val="nil"/>
            </w:tcBorders>
            <w:shd w:val="clear" w:color="auto" w:fill="auto"/>
            <w:vAlign w:val="center"/>
          </w:tcPr>
          <w:p w14:paraId="4ACB9A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78FF31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37D776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4.3936</w:t>
            </w:r>
          </w:p>
        </w:tc>
        <w:tc>
          <w:tcPr>
            <w:tcW w:w="1211" w:type="pct"/>
            <w:tcBorders>
              <w:tl2br w:val="nil"/>
              <w:tr2bl w:val="nil"/>
            </w:tcBorders>
            <w:shd w:val="clear" w:color="auto" w:fill="auto"/>
            <w:vAlign w:val="bottom"/>
          </w:tcPr>
          <w:p w14:paraId="5EBBB6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52.5666</w:t>
            </w:r>
          </w:p>
        </w:tc>
      </w:tr>
      <w:tr w14:paraId="1883D7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F891A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589" w:type="pct"/>
            <w:vMerge w:val="continue"/>
            <w:tcBorders>
              <w:tl2br w:val="nil"/>
              <w:tr2bl w:val="nil"/>
            </w:tcBorders>
            <w:shd w:val="clear" w:color="auto" w:fill="auto"/>
            <w:vAlign w:val="center"/>
          </w:tcPr>
          <w:p w14:paraId="406A008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58BDF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0767CE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4.6296</w:t>
            </w:r>
          </w:p>
        </w:tc>
        <w:tc>
          <w:tcPr>
            <w:tcW w:w="1211" w:type="pct"/>
            <w:tcBorders>
              <w:tl2br w:val="nil"/>
              <w:tr2bl w:val="nil"/>
            </w:tcBorders>
            <w:shd w:val="clear" w:color="auto" w:fill="auto"/>
            <w:vAlign w:val="bottom"/>
          </w:tcPr>
          <w:p w14:paraId="699625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52.8323</w:t>
            </w:r>
          </w:p>
        </w:tc>
      </w:tr>
      <w:tr w14:paraId="485B3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564FEAB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589" w:type="pct"/>
            <w:vMerge w:val="continue"/>
            <w:tcBorders>
              <w:tl2br w:val="nil"/>
              <w:tr2bl w:val="nil"/>
            </w:tcBorders>
            <w:shd w:val="clear" w:color="auto" w:fill="auto"/>
            <w:vAlign w:val="center"/>
          </w:tcPr>
          <w:p w14:paraId="64EE00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A69522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63ADA4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5.2731</w:t>
            </w:r>
          </w:p>
        </w:tc>
        <w:tc>
          <w:tcPr>
            <w:tcW w:w="1211" w:type="pct"/>
            <w:tcBorders>
              <w:tl2br w:val="nil"/>
              <w:tr2bl w:val="nil"/>
            </w:tcBorders>
            <w:shd w:val="clear" w:color="auto" w:fill="auto"/>
            <w:vAlign w:val="bottom"/>
          </w:tcPr>
          <w:p w14:paraId="43BB3E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53.5646</w:t>
            </w:r>
          </w:p>
        </w:tc>
      </w:tr>
      <w:tr w14:paraId="6D6D8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592A5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589" w:type="pct"/>
            <w:vMerge w:val="continue"/>
            <w:tcBorders>
              <w:tl2br w:val="nil"/>
              <w:tr2bl w:val="nil"/>
            </w:tcBorders>
            <w:shd w:val="clear" w:color="auto" w:fill="auto"/>
            <w:vAlign w:val="center"/>
          </w:tcPr>
          <w:p w14:paraId="2E465F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F30DF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4BDA8DB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6.0538</w:t>
            </w:r>
          </w:p>
        </w:tc>
        <w:tc>
          <w:tcPr>
            <w:tcW w:w="1211" w:type="pct"/>
            <w:tcBorders>
              <w:tl2br w:val="nil"/>
              <w:tr2bl w:val="nil"/>
            </w:tcBorders>
            <w:shd w:val="clear" w:color="auto" w:fill="auto"/>
            <w:vAlign w:val="bottom"/>
          </w:tcPr>
          <w:p w14:paraId="6E8F4D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54.5736</w:t>
            </w:r>
          </w:p>
        </w:tc>
      </w:tr>
      <w:tr w14:paraId="05D90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02C67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589" w:type="pct"/>
            <w:vMerge w:val="continue"/>
            <w:tcBorders>
              <w:tl2br w:val="nil"/>
              <w:tr2bl w:val="nil"/>
            </w:tcBorders>
            <w:shd w:val="clear" w:color="auto" w:fill="auto"/>
            <w:vAlign w:val="center"/>
          </w:tcPr>
          <w:p w14:paraId="0C3EDE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20F409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6CB290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6.6825</w:t>
            </w:r>
          </w:p>
        </w:tc>
        <w:tc>
          <w:tcPr>
            <w:tcW w:w="1211" w:type="pct"/>
            <w:tcBorders>
              <w:tl2br w:val="nil"/>
              <w:tr2bl w:val="nil"/>
            </w:tcBorders>
            <w:shd w:val="clear" w:color="auto" w:fill="auto"/>
            <w:vAlign w:val="bottom"/>
          </w:tcPr>
          <w:p w14:paraId="34DCD7A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55.4762</w:t>
            </w:r>
          </w:p>
        </w:tc>
      </w:tr>
      <w:tr w14:paraId="68770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46750B2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589" w:type="pct"/>
            <w:vMerge w:val="continue"/>
            <w:tcBorders>
              <w:tl2br w:val="nil"/>
              <w:tr2bl w:val="nil"/>
            </w:tcBorders>
            <w:shd w:val="clear" w:color="auto" w:fill="auto"/>
            <w:vAlign w:val="center"/>
          </w:tcPr>
          <w:p w14:paraId="74D0CA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4F60D7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1D9F45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6.9238</w:t>
            </w:r>
          </w:p>
        </w:tc>
        <w:tc>
          <w:tcPr>
            <w:tcW w:w="1211" w:type="pct"/>
            <w:tcBorders>
              <w:tl2br w:val="nil"/>
              <w:tr2bl w:val="nil"/>
            </w:tcBorders>
            <w:shd w:val="clear" w:color="auto" w:fill="auto"/>
            <w:vAlign w:val="bottom"/>
          </w:tcPr>
          <w:p w14:paraId="3FB4F61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55.8425</w:t>
            </w:r>
          </w:p>
        </w:tc>
      </w:tr>
      <w:tr w14:paraId="4FC77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169653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589" w:type="pct"/>
            <w:vMerge w:val="continue"/>
            <w:tcBorders>
              <w:tl2br w:val="nil"/>
              <w:tr2bl w:val="nil"/>
            </w:tcBorders>
            <w:shd w:val="clear" w:color="auto" w:fill="auto"/>
            <w:vAlign w:val="center"/>
          </w:tcPr>
          <w:p w14:paraId="759B4A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3575C3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FAED19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6.6825</w:t>
            </w:r>
          </w:p>
        </w:tc>
        <w:tc>
          <w:tcPr>
            <w:tcW w:w="1211" w:type="pct"/>
            <w:tcBorders>
              <w:tl2br w:val="nil"/>
              <w:tr2bl w:val="nil"/>
            </w:tcBorders>
            <w:shd w:val="clear" w:color="auto" w:fill="auto"/>
            <w:vAlign w:val="bottom"/>
          </w:tcPr>
          <w:p w14:paraId="7455D8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55.4762</w:t>
            </w:r>
          </w:p>
        </w:tc>
      </w:tr>
      <w:tr w14:paraId="13180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3A7B776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589" w:type="pct"/>
            <w:vMerge w:val="continue"/>
            <w:tcBorders>
              <w:tl2br w:val="nil"/>
              <w:tr2bl w:val="nil"/>
            </w:tcBorders>
            <w:shd w:val="clear" w:color="auto" w:fill="auto"/>
            <w:vAlign w:val="center"/>
          </w:tcPr>
          <w:p w14:paraId="56192C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7E3CEB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62296B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6.0538</w:t>
            </w:r>
          </w:p>
        </w:tc>
        <w:tc>
          <w:tcPr>
            <w:tcW w:w="1211" w:type="pct"/>
            <w:tcBorders>
              <w:tl2br w:val="nil"/>
              <w:tr2bl w:val="nil"/>
            </w:tcBorders>
            <w:shd w:val="clear" w:color="auto" w:fill="auto"/>
            <w:vAlign w:val="bottom"/>
          </w:tcPr>
          <w:p w14:paraId="53FB2C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54.5736</w:t>
            </w:r>
          </w:p>
        </w:tc>
      </w:tr>
      <w:tr w14:paraId="3FDCB9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6EBFABD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589" w:type="pct"/>
            <w:vMerge w:val="continue"/>
            <w:tcBorders>
              <w:tl2br w:val="nil"/>
              <w:tr2bl w:val="nil"/>
            </w:tcBorders>
            <w:shd w:val="clear" w:color="auto" w:fill="auto"/>
            <w:vAlign w:val="center"/>
          </w:tcPr>
          <w:p w14:paraId="42DC3B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0C2C1A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EF63B0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5.2731</w:t>
            </w:r>
          </w:p>
        </w:tc>
        <w:tc>
          <w:tcPr>
            <w:tcW w:w="1211" w:type="pct"/>
            <w:tcBorders>
              <w:tl2br w:val="nil"/>
              <w:tr2bl w:val="nil"/>
            </w:tcBorders>
            <w:shd w:val="clear" w:color="auto" w:fill="auto"/>
            <w:vAlign w:val="bottom"/>
          </w:tcPr>
          <w:p w14:paraId="12356E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53.5646</w:t>
            </w:r>
          </w:p>
        </w:tc>
      </w:tr>
      <w:tr w14:paraId="10ADD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7A559B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589" w:type="pct"/>
            <w:vMerge w:val="continue"/>
            <w:tcBorders>
              <w:tl2br w:val="nil"/>
              <w:tr2bl w:val="nil"/>
            </w:tcBorders>
            <w:shd w:val="clear" w:color="auto" w:fill="auto"/>
            <w:vAlign w:val="center"/>
          </w:tcPr>
          <w:p w14:paraId="0558FB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3A6472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5AFFCA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4.6296</w:t>
            </w:r>
          </w:p>
        </w:tc>
        <w:tc>
          <w:tcPr>
            <w:tcW w:w="1211" w:type="pct"/>
            <w:tcBorders>
              <w:tl2br w:val="nil"/>
              <w:tr2bl w:val="nil"/>
            </w:tcBorders>
            <w:shd w:val="clear" w:color="auto" w:fill="auto"/>
            <w:vAlign w:val="bottom"/>
          </w:tcPr>
          <w:p w14:paraId="6B134C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52.8323</w:t>
            </w:r>
          </w:p>
        </w:tc>
      </w:tr>
      <w:tr w14:paraId="712FB4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72FBE3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589" w:type="pct"/>
            <w:vMerge w:val="continue"/>
            <w:tcBorders>
              <w:tl2br w:val="nil"/>
              <w:tr2bl w:val="nil"/>
            </w:tcBorders>
            <w:shd w:val="clear" w:color="auto" w:fill="auto"/>
            <w:vAlign w:val="center"/>
          </w:tcPr>
          <w:p w14:paraId="61D9C2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658806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FEC26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4.3936</w:t>
            </w:r>
          </w:p>
        </w:tc>
        <w:tc>
          <w:tcPr>
            <w:tcW w:w="1211" w:type="pct"/>
            <w:tcBorders>
              <w:tl2br w:val="nil"/>
              <w:tr2bl w:val="nil"/>
            </w:tcBorders>
            <w:shd w:val="clear" w:color="auto" w:fill="auto"/>
            <w:vAlign w:val="bottom"/>
          </w:tcPr>
          <w:p w14:paraId="38BF095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52.5666</w:t>
            </w:r>
          </w:p>
        </w:tc>
      </w:tr>
      <w:tr w14:paraId="446E2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5B552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589" w:type="pct"/>
            <w:vMerge w:val="continue"/>
            <w:tcBorders>
              <w:tl2br w:val="nil"/>
              <w:tr2bl w:val="nil"/>
            </w:tcBorders>
            <w:shd w:val="clear" w:color="auto" w:fill="auto"/>
            <w:vAlign w:val="center"/>
          </w:tcPr>
          <w:p w14:paraId="4C5092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2679FB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53059C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4.692</w:t>
            </w:r>
          </w:p>
        </w:tc>
        <w:tc>
          <w:tcPr>
            <w:tcW w:w="1211" w:type="pct"/>
            <w:tcBorders>
              <w:tl2br w:val="nil"/>
              <w:tr2bl w:val="nil"/>
            </w:tcBorders>
            <w:shd w:val="clear" w:color="auto" w:fill="auto"/>
            <w:vAlign w:val="bottom"/>
          </w:tcPr>
          <w:p w14:paraId="445AB0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52.7459</w:t>
            </w:r>
          </w:p>
        </w:tc>
      </w:tr>
      <w:tr w14:paraId="6AC91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5A14B0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589" w:type="pct"/>
            <w:vMerge w:val="continue"/>
            <w:tcBorders>
              <w:tl2br w:val="nil"/>
              <w:tr2bl w:val="nil"/>
            </w:tcBorders>
            <w:shd w:val="clear" w:color="auto" w:fill="auto"/>
            <w:vAlign w:val="center"/>
          </w:tcPr>
          <w:p w14:paraId="59D5B70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75ECD6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60CDB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5.4149</w:t>
            </w:r>
          </w:p>
        </w:tc>
        <w:tc>
          <w:tcPr>
            <w:tcW w:w="1211" w:type="pct"/>
            <w:tcBorders>
              <w:tl2br w:val="nil"/>
              <w:tr2bl w:val="nil"/>
            </w:tcBorders>
            <w:shd w:val="clear" w:color="auto" w:fill="auto"/>
            <w:vAlign w:val="bottom"/>
          </w:tcPr>
          <w:p w14:paraId="689847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53.145</w:t>
            </w:r>
          </w:p>
        </w:tc>
      </w:tr>
      <w:tr w14:paraId="1F7206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7174FF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589" w:type="pct"/>
            <w:vMerge w:val="continue"/>
            <w:tcBorders>
              <w:tl2br w:val="nil"/>
              <w:tr2bl w:val="nil"/>
            </w:tcBorders>
            <w:shd w:val="clear" w:color="auto" w:fill="auto"/>
            <w:vAlign w:val="center"/>
          </w:tcPr>
          <w:p w14:paraId="6A1B57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2B6404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5692AA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6.3145</w:t>
            </w:r>
          </w:p>
        </w:tc>
        <w:tc>
          <w:tcPr>
            <w:tcW w:w="1211" w:type="pct"/>
            <w:tcBorders>
              <w:tl2br w:val="nil"/>
              <w:tr2bl w:val="nil"/>
            </w:tcBorders>
            <w:shd w:val="clear" w:color="auto" w:fill="auto"/>
            <w:vAlign w:val="bottom"/>
          </w:tcPr>
          <w:p w14:paraId="24692F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53.3276</w:t>
            </w:r>
          </w:p>
        </w:tc>
      </w:tr>
      <w:tr w14:paraId="7E9E1C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6FCE3B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589" w:type="pct"/>
            <w:vMerge w:val="continue"/>
            <w:tcBorders>
              <w:tl2br w:val="nil"/>
              <w:tr2bl w:val="nil"/>
            </w:tcBorders>
            <w:shd w:val="clear" w:color="auto" w:fill="auto"/>
            <w:vAlign w:val="center"/>
          </w:tcPr>
          <w:p w14:paraId="44BDC3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1DD8F6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76EBBA9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7.1196</w:t>
            </w:r>
          </w:p>
        </w:tc>
        <w:tc>
          <w:tcPr>
            <w:tcW w:w="1211" w:type="pct"/>
            <w:tcBorders>
              <w:tl2br w:val="nil"/>
              <w:tr2bl w:val="nil"/>
            </w:tcBorders>
            <w:shd w:val="clear" w:color="auto" w:fill="auto"/>
            <w:vAlign w:val="bottom"/>
          </w:tcPr>
          <w:p w14:paraId="2138B0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52.69</w:t>
            </w:r>
          </w:p>
        </w:tc>
      </w:tr>
      <w:tr w14:paraId="15177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0CC69F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589" w:type="pct"/>
            <w:vMerge w:val="continue"/>
            <w:tcBorders>
              <w:tl2br w:val="nil"/>
              <w:tr2bl w:val="nil"/>
            </w:tcBorders>
            <w:shd w:val="clear" w:color="auto" w:fill="auto"/>
            <w:vAlign w:val="center"/>
          </w:tcPr>
          <w:p w14:paraId="0B40AFA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42DD7C6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783" w:type="pct"/>
            <w:tcBorders>
              <w:tl2br w:val="nil"/>
              <w:tr2bl w:val="nil"/>
            </w:tcBorders>
            <w:shd w:val="clear" w:color="auto" w:fill="auto"/>
            <w:vAlign w:val="bottom"/>
          </w:tcPr>
          <w:p w14:paraId="3857083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7.5887</w:t>
            </w:r>
          </w:p>
        </w:tc>
        <w:tc>
          <w:tcPr>
            <w:tcW w:w="1211" w:type="pct"/>
            <w:tcBorders>
              <w:tl2br w:val="nil"/>
              <w:tr2bl w:val="nil"/>
            </w:tcBorders>
            <w:shd w:val="clear" w:color="auto" w:fill="auto"/>
            <w:vAlign w:val="bottom"/>
          </w:tcPr>
          <w:p w14:paraId="4CC437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50.6726</w:t>
            </w:r>
          </w:p>
        </w:tc>
      </w:tr>
      <w:tr w14:paraId="01E64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F13B5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w:t>
            </w:r>
          </w:p>
        </w:tc>
        <w:tc>
          <w:tcPr>
            <w:tcW w:w="589" w:type="pct"/>
            <w:vMerge w:val="restart"/>
            <w:tcBorders>
              <w:tl2br w:val="nil"/>
              <w:tr2bl w:val="nil"/>
            </w:tcBorders>
            <w:shd w:val="clear" w:color="auto" w:fill="auto"/>
            <w:vAlign w:val="center"/>
          </w:tcPr>
          <w:p w14:paraId="5BAC5E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591" w:type="pct"/>
            <w:tcBorders>
              <w:tl2br w:val="nil"/>
              <w:tr2bl w:val="nil"/>
            </w:tcBorders>
            <w:shd w:val="clear" w:color="auto" w:fill="auto"/>
            <w:vAlign w:val="center"/>
          </w:tcPr>
          <w:p w14:paraId="32A43D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0.8</w:t>
            </w:r>
          </w:p>
        </w:tc>
        <w:tc>
          <w:tcPr>
            <w:tcW w:w="1783" w:type="pct"/>
            <w:tcBorders>
              <w:tl2br w:val="nil"/>
              <w:tr2bl w:val="nil"/>
            </w:tcBorders>
            <w:shd w:val="clear" w:color="auto" w:fill="auto"/>
            <w:vAlign w:val="bottom"/>
          </w:tcPr>
          <w:p w14:paraId="472A91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7.5856</w:t>
            </w:r>
          </w:p>
        </w:tc>
        <w:tc>
          <w:tcPr>
            <w:tcW w:w="1211" w:type="pct"/>
            <w:tcBorders>
              <w:tl2br w:val="nil"/>
              <w:tr2bl w:val="nil"/>
            </w:tcBorders>
            <w:shd w:val="clear" w:color="auto" w:fill="auto"/>
            <w:vAlign w:val="bottom"/>
          </w:tcPr>
          <w:p w14:paraId="125EB1E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47.1156</w:t>
            </w:r>
          </w:p>
        </w:tc>
      </w:tr>
      <w:tr w14:paraId="120C1D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6CF8F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589" w:type="pct"/>
            <w:vMerge w:val="continue"/>
            <w:tcBorders>
              <w:tl2br w:val="nil"/>
              <w:tr2bl w:val="nil"/>
            </w:tcBorders>
            <w:shd w:val="clear" w:color="auto" w:fill="auto"/>
            <w:vAlign w:val="center"/>
          </w:tcPr>
          <w:p w14:paraId="743640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7A96B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4.8</w:t>
            </w:r>
          </w:p>
        </w:tc>
        <w:tc>
          <w:tcPr>
            <w:tcW w:w="1783" w:type="pct"/>
            <w:tcBorders>
              <w:tl2br w:val="nil"/>
              <w:tr2bl w:val="nil"/>
            </w:tcBorders>
            <w:shd w:val="clear" w:color="auto" w:fill="auto"/>
            <w:vAlign w:val="bottom"/>
          </w:tcPr>
          <w:p w14:paraId="24A1C7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4.7561</w:t>
            </w:r>
          </w:p>
        </w:tc>
        <w:tc>
          <w:tcPr>
            <w:tcW w:w="1211" w:type="pct"/>
            <w:tcBorders>
              <w:tl2br w:val="nil"/>
              <w:tr2bl w:val="nil"/>
            </w:tcBorders>
            <w:shd w:val="clear" w:color="auto" w:fill="auto"/>
            <w:vAlign w:val="bottom"/>
          </w:tcPr>
          <w:p w14:paraId="00AAA15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28.0224</w:t>
            </w:r>
          </w:p>
        </w:tc>
      </w:tr>
      <w:tr w14:paraId="3E9EB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55DD55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589" w:type="pct"/>
            <w:vMerge w:val="continue"/>
            <w:tcBorders>
              <w:tl2br w:val="nil"/>
              <w:tr2bl w:val="nil"/>
            </w:tcBorders>
            <w:shd w:val="clear" w:color="auto" w:fill="auto"/>
            <w:vAlign w:val="center"/>
          </w:tcPr>
          <w:p w14:paraId="7D3AF3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81CD0F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9.8</w:t>
            </w:r>
          </w:p>
        </w:tc>
        <w:tc>
          <w:tcPr>
            <w:tcW w:w="1783" w:type="pct"/>
            <w:tcBorders>
              <w:tl2br w:val="nil"/>
              <w:tr2bl w:val="nil"/>
            </w:tcBorders>
            <w:shd w:val="clear" w:color="auto" w:fill="auto"/>
            <w:vAlign w:val="bottom"/>
          </w:tcPr>
          <w:p w14:paraId="168FF0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2.0579</w:t>
            </w:r>
          </w:p>
        </w:tc>
        <w:tc>
          <w:tcPr>
            <w:tcW w:w="1211" w:type="pct"/>
            <w:tcBorders>
              <w:tl2br w:val="nil"/>
              <w:tr2bl w:val="nil"/>
            </w:tcBorders>
            <w:shd w:val="clear" w:color="auto" w:fill="auto"/>
            <w:vAlign w:val="bottom"/>
          </w:tcPr>
          <w:p w14:paraId="2CBAFC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14.4364</w:t>
            </w:r>
          </w:p>
        </w:tc>
      </w:tr>
      <w:tr w14:paraId="7E8FDE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30EF2C3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589" w:type="pct"/>
            <w:vMerge w:val="continue"/>
            <w:tcBorders>
              <w:tl2br w:val="nil"/>
              <w:tr2bl w:val="nil"/>
            </w:tcBorders>
            <w:shd w:val="clear" w:color="auto" w:fill="auto"/>
            <w:vAlign w:val="center"/>
          </w:tcPr>
          <w:p w14:paraId="6C9338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1FB55D5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14.8</w:t>
            </w:r>
          </w:p>
        </w:tc>
        <w:tc>
          <w:tcPr>
            <w:tcW w:w="1783" w:type="pct"/>
            <w:tcBorders>
              <w:tl2br w:val="nil"/>
              <w:tr2bl w:val="nil"/>
            </w:tcBorders>
            <w:shd w:val="clear" w:color="auto" w:fill="auto"/>
            <w:vAlign w:val="bottom"/>
          </w:tcPr>
          <w:p w14:paraId="4F4991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0.9986</w:t>
            </w:r>
          </w:p>
        </w:tc>
        <w:tc>
          <w:tcPr>
            <w:tcW w:w="1211" w:type="pct"/>
            <w:tcBorders>
              <w:tl2br w:val="nil"/>
              <w:tr2bl w:val="nil"/>
            </w:tcBorders>
            <w:shd w:val="clear" w:color="auto" w:fill="auto"/>
            <w:vAlign w:val="bottom"/>
          </w:tcPr>
          <w:p w14:paraId="7C16A4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8.6363</w:t>
            </w:r>
          </w:p>
        </w:tc>
      </w:tr>
      <w:tr w14:paraId="02A21F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63B077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589" w:type="pct"/>
            <w:vMerge w:val="continue"/>
            <w:tcBorders>
              <w:tl2br w:val="nil"/>
              <w:tr2bl w:val="nil"/>
            </w:tcBorders>
            <w:shd w:val="clear" w:color="auto" w:fill="auto"/>
            <w:vAlign w:val="center"/>
          </w:tcPr>
          <w:p w14:paraId="56BEB0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71403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19.8</w:t>
            </w:r>
          </w:p>
        </w:tc>
        <w:tc>
          <w:tcPr>
            <w:tcW w:w="1783" w:type="pct"/>
            <w:tcBorders>
              <w:tl2br w:val="nil"/>
              <w:tr2bl w:val="nil"/>
            </w:tcBorders>
            <w:shd w:val="clear" w:color="auto" w:fill="auto"/>
            <w:vAlign w:val="bottom"/>
          </w:tcPr>
          <w:p w14:paraId="2098C7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0.5515</w:t>
            </w:r>
          </w:p>
        </w:tc>
        <w:tc>
          <w:tcPr>
            <w:tcW w:w="1211" w:type="pct"/>
            <w:tcBorders>
              <w:tl2br w:val="nil"/>
              <w:tr2bl w:val="nil"/>
            </w:tcBorders>
            <w:shd w:val="clear" w:color="auto" w:fill="auto"/>
            <w:vAlign w:val="bottom"/>
          </w:tcPr>
          <w:p w14:paraId="56C2352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5.7533</w:t>
            </w:r>
          </w:p>
        </w:tc>
      </w:tr>
      <w:tr w14:paraId="3AF7A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2BD3AF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589" w:type="pct"/>
            <w:vMerge w:val="continue"/>
            <w:tcBorders>
              <w:tl2br w:val="nil"/>
              <w:tr2bl w:val="nil"/>
            </w:tcBorders>
            <w:shd w:val="clear" w:color="auto" w:fill="auto"/>
            <w:vAlign w:val="center"/>
          </w:tcPr>
          <w:p w14:paraId="105ABF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2DBFAB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24.8</w:t>
            </w:r>
          </w:p>
        </w:tc>
        <w:tc>
          <w:tcPr>
            <w:tcW w:w="1783" w:type="pct"/>
            <w:tcBorders>
              <w:tl2br w:val="nil"/>
              <w:tr2bl w:val="nil"/>
            </w:tcBorders>
            <w:shd w:val="clear" w:color="auto" w:fill="auto"/>
            <w:vAlign w:val="bottom"/>
          </w:tcPr>
          <w:p w14:paraId="139ADC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0.3357</w:t>
            </w:r>
          </w:p>
        </w:tc>
        <w:tc>
          <w:tcPr>
            <w:tcW w:w="1211" w:type="pct"/>
            <w:tcBorders>
              <w:tl2br w:val="nil"/>
              <w:tr2bl w:val="nil"/>
            </w:tcBorders>
            <w:shd w:val="clear" w:color="auto" w:fill="auto"/>
            <w:vAlign w:val="bottom"/>
          </w:tcPr>
          <w:p w14:paraId="41EE6C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4.1171</w:t>
            </w:r>
          </w:p>
        </w:tc>
      </w:tr>
      <w:tr w14:paraId="30A2C8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7C6D5C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589" w:type="pct"/>
            <w:vMerge w:val="continue"/>
            <w:tcBorders>
              <w:tl2br w:val="nil"/>
              <w:tr2bl w:val="nil"/>
            </w:tcBorders>
            <w:shd w:val="clear" w:color="auto" w:fill="auto"/>
            <w:vAlign w:val="center"/>
          </w:tcPr>
          <w:p w14:paraId="711412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33D91F4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29.8</w:t>
            </w:r>
          </w:p>
        </w:tc>
        <w:tc>
          <w:tcPr>
            <w:tcW w:w="1783" w:type="pct"/>
            <w:tcBorders>
              <w:tl2br w:val="nil"/>
              <w:tr2bl w:val="nil"/>
            </w:tcBorders>
            <w:shd w:val="clear" w:color="auto" w:fill="auto"/>
            <w:vAlign w:val="bottom"/>
          </w:tcPr>
          <w:p w14:paraId="62F08C1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0.2195</w:t>
            </w:r>
          </w:p>
        </w:tc>
        <w:tc>
          <w:tcPr>
            <w:tcW w:w="1211" w:type="pct"/>
            <w:tcBorders>
              <w:tl2br w:val="nil"/>
              <w:tr2bl w:val="nil"/>
            </w:tcBorders>
            <w:shd w:val="clear" w:color="auto" w:fill="auto"/>
            <w:vAlign w:val="bottom"/>
          </w:tcPr>
          <w:p w14:paraId="71E7B2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3.0974</w:t>
            </w:r>
          </w:p>
        </w:tc>
      </w:tr>
      <w:tr w14:paraId="2B726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791136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589" w:type="pct"/>
            <w:vMerge w:val="continue"/>
            <w:tcBorders>
              <w:tl2br w:val="nil"/>
              <w:tr2bl w:val="nil"/>
            </w:tcBorders>
            <w:shd w:val="clear" w:color="auto" w:fill="auto"/>
            <w:vAlign w:val="center"/>
          </w:tcPr>
          <w:p w14:paraId="35EEAF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5CB9EC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34.8</w:t>
            </w:r>
          </w:p>
        </w:tc>
        <w:tc>
          <w:tcPr>
            <w:tcW w:w="1783" w:type="pct"/>
            <w:tcBorders>
              <w:tl2br w:val="nil"/>
              <w:tr2bl w:val="nil"/>
            </w:tcBorders>
            <w:shd w:val="clear" w:color="auto" w:fill="auto"/>
            <w:vAlign w:val="bottom"/>
          </w:tcPr>
          <w:p w14:paraId="550E903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0.1515</w:t>
            </w:r>
          </w:p>
        </w:tc>
        <w:tc>
          <w:tcPr>
            <w:tcW w:w="1211" w:type="pct"/>
            <w:tcBorders>
              <w:tl2br w:val="nil"/>
              <w:tr2bl w:val="nil"/>
            </w:tcBorders>
            <w:shd w:val="clear" w:color="auto" w:fill="auto"/>
            <w:vAlign w:val="bottom"/>
          </w:tcPr>
          <w:p w14:paraId="128199E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2.4176</w:t>
            </w:r>
          </w:p>
        </w:tc>
      </w:tr>
      <w:tr w14:paraId="0A581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4" w:type="pct"/>
            <w:tcBorders>
              <w:tl2br w:val="nil"/>
              <w:tr2bl w:val="nil"/>
            </w:tcBorders>
            <w:shd w:val="clear" w:color="auto" w:fill="auto"/>
            <w:vAlign w:val="center"/>
          </w:tcPr>
          <w:p w14:paraId="312F64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589" w:type="pct"/>
            <w:vMerge w:val="continue"/>
            <w:tcBorders>
              <w:tl2br w:val="nil"/>
              <w:tr2bl w:val="nil"/>
            </w:tcBorders>
            <w:shd w:val="clear" w:color="auto" w:fill="auto"/>
            <w:vAlign w:val="center"/>
          </w:tcPr>
          <w:p w14:paraId="72AF59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591" w:type="pct"/>
            <w:tcBorders>
              <w:tl2br w:val="nil"/>
              <w:tr2bl w:val="nil"/>
            </w:tcBorders>
            <w:shd w:val="clear" w:color="auto" w:fill="auto"/>
            <w:vAlign w:val="center"/>
          </w:tcPr>
          <w:p w14:paraId="6E7FE7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39.8</w:t>
            </w:r>
          </w:p>
        </w:tc>
        <w:tc>
          <w:tcPr>
            <w:tcW w:w="1783" w:type="pct"/>
            <w:tcBorders>
              <w:tl2br w:val="nil"/>
              <w:tr2bl w:val="nil"/>
            </w:tcBorders>
            <w:shd w:val="clear" w:color="auto" w:fill="auto"/>
            <w:vAlign w:val="bottom"/>
          </w:tcPr>
          <w:p w14:paraId="1A9A8F1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0.109</w:t>
            </w:r>
          </w:p>
        </w:tc>
        <w:tc>
          <w:tcPr>
            <w:tcW w:w="1211" w:type="pct"/>
            <w:tcBorders>
              <w:tl2br w:val="nil"/>
              <w:tr2bl w:val="nil"/>
            </w:tcBorders>
            <w:shd w:val="clear" w:color="auto" w:fill="auto"/>
            <w:vAlign w:val="bottom"/>
          </w:tcPr>
          <w:p w14:paraId="20D713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1.9411</w:t>
            </w:r>
          </w:p>
        </w:tc>
      </w:tr>
      <w:tr w14:paraId="41374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04" w:type="pct"/>
            <w:gridSpan w:val="3"/>
            <w:tcBorders>
              <w:tl2br w:val="nil"/>
              <w:tr2bl w:val="nil"/>
            </w:tcBorders>
            <w:shd w:val="clear" w:color="auto" w:fill="auto"/>
            <w:vAlign w:val="center"/>
          </w:tcPr>
          <w:p w14:paraId="3391DA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eastAsia" w:ascii="Times New Roman" w:hAnsi="Times New Roman" w:cs="Times New Roman"/>
                <w:b/>
                <w:bCs/>
                <w:i w:val="0"/>
                <w:iCs w:val="0"/>
                <w:color w:val="auto"/>
                <w:kern w:val="0"/>
                <w:sz w:val="20"/>
                <w:szCs w:val="20"/>
                <w:u w:val="none"/>
                <w:lang w:val="en-US" w:eastAsia="zh-CN" w:bidi="ar"/>
              </w:rPr>
            </w:pPr>
            <w:r>
              <w:rPr>
                <w:rFonts w:hint="eastAsia" w:ascii="Times New Roman" w:hAnsi="Times New Roman" w:cs="Times New Roman"/>
                <w:b/>
                <w:bCs/>
                <w:i w:val="0"/>
                <w:iCs w:val="0"/>
                <w:color w:val="auto"/>
                <w:kern w:val="0"/>
                <w:sz w:val="20"/>
                <w:szCs w:val="20"/>
                <w:u w:val="none"/>
                <w:lang w:val="en-US" w:eastAsia="zh-CN" w:bidi="ar"/>
              </w:rPr>
              <w:t>电磁环境预测最大值</w:t>
            </w:r>
          </w:p>
        </w:tc>
        <w:tc>
          <w:tcPr>
            <w:tcW w:w="1783" w:type="pct"/>
            <w:tcBorders>
              <w:tl2br w:val="nil"/>
              <w:tr2bl w:val="nil"/>
            </w:tcBorders>
            <w:shd w:val="clear" w:color="auto" w:fill="auto"/>
            <w:vAlign w:val="center"/>
          </w:tcPr>
          <w:p w14:paraId="09718F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7.5887</w:t>
            </w:r>
          </w:p>
        </w:tc>
        <w:tc>
          <w:tcPr>
            <w:tcW w:w="1211" w:type="pct"/>
            <w:tcBorders>
              <w:tl2br w:val="nil"/>
              <w:tr2bl w:val="nil"/>
            </w:tcBorders>
            <w:shd w:val="clear" w:color="auto" w:fill="auto"/>
            <w:vAlign w:val="center"/>
          </w:tcPr>
          <w:p w14:paraId="11A0320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55.8425</w:t>
            </w:r>
          </w:p>
        </w:tc>
      </w:tr>
    </w:tbl>
    <w:p w14:paraId="6E1EC9A4">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11"/>
          <w:szCs w:val="11"/>
          <w:highlight w:val="none"/>
          <w:lang w:eastAsia="zh-CN"/>
        </w:rPr>
      </w:pPr>
    </w:p>
    <w:p w14:paraId="01E72AB5">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06415" cy="2725420"/>
            <wp:effectExtent l="0" t="0" r="13335" b="17780"/>
            <wp:docPr id="57" name="图片 57" descr="工频电场图 单回水平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工频电场图 单回水平排列 6.5m"/>
                    <pic:cNvPicPr>
                      <a:picLocks noChangeAspect="1"/>
                    </pic:cNvPicPr>
                  </pic:nvPicPr>
                  <pic:blipFill>
                    <a:blip r:embed="rId70"/>
                    <a:stretch>
                      <a:fillRect/>
                    </a:stretch>
                  </pic:blipFill>
                  <pic:spPr>
                    <a:xfrm>
                      <a:off x="0" y="0"/>
                      <a:ext cx="5606415" cy="2725420"/>
                    </a:xfrm>
                    <a:prstGeom prst="rect">
                      <a:avLst/>
                    </a:prstGeom>
                  </pic:spPr>
                </pic:pic>
              </a:graphicData>
            </a:graphic>
          </wp:inline>
        </w:drawing>
      </w:r>
    </w:p>
    <w:p w14:paraId="35969A89">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ascii="Times New Roman" w:hAnsi="Times New Roman" w:cs="Times New Roman"/>
          <w:b/>
          <w:color w:val="auto"/>
          <w:sz w:val="24"/>
          <w:highlight w:val="none"/>
        </w:rPr>
      </w:pPr>
      <w:r>
        <w:rPr>
          <w:rFonts w:ascii="Times New Roman" w:hAnsi="Times New Roman" w:cs="Times New Roman"/>
          <w:b/>
          <w:color w:val="auto"/>
          <w:sz w:val="24"/>
          <w:highlight w:val="none"/>
        </w:rPr>
        <w:t>图5-5  工频电场强度分布图</w:t>
      </w:r>
    </w:p>
    <w:p w14:paraId="20023A30">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350260"/>
            <wp:effectExtent l="0" t="0" r="8255" b="2540"/>
            <wp:docPr id="59" name="图片 59" descr="电场等值线图 单回水平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电场等值线图 单回水平排列 6.5m"/>
                    <pic:cNvPicPr>
                      <a:picLocks noChangeAspect="1"/>
                    </pic:cNvPicPr>
                  </pic:nvPicPr>
                  <pic:blipFill>
                    <a:blip r:embed="rId71"/>
                    <a:stretch>
                      <a:fillRect/>
                    </a:stretch>
                  </pic:blipFill>
                  <pic:spPr>
                    <a:xfrm>
                      <a:off x="0" y="0"/>
                      <a:ext cx="5611495" cy="3350260"/>
                    </a:xfrm>
                    <a:prstGeom prst="rect">
                      <a:avLst/>
                    </a:prstGeom>
                  </pic:spPr>
                </pic:pic>
              </a:graphicData>
            </a:graphic>
          </wp:inline>
        </w:drawing>
      </w:r>
    </w:p>
    <w:p w14:paraId="378E8102">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6</w:t>
      </w:r>
      <w:r>
        <w:rPr>
          <w:rFonts w:ascii="Times New Roman" w:hAnsi="Times New Roman" w:cs="Times New Roman"/>
          <w:b/>
          <w:color w:val="auto"/>
          <w:sz w:val="24"/>
          <w:highlight w:val="none"/>
        </w:rPr>
        <w:t xml:space="preserve">  工频电场</w:t>
      </w:r>
      <w:r>
        <w:rPr>
          <w:rFonts w:hint="eastAsia" w:ascii="Times New Roman" w:hAnsi="Times New Roman" w:cs="Times New Roman"/>
          <w:b/>
          <w:color w:val="auto"/>
          <w:sz w:val="24"/>
          <w:highlight w:val="none"/>
        </w:rPr>
        <w:t>等值线图</w:t>
      </w:r>
    </w:p>
    <w:p w14:paraId="28D7BEEB">
      <w:pPr>
        <w:pStyle w:val="2"/>
        <w:adjustRightIn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5305" cy="3191510"/>
            <wp:effectExtent l="0" t="0" r="4445" b="8890"/>
            <wp:docPr id="61" name="图片 61" descr="工频磁场图 单回水平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工频磁场图 单回水平排列 6.5m"/>
                    <pic:cNvPicPr>
                      <a:picLocks noChangeAspect="1"/>
                    </pic:cNvPicPr>
                  </pic:nvPicPr>
                  <pic:blipFill>
                    <a:blip r:embed="rId72"/>
                    <a:stretch>
                      <a:fillRect/>
                    </a:stretch>
                  </pic:blipFill>
                  <pic:spPr>
                    <a:xfrm>
                      <a:off x="0" y="0"/>
                      <a:ext cx="5615305" cy="3191510"/>
                    </a:xfrm>
                    <a:prstGeom prst="rect">
                      <a:avLst/>
                    </a:prstGeom>
                  </pic:spPr>
                </pic:pic>
              </a:graphicData>
            </a:graphic>
          </wp:inline>
        </w:drawing>
      </w:r>
    </w:p>
    <w:p w14:paraId="6DE5E0D9">
      <w:pPr>
        <w:pStyle w:val="2"/>
        <w:adjustRightIn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7</w:t>
      </w:r>
      <w:r>
        <w:rPr>
          <w:rFonts w:ascii="Times New Roman" w:hAnsi="Times New Roman" w:cs="Times New Roman"/>
          <w:b/>
          <w:color w:val="auto"/>
          <w:sz w:val="24"/>
          <w:highlight w:val="none"/>
        </w:rPr>
        <w:t xml:space="preserve">  工频磁感应强度分布图</w:t>
      </w:r>
    </w:p>
    <w:p w14:paraId="18442847">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291840"/>
            <wp:effectExtent l="0" t="0" r="8255" b="3810"/>
            <wp:docPr id="62" name="图片 62" descr="磁场等值线图 单回水平排列 6.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磁场等值线图 单回水平排列 6.5m"/>
                    <pic:cNvPicPr>
                      <a:picLocks noChangeAspect="1"/>
                    </pic:cNvPicPr>
                  </pic:nvPicPr>
                  <pic:blipFill>
                    <a:blip r:embed="rId73"/>
                    <a:srcRect b="1744"/>
                    <a:stretch>
                      <a:fillRect/>
                    </a:stretch>
                  </pic:blipFill>
                  <pic:spPr>
                    <a:xfrm>
                      <a:off x="0" y="0"/>
                      <a:ext cx="5611495" cy="3291840"/>
                    </a:xfrm>
                    <a:prstGeom prst="rect">
                      <a:avLst/>
                    </a:prstGeom>
                  </pic:spPr>
                </pic:pic>
              </a:graphicData>
            </a:graphic>
          </wp:inline>
        </w:drawing>
      </w:r>
    </w:p>
    <w:p w14:paraId="1249C7B5">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Cs/>
          <w:color w:val="auto"/>
          <w:spacing w:val="-6"/>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8</w:t>
      </w:r>
      <w:r>
        <w:rPr>
          <w:rFonts w:ascii="Times New Roman" w:hAnsi="Times New Roman" w:cs="Times New Roman"/>
          <w:b/>
          <w:color w:val="auto"/>
          <w:sz w:val="24"/>
          <w:highlight w:val="none"/>
        </w:rPr>
        <w:t xml:space="preserve">  工频磁感应强度</w:t>
      </w:r>
      <w:r>
        <w:rPr>
          <w:rFonts w:hint="eastAsia" w:ascii="Times New Roman" w:hAnsi="Times New Roman" w:cs="Times New Roman"/>
          <w:b/>
          <w:color w:val="auto"/>
          <w:sz w:val="24"/>
          <w:highlight w:val="none"/>
        </w:rPr>
        <w:t>等值线图</w:t>
      </w:r>
    </w:p>
    <w:p w14:paraId="369A90D7">
      <w:pPr>
        <w:pStyle w:val="2"/>
        <w:adjustRightInd w:val="0"/>
        <w:spacing w:after="0" w:line="440" w:lineRule="atLeast"/>
        <w:ind w:firstLine="456" w:firstLineChars="200"/>
        <w:rPr>
          <w:rFonts w:ascii="Times New Roman" w:hAnsi="Times New Roman" w:cs="Times New Roman"/>
          <w:bCs/>
          <w:color w:val="auto"/>
          <w:spacing w:val="-6"/>
          <w:sz w:val="24"/>
          <w:highlight w:val="none"/>
        </w:rPr>
      </w:pPr>
      <w:r>
        <w:rPr>
          <w:rFonts w:ascii="Times New Roman" w:hAnsi="Times New Roman" w:cs="Times New Roman"/>
          <w:bCs/>
          <w:color w:val="auto"/>
          <w:spacing w:val="-6"/>
          <w:sz w:val="24"/>
          <w:highlight w:val="none"/>
        </w:rPr>
        <w:t>导线离地高度6.5m、距地面1.5m时，</w:t>
      </w:r>
      <w:r>
        <w:rPr>
          <w:rFonts w:hint="eastAsia" w:ascii="Times New Roman" w:hAnsi="Times New Roman" w:cs="Times New Roman"/>
          <w:bCs/>
          <w:color w:val="auto"/>
          <w:spacing w:val="-6"/>
          <w:sz w:val="24"/>
          <w:highlight w:val="none"/>
        </w:rPr>
        <w:t>220kV</w:t>
      </w:r>
      <w:r>
        <w:rPr>
          <w:rFonts w:ascii="Times New Roman" w:hAnsi="Times New Roman" w:cs="Times New Roman"/>
          <w:bCs/>
          <w:color w:val="auto"/>
          <w:spacing w:val="-6"/>
          <w:sz w:val="24"/>
          <w:highlight w:val="none"/>
        </w:rPr>
        <w:t>单回路</w:t>
      </w:r>
      <w:r>
        <w:rPr>
          <w:rFonts w:hint="eastAsia" w:cs="Times New Roman"/>
          <w:bCs/>
          <w:color w:val="auto"/>
          <w:spacing w:val="-6"/>
          <w:sz w:val="24"/>
          <w:highlight w:val="none"/>
          <w:lang w:val="en-US" w:eastAsia="zh-CN"/>
        </w:rPr>
        <w:t>水平排列</w:t>
      </w:r>
      <w:r>
        <w:rPr>
          <w:rFonts w:hint="eastAsia" w:ascii="Times New Roman" w:hAnsi="Times New Roman" w:cs="Times New Roman"/>
          <w:bCs/>
          <w:color w:val="auto"/>
          <w:spacing w:val="-6"/>
          <w:sz w:val="24"/>
          <w:highlight w:val="none"/>
        </w:rPr>
        <w:t>架设</w:t>
      </w:r>
      <w:r>
        <w:rPr>
          <w:rFonts w:ascii="Times New Roman" w:hAnsi="Times New Roman" w:cs="Times New Roman"/>
          <w:bCs/>
          <w:color w:val="auto"/>
          <w:spacing w:val="-6"/>
          <w:sz w:val="24"/>
          <w:highlight w:val="none"/>
        </w:rPr>
        <w:t>线路产生的工频电场强度最大值出现在距离线路中心</w:t>
      </w:r>
      <w:r>
        <w:rPr>
          <w:rFonts w:hint="eastAsia" w:cs="Times New Roman"/>
          <w:bCs/>
          <w:color w:val="auto"/>
          <w:spacing w:val="-6"/>
          <w:sz w:val="24"/>
          <w:highlight w:val="none"/>
          <w:lang w:val="en-US" w:eastAsia="zh-CN"/>
        </w:rPr>
        <w:t>-10</w:t>
      </w:r>
      <w:r>
        <w:rPr>
          <w:rFonts w:ascii="Times New Roman" w:hAnsi="Times New Roman" w:cs="Times New Roman"/>
          <w:bCs/>
          <w:color w:val="auto"/>
          <w:spacing w:val="-6"/>
          <w:sz w:val="24"/>
          <w:highlight w:val="none"/>
        </w:rPr>
        <w:t>m处，为</w:t>
      </w:r>
      <w:r>
        <w:rPr>
          <w:rFonts w:hint="eastAsia" w:ascii="Times New Roman" w:hAnsi="Times New Roman" w:cs="Times New Roman"/>
          <w:bCs/>
          <w:color w:val="auto"/>
          <w:spacing w:val="-6"/>
          <w:sz w:val="24"/>
          <w:highlight w:val="none"/>
        </w:rPr>
        <w:t>7</w:t>
      </w:r>
      <w:r>
        <w:rPr>
          <w:rFonts w:ascii="Times New Roman" w:hAnsi="Times New Roman" w:cs="Times New Roman"/>
          <w:bCs/>
          <w:color w:val="auto"/>
          <w:spacing w:val="-6"/>
          <w:sz w:val="24"/>
          <w:highlight w:val="none"/>
        </w:rPr>
        <w:t>.</w:t>
      </w:r>
      <w:r>
        <w:rPr>
          <w:rFonts w:hint="eastAsia" w:cs="Times New Roman"/>
          <w:bCs/>
          <w:color w:val="auto"/>
          <w:spacing w:val="-6"/>
          <w:sz w:val="24"/>
          <w:highlight w:val="none"/>
          <w:lang w:val="en-US" w:eastAsia="zh-CN"/>
        </w:rPr>
        <w:t>5887</w:t>
      </w:r>
      <w:r>
        <w:rPr>
          <w:rFonts w:ascii="Times New Roman" w:hAnsi="Times New Roman" w:cs="Times New Roman"/>
          <w:bCs/>
          <w:color w:val="auto"/>
          <w:spacing w:val="-6"/>
          <w:sz w:val="24"/>
          <w:highlight w:val="none"/>
        </w:rPr>
        <w:t>kV/m；工频磁感应强度最大值出现在线路中心</w:t>
      </w:r>
      <w:r>
        <w:rPr>
          <w:rFonts w:hint="eastAsia" w:cs="Times New Roman"/>
          <w:bCs/>
          <w:color w:val="auto"/>
          <w:spacing w:val="-6"/>
          <w:sz w:val="24"/>
          <w:highlight w:val="none"/>
          <w:lang w:val="en-US" w:eastAsia="zh-CN"/>
        </w:rPr>
        <w:t>线正下方</w:t>
      </w:r>
      <w:r>
        <w:rPr>
          <w:rFonts w:ascii="Times New Roman" w:hAnsi="Times New Roman" w:cs="Times New Roman"/>
          <w:bCs/>
          <w:color w:val="auto"/>
          <w:spacing w:val="-6"/>
          <w:sz w:val="24"/>
          <w:highlight w:val="none"/>
        </w:rPr>
        <w:t>，为</w:t>
      </w:r>
      <w:r>
        <w:rPr>
          <w:rFonts w:hint="eastAsia" w:cs="Times New Roman"/>
          <w:bCs/>
          <w:color w:val="auto"/>
          <w:spacing w:val="-6"/>
          <w:sz w:val="24"/>
          <w:highlight w:val="none"/>
          <w:lang w:val="en-US" w:eastAsia="zh-CN"/>
        </w:rPr>
        <w:t>55.8425</w:t>
      </w:r>
      <w:r>
        <w:rPr>
          <w:rFonts w:ascii="Times New Roman" w:hAnsi="Times New Roman" w:cs="Times New Roman"/>
          <w:bCs/>
          <w:color w:val="auto"/>
          <w:spacing w:val="-6"/>
          <w:sz w:val="24"/>
          <w:highlight w:val="none"/>
        </w:rPr>
        <w:t>μT。预测结果满足《电磁环境控制限值》（GB8702-2014）中</w:t>
      </w:r>
      <w:r>
        <w:rPr>
          <w:rFonts w:hint="eastAsia" w:cs="Times New Roman"/>
          <w:bCs/>
          <w:color w:val="auto"/>
          <w:spacing w:val="-6"/>
          <w:sz w:val="24"/>
          <w:highlight w:val="none"/>
          <w:lang w:eastAsia="zh-CN"/>
        </w:rPr>
        <w:t>其他地区</w:t>
      </w:r>
      <w:r>
        <w:rPr>
          <w:rFonts w:ascii="Times New Roman" w:hAnsi="Times New Roman" w:cs="Times New Roman"/>
          <w:bCs/>
          <w:color w:val="auto"/>
          <w:spacing w:val="-6"/>
          <w:sz w:val="24"/>
          <w:highlight w:val="none"/>
        </w:rPr>
        <w:t>工频电场强度10kV/m的标准要求。</w:t>
      </w:r>
    </w:p>
    <w:p w14:paraId="7600444F">
      <w:pPr>
        <w:pStyle w:val="2"/>
        <w:adjustRightInd w:val="0"/>
        <w:snapToGrid w:val="0"/>
        <w:spacing w:after="0" w:line="440" w:lineRule="exact"/>
        <w:ind w:firstLine="456" w:firstLineChars="200"/>
        <w:rPr>
          <w:bCs/>
          <w:color w:val="auto"/>
          <w:spacing w:val="-6"/>
          <w:sz w:val="24"/>
          <w:highlight w:val="none"/>
        </w:rPr>
      </w:pPr>
      <w:r>
        <w:rPr>
          <w:bCs/>
          <w:color w:val="auto"/>
          <w:spacing w:val="-6"/>
          <w:sz w:val="24"/>
          <w:highlight w:val="none"/>
        </w:rPr>
        <w:t>（</w:t>
      </w:r>
      <w:r>
        <w:rPr>
          <w:rFonts w:hint="eastAsia"/>
          <w:bCs/>
          <w:color w:val="auto"/>
          <w:spacing w:val="-6"/>
          <w:sz w:val="24"/>
          <w:highlight w:val="none"/>
        </w:rPr>
        <w:t>2</w:t>
      </w:r>
      <w:r>
        <w:rPr>
          <w:bCs/>
          <w:color w:val="auto"/>
          <w:spacing w:val="-6"/>
          <w:sz w:val="24"/>
          <w:highlight w:val="none"/>
        </w:rPr>
        <w:t>）</w:t>
      </w:r>
      <w:r>
        <w:rPr>
          <w:rFonts w:hint="eastAsia"/>
          <w:bCs/>
          <w:color w:val="auto"/>
          <w:spacing w:val="-6"/>
          <w:sz w:val="24"/>
          <w:highlight w:val="none"/>
        </w:rPr>
        <w:t>220kV双设单挂架设</w:t>
      </w:r>
      <w:r>
        <w:rPr>
          <w:bCs/>
          <w:color w:val="auto"/>
          <w:spacing w:val="-6"/>
          <w:sz w:val="24"/>
          <w:highlight w:val="none"/>
        </w:rPr>
        <w:t>电磁环境预测</w:t>
      </w:r>
    </w:p>
    <w:p w14:paraId="79E9740E">
      <w:pPr>
        <w:pStyle w:val="2"/>
        <w:adjustRightInd w:val="0"/>
        <w:spacing w:after="0" w:line="440" w:lineRule="atLeast"/>
        <w:ind w:firstLine="456" w:firstLineChars="200"/>
        <w:rPr>
          <w:rFonts w:hint="default" w:ascii="Times New Roman" w:hAnsi="Times New Roman" w:eastAsia="宋体" w:cs="Times New Roman"/>
          <w:bCs/>
          <w:color w:val="auto"/>
          <w:spacing w:val="-6"/>
          <w:sz w:val="24"/>
          <w:highlight w:val="none"/>
          <w:lang w:val="en-US" w:eastAsia="zh-CN"/>
        </w:rPr>
      </w:pPr>
      <w:r>
        <w:rPr>
          <w:rFonts w:hint="default" w:ascii="Times New Roman" w:hAnsi="Times New Roman" w:cs="Times New Roman"/>
          <w:bCs/>
          <w:color w:val="auto"/>
          <w:spacing w:val="-6"/>
          <w:sz w:val="24"/>
          <w:highlight w:val="none"/>
        </w:rPr>
        <w:t>①</w:t>
      </w:r>
      <w:r>
        <w:rPr>
          <w:rFonts w:hint="eastAsia" w:cs="Times New Roman"/>
          <w:bCs/>
          <w:color w:val="auto"/>
          <w:spacing w:val="-6"/>
          <w:sz w:val="24"/>
          <w:highlight w:val="none"/>
          <w:lang w:val="en-US" w:eastAsia="zh-CN"/>
        </w:rPr>
        <w:t>预测导线离地高度6.5m、距地面1.5m电磁环境</w:t>
      </w:r>
    </w:p>
    <w:p w14:paraId="672154F6">
      <w:pPr>
        <w:pStyle w:val="2"/>
        <w:adjustRightInd w:val="0"/>
        <w:snapToGrid w:val="0"/>
        <w:spacing w:after="0" w:line="440" w:lineRule="exact"/>
        <w:ind w:firstLine="456" w:firstLineChars="200"/>
        <w:rPr>
          <w:bCs/>
          <w:color w:val="auto"/>
          <w:spacing w:val="-6"/>
          <w:sz w:val="24"/>
          <w:highlight w:val="none"/>
        </w:rPr>
      </w:pPr>
      <w:r>
        <w:rPr>
          <w:bCs/>
          <w:color w:val="auto"/>
          <w:spacing w:val="-6"/>
          <w:sz w:val="24"/>
          <w:highlight w:val="none"/>
        </w:rPr>
        <w:t>本</w:t>
      </w:r>
      <w:r>
        <w:rPr>
          <w:rFonts w:hint="eastAsia"/>
          <w:bCs/>
          <w:color w:val="auto"/>
          <w:spacing w:val="-6"/>
          <w:sz w:val="24"/>
          <w:highlight w:val="none"/>
        </w:rPr>
        <w:t>项目220kV</w:t>
      </w:r>
      <w:r>
        <w:rPr>
          <w:rFonts w:hint="eastAsia" w:cs="Times New Roman"/>
          <w:color w:val="auto"/>
          <w:sz w:val="24"/>
          <w:highlight w:val="none"/>
        </w:rPr>
        <w:t>双设单挂架设</w:t>
      </w:r>
      <w:r>
        <w:rPr>
          <w:bCs/>
          <w:color w:val="auto"/>
          <w:spacing w:val="-6"/>
          <w:sz w:val="24"/>
          <w:highlight w:val="none"/>
        </w:rPr>
        <w:t>非居民区工频电场强度、工频磁感应强度预测结果见表5-</w:t>
      </w:r>
      <w:r>
        <w:rPr>
          <w:rFonts w:hint="eastAsia"/>
          <w:bCs/>
          <w:color w:val="auto"/>
          <w:spacing w:val="-6"/>
          <w:sz w:val="24"/>
          <w:highlight w:val="none"/>
        </w:rPr>
        <w:t>3</w:t>
      </w:r>
      <w:r>
        <w:rPr>
          <w:bCs/>
          <w:color w:val="auto"/>
          <w:spacing w:val="-6"/>
          <w:sz w:val="24"/>
          <w:highlight w:val="none"/>
        </w:rPr>
        <w:t>。</w:t>
      </w:r>
    </w:p>
    <w:p w14:paraId="35280578">
      <w:pPr>
        <w:pStyle w:val="2"/>
        <w:adjustRightInd w:val="0"/>
        <w:snapToGrid w:val="0"/>
        <w:spacing w:after="0"/>
        <w:jc w:val="center"/>
        <w:rPr>
          <w:b/>
          <w:color w:val="auto"/>
          <w:sz w:val="24"/>
          <w:highlight w:val="none"/>
        </w:rPr>
      </w:pPr>
      <w:r>
        <w:rPr>
          <w:b/>
          <w:color w:val="auto"/>
          <w:sz w:val="24"/>
          <w:highlight w:val="none"/>
        </w:rPr>
        <w:t>表5-</w:t>
      </w:r>
      <w:r>
        <w:rPr>
          <w:rFonts w:hint="eastAsia"/>
          <w:b/>
          <w:color w:val="auto"/>
          <w:sz w:val="24"/>
          <w:highlight w:val="none"/>
        </w:rPr>
        <w:t>3</w:t>
      </w:r>
      <w:r>
        <w:rPr>
          <w:b/>
          <w:color w:val="auto"/>
          <w:sz w:val="24"/>
          <w:highlight w:val="none"/>
        </w:rPr>
        <w:t xml:space="preserve">  </w:t>
      </w:r>
      <w:r>
        <w:rPr>
          <w:rFonts w:hint="eastAsia"/>
          <w:b/>
          <w:color w:val="auto"/>
          <w:sz w:val="24"/>
          <w:highlight w:val="none"/>
        </w:rPr>
        <w:t>220kV双设单挂架设</w:t>
      </w:r>
      <w:r>
        <w:rPr>
          <w:b/>
          <w:color w:val="auto"/>
          <w:sz w:val="24"/>
          <w:highlight w:val="none"/>
        </w:rPr>
        <w:t>工频电场强度、工频磁感应强度预测结果</w:t>
      </w:r>
    </w:p>
    <w:tbl>
      <w:tblPr>
        <w:tblStyle w:val="27"/>
        <w:tblW w:w="487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693"/>
        <w:gridCol w:w="2008"/>
        <w:gridCol w:w="1845"/>
        <w:gridCol w:w="1845"/>
      </w:tblGrid>
      <w:tr w14:paraId="701551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vMerge w:val="restart"/>
            <w:tcBorders>
              <w:tl2br w:val="nil"/>
              <w:tr2bl w:val="nil"/>
            </w:tcBorders>
            <w:vAlign w:val="center"/>
          </w:tcPr>
          <w:p w14:paraId="53DF634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距线路中心距离（m）</w:t>
            </w:r>
          </w:p>
        </w:tc>
        <w:tc>
          <w:tcPr>
            <w:tcW w:w="2091" w:type="pct"/>
            <w:gridSpan w:val="2"/>
            <w:vMerge w:val="restart"/>
            <w:tcBorders>
              <w:tl2br w:val="nil"/>
              <w:tr2bl w:val="nil"/>
            </w:tcBorders>
            <w:vAlign w:val="center"/>
          </w:tcPr>
          <w:p w14:paraId="6CA0B7C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距边导线距离（m）</w:t>
            </w:r>
          </w:p>
        </w:tc>
        <w:tc>
          <w:tcPr>
            <w:tcW w:w="1043" w:type="pct"/>
            <w:tcBorders>
              <w:tl2br w:val="nil"/>
              <w:tr2bl w:val="nil"/>
            </w:tcBorders>
            <w:vAlign w:val="center"/>
          </w:tcPr>
          <w:p w14:paraId="0A1FD58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工频电场强度kV/m</w:t>
            </w:r>
          </w:p>
        </w:tc>
        <w:tc>
          <w:tcPr>
            <w:tcW w:w="1043" w:type="pct"/>
            <w:tcBorders>
              <w:tl2br w:val="nil"/>
              <w:tr2bl w:val="nil"/>
            </w:tcBorders>
            <w:vAlign w:val="center"/>
          </w:tcPr>
          <w:p w14:paraId="09F5A8C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工频磁感应强度μT</w:t>
            </w:r>
          </w:p>
        </w:tc>
      </w:tr>
      <w:tr w14:paraId="64BF6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vMerge w:val="continue"/>
            <w:tcBorders>
              <w:tl2br w:val="nil"/>
              <w:tr2bl w:val="nil"/>
            </w:tcBorders>
            <w:vAlign w:val="center"/>
          </w:tcPr>
          <w:p w14:paraId="54EB390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p>
        </w:tc>
        <w:tc>
          <w:tcPr>
            <w:tcW w:w="2091" w:type="pct"/>
            <w:gridSpan w:val="2"/>
            <w:vMerge w:val="continue"/>
            <w:tcBorders>
              <w:tl2br w:val="nil"/>
              <w:tr2bl w:val="nil"/>
            </w:tcBorders>
            <w:vAlign w:val="center"/>
          </w:tcPr>
          <w:p w14:paraId="1CEFF9D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p>
        </w:tc>
        <w:tc>
          <w:tcPr>
            <w:tcW w:w="1043" w:type="pct"/>
            <w:tcBorders>
              <w:tl2br w:val="nil"/>
              <w:tr2bl w:val="nil"/>
            </w:tcBorders>
            <w:vAlign w:val="center"/>
          </w:tcPr>
          <w:p w14:paraId="47E130B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c>
          <w:tcPr>
            <w:tcW w:w="1043" w:type="pct"/>
            <w:tcBorders>
              <w:tl2br w:val="nil"/>
              <w:tr2bl w:val="nil"/>
            </w:tcBorders>
            <w:vAlign w:val="center"/>
          </w:tcPr>
          <w:p w14:paraId="11352C7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6.5m</w:t>
            </w:r>
          </w:p>
        </w:tc>
      </w:tr>
      <w:tr w14:paraId="5E181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vMerge w:val="continue"/>
            <w:tcBorders>
              <w:tl2br w:val="nil"/>
              <w:tr2bl w:val="nil"/>
            </w:tcBorders>
            <w:vAlign w:val="center"/>
          </w:tcPr>
          <w:p w14:paraId="3FAF898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p>
        </w:tc>
        <w:tc>
          <w:tcPr>
            <w:tcW w:w="2091" w:type="pct"/>
            <w:gridSpan w:val="2"/>
            <w:vMerge w:val="continue"/>
            <w:tcBorders>
              <w:tl2br w:val="nil"/>
              <w:tr2bl w:val="nil"/>
            </w:tcBorders>
            <w:vAlign w:val="center"/>
          </w:tcPr>
          <w:p w14:paraId="25AB9FF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p>
        </w:tc>
        <w:tc>
          <w:tcPr>
            <w:tcW w:w="1043" w:type="pct"/>
            <w:tcBorders>
              <w:tl2br w:val="nil"/>
              <w:tr2bl w:val="nil"/>
            </w:tcBorders>
            <w:vAlign w:val="center"/>
          </w:tcPr>
          <w:p w14:paraId="74ABB54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c>
          <w:tcPr>
            <w:tcW w:w="1043" w:type="pct"/>
            <w:tcBorders>
              <w:tl2br w:val="nil"/>
              <w:tr2bl w:val="nil"/>
            </w:tcBorders>
            <w:vAlign w:val="center"/>
          </w:tcPr>
          <w:p w14:paraId="6637354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r>
      <w:tr w14:paraId="09AFEA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BE1281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957" w:type="pct"/>
            <w:vMerge w:val="restart"/>
            <w:tcBorders>
              <w:tl2br w:val="nil"/>
              <w:tr2bl w:val="nil"/>
            </w:tcBorders>
            <w:shd w:val="clear" w:color="auto" w:fill="auto"/>
            <w:vAlign w:val="center"/>
          </w:tcPr>
          <w:p w14:paraId="227F64A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边导线外（挂线侧）</w:t>
            </w:r>
          </w:p>
        </w:tc>
        <w:tc>
          <w:tcPr>
            <w:tcW w:w="1134" w:type="pct"/>
            <w:tcBorders>
              <w:tl2br w:val="nil"/>
              <w:tr2bl w:val="nil"/>
            </w:tcBorders>
            <w:shd w:val="clear" w:color="auto" w:fill="auto"/>
            <w:vAlign w:val="bottom"/>
          </w:tcPr>
          <w:p w14:paraId="06D538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-40</w:t>
            </w:r>
          </w:p>
        </w:tc>
        <w:tc>
          <w:tcPr>
            <w:tcW w:w="1043" w:type="pct"/>
            <w:tcBorders>
              <w:tl2br w:val="nil"/>
              <w:tr2bl w:val="nil"/>
            </w:tcBorders>
            <w:shd w:val="clear" w:color="auto" w:fill="auto"/>
            <w:vAlign w:val="bottom"/>
          </w:tcPr>
          <w:p w14:paraId="1B3F25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0.1985</w:t>
            </w:r>
          </w:p>
        </w:tc>
        <w:tc>
          <w:tcPr>
            <w:tcW w:w="1043" w:type="pct"/>
            <w:tcBorders>
              <w:tl2br w:val="nil"/>
              <w:tr2bl w:val="nil"/>
            </w:tcBorders>
            <w:shd w:val="clear" w:color="auto" w:fill="auto"/>
            <w:vAlign w:val="bottom"/>
          </w:tcPr>
          <w:p w14:paraId="5D28D4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1.6511</w:t>
            </w:r>
          </w:p>
        </w:tc>
      </w:tr>
      <w:tr w14:paraId="2CA574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21CCC9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957" w:type="pct"/>
            <w:vMerge w:val="continue"/>
            <w:tcBorders>
              <w:tl2br w:val="nil"/>
              <w:tr2bl w:val="nil"/>
            </w:tcBorders>
            <w:shd w:val="clear" w:color="auto" w:fill="auto"/>
            <w:vAlign w:val="center"/>
          </w:tcPr>
          <w:p w14:paraId="532CB3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0252DC7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-35</w:t>
            </w:r>
          </w:p>
        </w:tc>
        <w:tc>
          <w:tcPr>
            <w:tcW w:w="1043" w:type="pct"/>
            <w:tcBorders>
              <w:tl2br w:val="nil"/>
              <w:tr2bl w:val="nil"/>
            </w:tcBorders>
            <w:shd w:val="clear" w:color="auto" w:fill="auto"/>
            <w:vAlign w:val="bottom"/>
          </w:tcPr>
          <w:p w14:paraId="7E916F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0.2337</w:t>
            </w:r>
          </w:p>
        </w:tc>
        <w:tc>
          <w:tcPr>
            <w:tcW w:w="1043" w:type="pct"/>
            <w:tcBorders>
              <w:tl2br w:val="nil"/>
              <w:tr2bl w:val="nil"/>
            </w:tcBorders>
            <w:shd w:val="clear" w:color="auto" w:fill="auto"/>
            <w:vAlign w:val="bottom"/>
          </w:tcPr>
          <w:p w14:paraId="6CDAA4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2.0797</w:t>
            </w:r>
          </w:p>
        </w:tc>
      </w:tr>
      <w:tr w14:paraId="75D6C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34701C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957" w:type="pct"/>
            <w:vMerge w:val="continue"/>
            <w:tcBorders>
              <w:tl2br w:val="nil"/>
              <w:tr2bl w:val="nil"/>
            </w:tcBorders>
            <w:shd w:val="clear" w:color="auto" w:fill="auto"/>
            <w:vAlign w:val="center"/>
          </w:tcPr>
          <w:p w14:paraId="5A243D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1BF7F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-30</w:t>
            </w:r>
          </w:p>
        </w:tc>
        <w:tc>
          <w:tcPr>
            <w:tcW w:w="1043" w:type="pct"/>
            <w:tcBorders>
              <w:tl2br w:val="nil"/>
              <w:tr2bl w:val="nil"/>
            </w:tcBorders>
            <w:shd w:val="clear" w:color="auto" w:fill="auto"/>
            <w:vAlign w:val="bottom"/>
          </w:tcPr>
          <w:p w14:paraId="576AB1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0.276</w:t>
            </w:r>
          </w:p>
        </w:tc>
        <w:tc>
          <w:tcPr>
            <w:tcW w:w="1043" w:type="pct"/>
            <w:tcBorders>
              <w:tl2br w:val="nil"/>
              <w:tr2bl w:val="nil"/>
            </w:tcBorders>
            <w:shd w:val="clear" w:color="auto" w:fill="auto"/>
            <w:vAlign w:val="bottom"/>
          </w:tcPr>
          <w:p w14:paraId="3899281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2.6911</w:t>
            </w:r>
          </w:p>
        </w:tc>
      </w:tr>
      <w:tr w14:paraId="560A7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501CAC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957" w:type="pct"/>
            <w:vMerge w:val="continue"/>
            <w:tcBorders>
              <w:tl2br w:val="nil"/>
              <w:tr2bl w:val="nil"/>
            </w:tcBorders>
            <w:shd w:val="clear" w:color="auto" w:fill="auto"/>
            <w:vAlign w:val="center"/>
          </w:tcPr>
          <w:p w14:paraId="4BCA1C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0F9A72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-25</w:t>
            </w:r>
          </w:p>
        </w:tc>
        <w:tc>
          <w:tcPr>
            <w:tcW w:w="1043" w:type="pct"/>
            <w:tcBorders>
              <w:tl2br w:val="nil"/>
              <w:tr2bl w:val="nil"/>
            </w:tcBorders>
            <w:shd w:val="clear" w:color="auto" w:fill="auto"/>
            <w:vAlign w:val="bottom"/>
          </w:tcPr>
          <w:p w14:paraId="6F90404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0.3255</w:t>
            </w:r>
          </w:p>
        </w:tc>
        <w:tc>
          <w:tcPr>
            <w:tcW w:w="1043" w:type="pct"/>
            <w:tcBorders>
              <w:tl2br w:val="nil"/>
              <w:tr2bl w:val="nil"/>
            </w:tcBorders>
            <w:shd w:val="clear" w:color="auto" w:fill="auto"/>
            <w:vAlign w:val="bottom"/>
          </w:tcPr>
          <w:p w14:paraId="6F0E55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3.6</w:t>
            </w:r>
          </w:p>
        </w:tc>
      </w:tr>
      <w:tr w14:paraId="20FF5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47912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957" w:type="pct"/>
            <w:vMerge w:val="continue"/>
            <w:tcBorders>
              <w:tl2br w:val="nil"/>
              <w:tr2bl w:val="nil"/>
            </w:tcBorders>
            <w:shd w:val="clear" w:color="auto" w:fill="auto"/>
            <w:vAlign w:val="center"/>
          </w:tcPr>
          <w:p w14:paraId="1F0C121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3B1DFD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-20</w:t>
            </w:r>
          </w:p>
        </w:tc>
        <w:tc>
          <w:tcPr>
            <w:tcW w:w="1043" w:type="pct"/>
            <w:tcBorders>
              <w:tl2br w:val="nil"/>
              <w:tr2bl w:val="nil"/>
            </w:tcBorders>
            <w:shd w:val="clear" w:color="auto" w:fill="auto"/>
            <w:vAlign w:val="bottom"/>
          </w:tcPr>
          <w:p w14:paraId="4B46310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0.3821</w:t>
            </w:r>
          </w:p>
        </w:tc>
        <w:tc>
          <w:tcPr>
            <w:tcW w:w="1043" w:type="pct"/>
            <w:tcBorders>
              <w:tl2br w:val="nil"/>
              <w:tr2bl w:val="nil"/>
            </w:tcBorders>
            <w:shd w:val="clear" w:color="auto" w:fill="auto"/>
            <w:vAlign w:val="bottom"/>
          </w:tcPr>
          <w:p w14:paraId="69D50F5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5.0196</w:t>
            </w:r>
          </w:p>
        </w:tc>
      </w:tr>
      <w:tr w14:paraId="2B48FC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084A47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957" w:type="pct"/>
            <w:vMerge w:val="continue"/>
            <w:tcBorders>
              <w:tl2br w:val="nil"/>
              <w:tr2bl w:val="nil"/>
            </w:tcBorders>
            <w:shd w:val="clear" w:color="auto" w:fill="auto"/>
            <w:vAlign w:val="center"/>
          </w:tcPr>
          <w:p w14:paraId="66C2547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747D30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w:t>
            </w:r>
          </w:p>
        </w:tc>
        <w:tc>
          <w:tcPr>
            <w:tcW w:w="1043" w:type="pct"/>
            <w:tcBorders>
              <w:tl2br w:val="nil"/>
              <w:tr2bl w:val="nil"/>
            </w:tcBorders>
            <w:shd w:val="clear" w:color="auto" w:fill="auto"/>
            <w:vAlign w:val="bottom"/>
          </w:tcPr>
          <w:p w14:paraId="6139F6E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0.4585</w:t>
            </w:r>
          </w:p>
        </w:tc>
        <w:tc>
          <w:tcPr>
            <w:tcW w:w="1043" w:type="pct"/>
            <w:tcBorders>
              <w:tl2br w:val="nil"/>
              <w:tr2bl w:val="nil"/>
            </w:tcBorders>
            <w:shd w:val="clear" w:color="auto" w:fill="auto"/>
            <w:vAlign w:val="bottom"/>
          </w:tcPr>
          <w:p w14:paraId="0096268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7.376</w:t>
            </w:r>
          </w:p>
        </w:tc>
      </w:tr>
      <w:tr w14:paraId="3AC0E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0FBB75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957" w:type="pct"/>
            <w:vMerge w:val="continue"/>
            <w:tcBorders>
              <w:tl2br w:val="nil"/>
              <w:tr2bl w:val="nil"/>
            </w:tcBorders>
            <w:shd w:val="clear" w:color="auto" w:fill="auto"/>
            <w:vAlign w:val="center"/>
          </w:tcPr>
          <w:p w14:paraId="4BFE0D0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63A44B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-10</w:t>
            </w:r>
          </w:p>
        </w:tc>
        <w:tc>
          <w:tcPr>
            <w:tcW w:w="1043" w:type="pct"/>
            <w:tcBorders>
              <w:tl2br w:val="nil"/>
              <w:tr2bl w:val="nil"/>
            </w:tcBorders>
            <w:shd w:val="clear" w:color="auto" w:fill="auto"/>
            <w:vAlign w:val="bottom"/>
          </w:tcPr>
          <w:p w14:paraId="090558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0.6938</w:t>
            </w:r>
          </w:p>
        </w:tc>
        <w:tc>
          <w:tcPr>
            <w:tcW w:w="1043" w:type="pct"/>
            <w:tcBorders>
              <w:tl2br w:val="nil"/>
              <w:tr2bl w:val="nil"/>
            </w:tcBorders>
            <w:shd w:val="clear" w:color="auto" w:fill="auto"/>
            <w:vAlign w:val="bottom"/>
          </w:tcPr>
          <w:p w14:paraId="51DC79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11.5844</w:t>
            </w:r>
          </w:p>
        </w:tc>
      </w:tr>
      <w:tr w14:paraId="551EC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04D2F41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957" w:type="pct"/>
            <w:vMerge w:val="continue"/>
            <w:tcBorders>
              <w:tl2br w:val="nil"/>
              <w:tr2bl w:val="nil"/>
            </w:tcBorders>
            <w:shd w:val="clear" w:color="auto" w:fill="auto"/>
            <w:vAlign w:val="center"/>
          </w:tcPr>
          <w:p w14:paraId="2D08F3A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1CACE3A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w:t>
            </w:r>
          </w:p>
        </w:tc>
        <w:tc>
          <w:tcPr>
            <w:tcW w:w="1043" w:type="pct"/>
            <w:tcBorders>
              <w:tl2br w:val="nil"/>
              <w:tr2bl w:val="nil"/>
            </w:tcBorders>
            <w:shd w:val="clear" w:color="auto" w:fill="auto"/>
            <w:vAlign w:val="bottom"/>
          </w:tcPr>
          <w:p w14:paraId="3C85BF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1.9638</w:t>
            </w:r>
          </w:p>
        </w:tc>
        <w:tc>
          <w:tcPr>
            <w:tcW w:w="1043" w:type="pct"/>
            <w:tcBorders>
              <w:tl2br w:val="nil"/>
              <w:tr2bl w:val="nil"/>
            </w:tcBorders>
            <w:shd w:val="clear" w:color="auto" w:fill="auto"/>
            <w:vAlign w:val="bottom"/>
          </w:tcPr>
          <w:p w14:paraId="0AA7B7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19.6778</w:t>
            </w:r>
          </w:p>
        </w:tc>
      </w:tr>
      <w:tr w14:paraId="1D98D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1CFC9C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957" w:type="pct"/>
            <w:tcBorders>
              <w:tl2br w:val="nil"/>
              <w:tr2bl w:val="nil"/>
            </w:tcBorders>
            <w:shd w:val="clear" w:color="auto" w:fill="auto"/>
            <w:vAlign w:val="center"/>
          </w:tcPr>
          <w:p w14:paraId="143073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边导线正下方</w:t>
            </w:r>
          </w:p>
        </w:tc>
        <w:tc>
          <w:tcPr>
            <w:tcW w:w="1134" w:type="pct"/>
            <w:tcBorders>
              <w:tl2br w:val="nil"/>
              <w:tr2bl w:val="nil"/>
            </w:tcBorders>
            <w:shd w:val="clear" w:color="auto" w:fill="auto"/>
            <w:vAlign w:val="bottom"/>
          </w:tcPr>
          <w:p w14:paraId="217C5B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w:t>
            </w:r>
          </w:p>
        </w:tc>
        <w:tc>
          <w:tcPr>
            <w:tcW w:w="1043" w:type="pct"/>
            <w:tcBorders>
              <w:tl2br w:val="nil"/>
              <w:tr2bl w:val="nil"/>
            </w:tcBorders>
            <w:shd w:val="clear" w:color="auto" w:fill="auto"/>
            <w:vAlign w:val="bottom"/>
          </w:tcPr>
          <w:p w14:paraId="63CE13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5.8764</w:t>
            </w:r>
          </w:p>
        </w:tc>
        <w:tc>
          <w:tcPr>
            <w:tcW w:w="1043" w:type="pct"/>
            <w:tcBorders>
              <w:tl2br w:val="nil"/>
              <w:tr2bl w:val="nil"/>
            </w:tcBorders>
            <w:shd w:val="clear" w:color="auto" w:fill="auto"/>
            <w:vAlign w:val="bottom"/>
          </w:tcPr>
          <w:p w14:paraId="0D5DE6F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33.1246</w:t>
            </w:r>
          </w:p>
        </w:tc>
      </w:tr>
      <w:tr w14:paraId="1AED5F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67297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957" w:type="pct"/>
            <w:vMerge w:val="restart"/>
            <w:tcBorders>
              <w:tl2br w:val="nil"/>
              <w:tr2bl w:val="nil"/>
            </w:tcBorders>
            <w:shd w:val="clear" w:color="auto" w:fill="auto"/>
            <w:vAlign w:val="center"/>
          </w:tcPr>
          <w:p w14:paraId="099F09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134" w:type="pct"/>
            <w:tcBorders>
              <w:tl2br w:val="nil"/>
              <w:tr2bl w:val="nil"/>
            </w:tcBorders>
            <w:shd w:val="clear" w:color="auto" w:fill="auto"/>
            <w:vAlign w:val="bottom"/>
          </w:tcPr>
          <w:p w14:paraId="4291564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043" w:type="pct"/>
            <w:tcBorders>
              <w:tl2br w:val="nil"/>
              <w:tr2bl w:val="nil"/>
            </w:tcBorders>
            <w:shd w:val="clear" w:color="auto" w:fill="auto"/>
            <w:vAlign w:val="bottom"/>
          </w:tcPr>
          <w:p w14:paraId="0E8556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6.5497</w:t>
            </w:r>
          </w:p>
        </w:tc>
        <w:tc>
          <w:tcPr>
            <w:tcW w:w="1043" w:type="pct"/>
            <w:tcBorders>
              <w:tl2br w:val="nil"/>
              <w:tr2bl w:val="nil"/>
            </w:tcBorders>
            <w:shd w:val="clear" w:color="auto" w:fill="auto"/>
            <w:vAlign w:val="bottom"/>
          </w:tcPr>
          <w:p w14:paraId="5977CA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34.9846</w:t>
            </w:r>
          </w:p>
        </w:tc>
      </w:tr>
      <w:tr w14:paraId="1E1A8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315F12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957" w:type="pct"/>
            <w:vMerge w:val="continue"/>
            <w:tcBorders>
              <w:tl2br w:val="nil"/>
              <w:tr2bl w:val="nil"/>
            </w:tcBorders>
            <w:shd w:val="clear" w:color="auto" w:fill="auto"/>
            <w:vAlign w:val="center"/>
          </w:tcPr>
          <w:p w14:paraId="0E9C1D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75879F2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043" w:type="pct"/>
            <w:tcBorders>
              <w:tl2br w:val="nil"/>
              <w:tr2bl w:val="nil"/>
            </w:tcBorders>
            <w:shd w:val="clear" w:color="auto" w:fill="auto"/>
            <w:vAlign w:val="bottom"/>
          </w:tcPr>
          <w:p w14:paraId="2A2E9E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6.8217</w:t>
            </w:r>
          </w:p>
        </w:tc>
        <w:tc>
          <w:tcPr>
            <w:tcW w:w="1043" w:type="pct"/>
            <w:tcBorders>
              <w:tl2br w:val="nil"/>
              <w:tr2bl w:val="nil"/>
            </w:tcBorders>
            <w:shd w:val="clear" w:color="auto" w:fill="auto"/>
            <w:vAlign w:val="bottom"/>
          </w:tcPr>
          <w:p w14:paraId="49099A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35.5568</w:t>
            </w:r>
          </w:p>
        </w:tc>
      </w:tr>
      <w:tr w14:paraId="0EABD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7CE52B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957" w:type="pct"/>
            <w:vMerge w:val="restart"/>
            <w:tcBorders>
              <w:tl2br w:val="nil"/>
              <w:tr2bl w:val="nil"/>
            </w:tcBorders>
            <w:shd w:val="clear" w:color="auto" w:fill="auto"/>
            <w:vAlign w:val="center"/>
          </w:tcPr>
          <w:p w14:paraId="4DCAF2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1134" w:type="pct"/>
            <w:tcBorders>
              <w:tl2br w:val="nil"/>
              <w:tr2bl w:val="nil"/>
            </w:tcBorders>
            <w:shd w:val="clear" w:color="auto" w:fill="auto"/>
            <w:vAlign w:val="bottom"/>
          </w:tcPr>
          <w:p w14:paraId="4AE324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0.5</w:t>
            </w:r>
          </w:p>
        </w:tc>
        <w:tc>
          <w:tcPr>
            <w:tcW w:w="1043" w:type="pct"/>
            <w:tcBorders>
              <w:tl2br w:val="nil"/>
              <w:tr2bl w:val="nil"/>
            </w:tcBorders>
            <w:shd w:val="clear" w:color="auto" w:fill="auto"/>
            <w:vAlign w:val="bottom"/>
          </w:tcPr>
          <w:p w14:paraId="4F7DED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6.6064</w:t>
            </w:r>
          </w:p>
        </w:tc>
        <w:tc>
          <w:tcPr>
            <w:tcW w:w="1043" w:type="pct"/>
            <w:tcBorders>
              <w:tl2br w:val="nil"/>
              <w:tr2bl w:val="nil"/>
            </w:tcBorders>
            <w:shd w:val="clear" w:color="auto" w:fill="auto"/>
            <w:vAlign w:val="bottom"/>
          </w:tcPr>
          <w:p w14:paraId="341075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34.6379</w:t>
            </w:r>
          </w:p>
        </w:tc>
      </w:tr>
      <w:tr w14:paraId="527ED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5C925E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957" w:type="pct"/>
            <w:vMerge w:val="continue"/>
            <w:tcBorders>
              <w:tl2br w:val="nil"/>
              <w:tr2bl w:val="nil"/>
            </w:tcBorders>
            <w:shd w:val="clear" w:color="auto" w:fill="auto"/>
            <w:vAlign w:val="bottom"/>
          </w:tcPr>
          <w:p w14:paraId="23F02C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55D004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w:t>
            </w:r>
          </w:p>
        </w:tc>
        <w:tc>
          <w:tcPr>
            <w:tcW w:w="1043" w:type="pct"/>
            <w:tcBorders>
              <w:tl2br w:val="nil"/>
              <w:tr2bl w:val="nil"/>
            </w:tcBorders>
            <w:shd w:val="clear" w:color="auto" w:fill="auto"/>
            <w:vAlign w:val="bottom"/>
          </w:tcPr>
          <w:p w14:paraId="30B68C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5.9798</w:t>
            </w:r>
          </w:p>
        </w:tc>
        <w:tc>
          <w:tcPr>
            <w:tcW w:w="1043" w:type="pct"/>
            <w:tcBorders>
              <w:tl2br w:val="nil"/>
              <w:tr2bl w:val="nil"/>
            </w:tcBorders>
            <w:shd w:val="clear" w:color="auto" w:fill="auto"/>
            <w:vAlign w:val="bottom"/>
          </w:tcPr>
          <w:p w14:paraId="631078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32.4879</w:t>
            </w:r>
          </w:p>
        </w:tc>
      </w:tr>
      <w:tr w14:paraId="09E8F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3619C99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957" w:type="pct"/>
            <w:vMerge w:val="continue"/>
            <w:tcBorders>
              <w:tl2br w:val="nil"/>
              <w:tr2bl w:val="nil"/>
            </w:tcBorders>
            <w:shd w:val="clear" w:color="auto" w:fill="auto"/>
            <w:vAlign w:val="bottom"/>
          </w:tcPr>
          <w:p w14:paraId="72E8D3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0E70E6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2.5</w:t>
            </w:r>
          </w:p>
        </w:tc>
        <w:tc>
          <w:tcPr>
            <w:tcW w:w="1043" w:type="pct"/>
            <w:tcBorders>
              <w:tl2br w:val="nil"/>
              <w:tr2bl w:val="nil"/>
            </w:tcBorders>
            <w:shd w:val="clear" w:color="auto" w:fill="auto"/>
            <w:vAlign w:val="bottom"/>
          </w:tcPr>
          <w:p w14:paraId="19638F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5.1217</w:t>
            </w:r>
          </w:p>
        </w:tc>
        <w:tc>
          <w:tcPr>
            <w:tcW w:w="1043" w:type="pct"/>
            <w:tcBorders>
              <w:tl2br w:val="nil"/>
              <w:tr2bl w:val="nil"/>
            </w:tcBorders>
            <w:shd w:val="clear" w:color="auto" w:fill="auto"/>
            <w:vAlign w:val="bottom"/>
          </w:tcPr>
          <w:p w14:paraId="2FB50B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29.6434</w:t>
            </w:r>
          </w:p>
        </w:tc>
      </w:tr>
      <w:tr w14:paraId="4DA42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770B441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957" w:type="pct"/>
            <w:vMerge w:val="continue"/>
            <w:tcBorders>
              <w:tl2br w:val="nil"/>
              <w:tr2bl w:val="nil"/>
            </w:tcBorders>
            <w:shd w:val="clear" w:color="auto" w:fill="auto"/>
            <w:vAlign w:val="bottom"/>
          </w:tcPr>
          <w:p w14:paraId="480317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9C742B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3.5</w:t>
            </w:r>
          </w:p>
        </w:tc>
        <w:tc>
          <w:tcPr>
            <w:tcW w:w="1043" w:type="pct"/>
            <w:tcBorders>
              <w:tl2br w:val="nil"/>
              <w:tr2bl w:val="nil"/>
            </w:tcBorders>
            <w:shd w:val="clear" w:color="auto" w:fill="auto"/>
            <w:vAlign w:val="bottom"/>
          </w:tcPr>
          <w:p w14:paraId="50C4D4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4.208</w:t>
            </w:r>
          </w:p>
        </w:tc>
        <w:tc>
          <w:tcPr>
            <w:tcW w:w="1043" w:type="pct"/>
            <w:tcBorders>
              <w:tl2br w:val="nil"/>
              <w:tr2bl w:val="nil"/>
            </w:tcBorders>
            <w:shd w:val="clear" w:color="auto" w:fill="auto"/>
            <w:vAlign w:val="bottom"/>
          </w:tcPr>
          <w:p w14:paraId="0148BF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26.6079</w:t>
            </w:r>
          </w:p>
        </w:tc>
      </w:tr>
      <w:tr w14:paraId="0D3A04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017F51E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957" w:type="pct"/>
            <w:vMerge w:val="continue"/>
            <w:tcBorders>
              <w:tl2br w:val="nil"/>
              <w:tr2bl w:val="nil"/>
            </w:tcBorders>
            <w:shd w:val="clear" w:color="auto" w:fill="auto"/>
            <w:vAlign w:val="bottom"/>
          </w:tcPr>
          <w:p w14:paraId="0245C8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1D8A59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4.5</w:t>
            </w:r>
          </w:p>
        </w:tc>
        <w:tc>
          <w:tcPr>
            <w:tcW w:w="1043" w:type="pct"/>
            <w:tcBorders>
              <w:tl2br w:val="nil"/>
              <w:tr2bl w:val="nil"/>
            </w:tcBorders>
            <w:shd w:val="clear" w:color="auto" w:fill="auto"/>
            <w:vAlign w:val="bottom"/>
          </w:tcPr>
          <w:p w14:paraId="1431398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3.3534</w:t>
            </w:r>
          </w:p>
        </w:tc>
        <w:tc>
          <w:tcPr>
            <w:tcW w:w="1043" w:type="pct"/>
            <w:tcBorders>
              <w:tl2br w:val="nil"/>
              <w:tr2bl w:val="nil"/>
            </w:tcBorders>
            <w:shd w:val="clear" w:color="auto" w:fill="auto"/>
            <w:vAlign w:val="bottom"/>
          </w:tcPr>
          <w:p w14:paraId="605623F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23.7004</w:t>
            </w:r>
          </w:p>
        </w:tc>
      </w:tr>
      <w:tr w14:paraId="4787E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447B8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957" w:type="pct"/>
            <w:vMerge w:val="continue"/>
            <w:tcBorders>
              <w:tl2br w:val="nil"/>
              <w:tr2bl w:val="nil"/>
            </w:tcBorders>
            <w:shd w:val="clear" w:color="auto" w:fill="auto"/>
            <w:vAlign w:val="bottom"/>
          </w:tcPr>
          <w:p w14:paraId="7B17E9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B5FF2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5.5</w:t>
            </w:r>
          </w:p>
        </w:tc>
        <w:tc>
          <w:tcPr>
            <w:tcW w:w="1043" w:type="pct"/>
            <w:tcBorders>
              <w:tl2br w:val="nil"/>
              <w:tr2bl w:val="nil"/>
            </w:tcBorders>
            <w:shd w:val="clear" w:color="auto" w:fill="auto"/>
            <w:vAlign w:val="bottom"/>
          </w:tcPr>
          <w:p w14:paraId="6A2FD4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2.6111</w:t>
            </w:r>
          </w:p>
        </w:tc>
        <w:tc>
          <w:tcPr>
            <w:tcW w:w="1043" w:type="pct"/>
            <w:tcBorders>
              <w:tl2br w:val="nil"/>
              <w:tr2bl w:val="nil"/>
            </w:tcBorders>
            <w:shd w:val="clear" w:color="auto" w:fill="auto"/>
            <w:vAlign w:val="bottom"/>
          </w:tcPr>
          <w:p w14:paraId="3134E78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21.0678</w:t>
            </w:r>
          </w:p>
        </w:tc>
      </w:tr>
      <w:tr w14:paraId="322B9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17221F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957" w:type="pct"/>
            <w:vMerge w:val="continue"/>
            <w:tcBorders>
              <w:tl2br w:val="nil"/>
              <w:tr2bl w:val="nil"/>
            </w:tcBorders>
            <w:shd w:val="clear" w:color="auto" w:fill="auto"/>
            <w:vAlign w:val="bottom"/>
          </w:tcPr>
          <w:p w14:paraId="656FA3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1C6A35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6.5</w:t>
            </w:r>
          </w:p>
        </w:tc>
        <w:tc>
          <w:tcPr>
            <w:tcW w:w="1043" w:type="pct"/>
            <w:tcBorders>
              <w:tl2br w:val="nil"/>
              <w:tr2bl w:val="nil"/>
            </w:tcBorders>
            <w:shd w:val="clear" w:color="auto" w:fill="auto"/>
            <w:vAlign w:val="bottom"/>
          </w:tcPr>
          <w:p w14:paraId="142FED1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1.9942</w:t>
            </w:r>
          </w:p>
        </w:tc>
        <w:tc>
          <w:tcPr>
            <w:tcW w:w="1043" w:type="pct"/>
            <w:tcBorders>
              <w:tl2br w:val="nil"/>
              <w:tr2bl w:val="nil"/>
            </w:tcBorders>
            <w:shd w:val="clear" w:color="auto" w:fill="auto"/>
            <w:vAlign w:val="bottom"/>
          </w:tcPr>
          <w:p w14:paraId="4C4DA3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18.7504</w:t>
            </w:r>
          </w:p>
        </w:tc>
      </w:tr>
      <w:tr w14:paraId="53BD6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62107E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957" w:type="pct"/>
            <w:vMerge w:val="continue"/>
            <w:tcBorders>
              <w:tl2br w:val="nil"/>
              <w:tr2bl w:val="nil"/>
            </w:tcBorders>
            <w:shd w:val="clear" w:color="auto" w:fill="auto"/>
            <w:vAlign w:val="bottom"/>
          </w:tcPr>
          <w:p w14:paraId="2EEA389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071629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7.5</w:t>
            </w:r>
          </w:p>
        </w:tc>
        <w:tc>
          <w:tcPr>
            <w:tcW w:w="1043" w:type="pct"/>
            <w:tcBorders>
              <w:tl2br w:val="nil"/>
              <w:tr2bl w:val="nil"/>
            </w:tcBorders>
            <w:shd w:val="clear" w:color="auto" w:fill="auto"/>
            <w:vAlign w:val="bottom"/>
          </w:tcPr>
          <w:p w14:paraId="79C0F5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1.4955</w:t>
            </w:r>
          </w:p>
        </w:tc>
        <w:tc>
          <w:tcPr>
            <w:tcW w:w="1043" w:type="pct"/>
            <w:tcBorders>
              <w:tl2br w:val="nil"/>
              <w:tr2bl w:val="nil"/>
            </w:tcBorders>
            <w:shd w:val="clear" w:color="auto" w:fill="auto"/>
            <w:vAlign w:val="bottom"/>
          </w:tcPr>
          <w:p w14:paraId="798A57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16.7362</w:t>
            </w:r>
          </w:p>
        </w:tc>
      </w:tr>
      <w:tr w14:paraId="374951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35D4FF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957" w:type="pct"/>
            <w:vMerge w:val="continue"/>
            <w:tcBorders>
              <w:tl2br w:val="nil"/>
              <w:tr2bl w:val="nil"/>
            </w:tcBorders>
            <w:shd w:val="clear" w:color="auto" w:fill="auto"/>
            <w:vAlign w:val="bottom"/>
          </w:tcPr>
          <w:p w14:paraId="190B20E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1C39E4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8.5</w:t>
            </w:r>
          </w:p>
        </w:tc>
        <w:tc>
          <w:tcPr>
            <w:tcW w:w="1043" w:type="pct"/>
            <w:tcBorders>
              <w:tl2br w:val="nil"/>
              <w:tr2bl w:val="nil"/>
            </w:tcBorders>
            <w:shd w:val="clear" w:color="auto" w:fill="auto"/>
            <w:vAlign w:val="bottom"/>
          </w:tcPr>
          <w:p w14:paraId="6E4308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1.1001</w:t>
            </w:r>
          </w:p>
        </w:tc>
        <w:tc>
          <w:tcPr>
            <w:tcW w:w="1043" w:type="pct"/>
            <w:tcBorders>
              <w:tl2br w:val="nil"/>
              <w:tr2bl w:val="nil"/>
            </w:tcBorders>
            <w:shd w:val="clear" w:color="auto" w:fill="auto"/>
            <w:vAlign w:val="bottom"/>
          </w:tcPr>
          <w:p w14:paraId="26B602C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14.993</w:t>
            </w:r>
          </w:p>
        </w:tc>
      </w:tr>
      <w:tr w14:paraId="598E0F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2DF78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957" w:type="pct"/>
            <w:vMerge w:val="continue"/>
            <w:tcBorders>
              <w:tl2br w:val="nil"/>
              <w:tr2bl w:val="nil"/>
            </w:tcBorders>
            <w:shd w:val="clear" w:color="auto" w:fill="auto"/>
            <w:vAlign w:val="bottom"/>
          </w:tcPr>
          <w:p w14:paraId="147512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D1F07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9.5</w:t>
            </w:r>
          </w:p>
        </w:tc>
        <w:tc>
          <w:tcPr>
            <w:tcW w:w="1043" w:type="pct"/>
            <w:tcBorders>
              <w:tl2br w:val="nil"/>
              <w:tr2bl w:val="nil"/>
            </w:tcBorders>
            <w:shd w:val="clear" w:color="auto" w:fill="auto"/>
            <w:vAlign w:val="bottom"/>
          </w:tcPr>
          <w:p w14:paraId="34B0A8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0.7923</w:t>
            </w:r>
          </w:p>
        </w:tc>
        <w:tc>
          <w:tcPr>
            <w:tcW w:w="1043" w:type="pct"/>
            <w:tcBorders>
              <w:tl2br w:val="nil"/>
              <w:tr2bl w:val="nil"/>
            </w:tcBorders>
            <w:shd w:val="clear" w:color="auto" w:fill="auto"/>
            <w:vAlign w:val="bottom"/>
          </w:tcPr>
          <w:p w14:paraId="78046A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13.4838</w:t>
            </w:r>
          </w:p>
        </w:tc>
      </w:tr>
      <w:tr w14:paraId="6E37C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2AF1597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957" w:type="pct"/>
            <w:vMerge w:val="continue"/>
            <w:tcBorders>
              <w:tl2br w:val="nil"/>
              <w:tr2bl w:val="nil"/>
            </w:tcBorders>
            <w:shd w:val="clear" w:color="auto" w:fill="auto"/>
            <w:vAlign w:val="bottom"/>
          </w:tcPr>
          <w:p w14:paraId="50C171B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32C045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10.5</w:t>
            </w:r>
          </w:p>
        </w:tc>
        <w:tc>
          <w:tcPr>
            <w:tcW w:w="1043" w:type="pct"/>
            <w:tcBorders>
              <w:tl2br w:val="nil"/>
              <w:tr2bl w:val="nil"/>
            </w:tcBorders>
            <w:shd w:val="clear" w:color="auto" w:fill="auto"/>
            <w:vAlign w:val="bottom"/>
          </w:tcPr>
          <w:p w14:paraId="03BDEB8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0.5591</w:t>
            </w:r>
          </w:p>
        </w:tc>
        <w:tc>
          <w:tcPr>
            <w:tcW w:w="1043" w:type="pct"/>
            <w:tcBorders>
              <w:tl2br w:val="nil"/>
              <w:tr2bl w:val="nil"/>
            </w:tcBorders>
            <w:shd w:val="clear" w:color="auto" w:fill="auto"/>
            <w:vAlign w:val="bottom"/>
          </w:tcPr>
          <w:p w14:paraId="0DCDB4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12.1737</w:t>
            </w:r>
          </w:p>
        </w:tc>
      </w:tr>
      <w:tr w14:paraId="0C24A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71D3A0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957" w:type="pct"/>
            <w:vMerge w:val="continue"/>
            <w:tcBorders>
              <w:tl2br w:val="nil"/>
              <w:tr2bl w:val="nil"/>
            </w:tcBorders>
            <w:shd w:val="clear" w:color="auto" w:fill="auto"/>
            <w:vAlign w:val="bottom"/>
          </w:tcPr>
          <w:p w14:paraId="05B121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27AB3A5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11.5</w:t>
            </w:r>
          </w:p>
        </w:tc>
        <w:tc>
          <w:tcPr>
            <w:tcW w:w="1043" w:type="pct"/>
            <w:tcBorders>
              <w:tl2br w:val="nil"/>
              <w:tr2bl w:val="nil"/>
            </w:tcBorders>
            <w:shd w:val="clear" w:color="auto" w:fill="auto"/>
            <w:vAlign w:val="bottom"/>
          </w:tcPr>
          <w:p w14:paraId="7A448C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0.3921</w:t>
            </w:r>
          </w:p>
        </w:tc>
        <w:tc>
          <w:tcPr>
            <w:tcW w:w="1043" w:type="pct"/>
            <w:tcBorders>
              <w:tl2br w:val="nil"/>
              <w:tr2bl w:val="nil"/>
            </w:tcBorders>
            <w:shd w:val="clear" w:color="auto" w:fill="auto"/>
            <w:vAlign w:val="bottom"/>
          </w:tcPr>
          <w:p w14:paraId="7F4947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11.0322</w:t>
            </w:r>
          </w:p>
        </w:tc>
      </w:tr>
      <w:tr w14:paraId="5A3757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71824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957" w:type="pct"/>
            <w:vMerge w:val="continue"/>
            <w:tcBorders>
              <w:tl2br w:val="nil"/>
              <w:tr2bl w:val="nil"/>
            </w:tcBorders>
            <w:shd w:val="clear" w:color="auto" w:fill="auto"/>
            <w:vAlign w:val="bottom"/>
          </w:tcPr>
          <w:p w14:paraId="6AA79D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2F75F6B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12.5</w:t>
            </w:r>
          </w:p>
        </w:tc>
        <w:tc>
          <w:tcPr>
            <w:tcW w:w="1043" w:type="pct"/>
            <w:tcBorders>
              <w:tl2br w:val="nil"/>
              <w:tr2bl w:val="nil"/>
            </w:tcBorders>
            <w:shd w:val="clear" w:color="auto" w:fill="auto"/>
            <w:vAlign w:val="bottom"/>
          </w:tcPr>
          <w:p w14:paraId="4E35B03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0.2887</w:t>
            </w:r>
          </w:p>
        </w:tc>
        <w:tc>
          <w:tcPr>
            <w:tcW w:w="1043" w:type="pct"/>
            <w:tcBorders>
              <w:tl2br w:val="nil"/>
              <w:tr2bl w:val="nil"/>
            </w:tcBorders>
            <w:shd w:val="clear" w:color="auto" w:fill="auto"/>
            <w:vAlign w:val="bottom"/>
          </w:tcPr>
          <w:p w14:paraId="4AB5B1C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10.0333</w:t>
            </w:r>
          </w:p>
        </w:tc>
      </w:tr>
      <w:tr w14:paraId="22E0D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AF9AB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957" w:type="pct"/>
            <w:vMerge w:val="continue"/>
            <w:tcBorders>
              <w:tl2br w:val="nil"/>
              <w:tr2bl w:val="nil"/>
            </w:tcBorders>
            <w:shd w:val="clear" w:color="auto" w:fill="auto"/>
            <w:vAlign w:val="bottom"/>
          </w:tcPr>
          <w:p w14:paraId="36D850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0EB9388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13.5</w:t>
            </w:r>
          </w:p>
        </w:tc>
        <w:tc>
          <w:tcPr>
            <w:tcW w:w="1043" w:type="pct"/>
            <w:tcBorders>
              <w:tl2br w:val="nil"/>
              <w:tr2bl w:val="nil"/>
            </w:tcBorders>
            <w:shd w:val="clear" w:color="auto" w:fill="auto"/>
            <w:vAlign w:val="bottom"/>
          </w:tcPr>
          <w:p w14:paraId="4D8B4A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0.2465</w:t>
            </w:r>
          </w:p>
        </w:tc>
        <w:tc>
          <w:tcPr>
            <w:tcW w:w="1043" w:type="pct"/>
            <w:tcBorders>
              <w:tl2br w:val="nil"/>
              <w:tr2bl w:val="nil"/>
            </w:tcBorders>
            <w:shd w:val="clear" w:color="auto" w:fill="auto"/>
            <w:vAlign w:val="bottom"/>
          </w:tcPr>
          <w:p w14:paraId="075469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9.1556</w:t>
            </w:r>
          </w:p>
        </w:tc>
      </w:tr>
      <w:tr w14:paraId="01E32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09CEF37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957" w:type="pct"/>
            <w:vMerge w:val="continue"/>
            <w:tcBorders>
              <w:tl2br w:val="nil"/>
              <w:tr2bl w:val="nil"/>
            </w:tcBorders>
            <w:shd w:val="clear" w:color="auto" w:fill="auto"/>
            <w:vAlign w:val="bottom"/>
          </w:tcPr>
          <w:p w14:paraId="4CB54D8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75F77A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14.5</w:t>
            </w:r>
          </w:p>
        </w:tc>
        <w:tc>
          <w:tcPr>
            <w:tcW w:w="1043" w:type="pct"/>
            <w:tcBorders>
              <w:tl2br w:val="nil"/>
              <w:tr2bl w:val="nil"/>
            </w:tcBorders>
            <w:shd w:val="clear" w:color="auto" w:fill="auto"/>
            <w:vAlign w:val="bottom"/>
          </w:tcPr>
          <w:p w14:paraId="5BD471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0.2495</w:t>
            </w:r>
          </w:p>
        </w:tc>
        <w:tc>
          <w:tcPr>
            <w:tcW w:w="1043" w:type="pct"/>
            <w:tcBorders>
              <w:tl2br w:val="nil"/>
              <w:tr2bl w:val="nil"/>
            </w:tcBorders>
            <w:shd w:val="clear" w:color="auto" w:fill="auto"/>
            <w:vAlign w:val="bottom"/>
          </w:tcPr>
          <w:p w14:paraId="09383D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8.3809</w:t>
            </w:r>
          </w:p>
        </w:tc>
      </w:tr>
      <w:tr w14:paraId="18E2D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69920D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957" w:type="pct"/>
            <w:vMerge w:val="continue"/>
            <w:tcBorders>
              <w:tl2br w:val="nil"/>
              <w:tr2bl w:val="nil"/>
            </w:tcBorders>
            <w:shd w:val="clear" w:color="auto" w:fill="auto"/>
            <w:vAlign w:val="bottom"/>
          </w:tcPr>
          <w:p w14:paraId="2F6675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72C4F0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15.5</w:t>
            </w:r>
          </w:p>
        </w:tc>
        <w:tc>
          <w:tcPr>
            <w:tcW w:w="1043" w:type="pct"/>
            <w:tcBorders>
              <w:tl2br w:val="nil"/>
              <w:tr2bl w:val="nil"/>
            </w:tcBorders>
            <w:shd w:val="clear" w:color="auto" w:fill="auto"/>
            <w:vAlign w:val="bottom"/>
          </w:tcPr>
          <w:p w14:paraId="0E937F5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0.2724</w:t>
            </w:r>
          </w:p>
        </w:tc>
        <w:tc>
          <w:tcPr>
            <w:tcW w:w="1043" w:type="pct"/>
            <w:tcBorders>
              <w:tl2br w:val="nil"/>
              <w:tr2bl w:val="nil"/>
            </w:tcBorders>
            <w:shd w:val="clear" w:color="auto" w:fill="auto"/>
            <w:vAlign w:val="bottom"/>
          </w:tcPr>
          <w:p w14:paraId="0207465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7.6946</w:t>
            </w:r>
          </w:p>
        </w:tc>
      </w:tr>
      <w:tr w14:paraId="75D76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50D5AB3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957" w:type="pct"/>
            <w:vMerge w:val="continue"/>
            <w:tcBorders>
              <w:tl2br w:val="nil"/>
              <w:tr2bl w:val="nil"/>
            </w:tcBorders>
            <w:shd w:val="clear" w:color="auto" w:fill="auto"/>
            <w:vAlign w:val="bottom"/>
          </w:tcPr>
          <w:p w14:paraId="320D927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210873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16.5</w:t>
            </w:r>
          </w:p>
        </w:tc>
        <w:tc>
          <w:tcPr>
            <w:tcW w:w="1043" w:type="pct"/>
            <w:tcBorders>
              <w:tl2br w:val="nil"/>
              <w:tr2bl w:val="nil"/>
            </w:tcBorders>
            <w:shd w:val="clear" w:color="auto" w:fill="auto"/>
            <w:vAlign w:val="bottom"/>
          </w:tcPr>
          <w:p w14:paraId="1B34460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0.2988</w:t>
            </w:r>
          </w:p>
        </w:tc>
        <w:tc>
          <w:tcPr>
            <w:tcW w:w="1043" w:type="pct"/>
            <w:tcBorders>
              <w:tl2br w:val="nil"/>
              <w:tr2bl w:val="nil"/>
            </w:tcBorders>
            <w:shd w:val="clear" w:color="auto" w:fill="auto"/>
            <w:vAlign w:val="bottom"/>
          </w:tcPr>
          <w:p w14:paraId="3367EE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7.0841</w:t>
            </w:r>
          </w:p>
        </w:tc>
      </w:tr>
      <w:tr w14:paraId="0D339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5688380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957" w:type="pct"/>
            <w:vMerge w:val="continue"/>
            <w:tcBorders>
              <w:tl2br w:val="nil"/>
              <w:tr2bl w:val="nil"/>
            </w:tcBorders>
            <w:shd w:val="clear" w:color="auto" w:fill="auto"/>
            <w:vAlign w:val="bottom"/>
          </w:tcPr>
          <w:p w14:paraId="5AB1B3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7BF683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17.5</w:t>
            </w:r>
          </w:p>
        </w:tc>
        <w:tc>
          <w:tcPr>
            <w:tcW w:w="1043" w:type="pct"/>
            <w:tcBorders>
              <w:tl2br w:val="nil"/>
              <w:tr2bl w:val="nil"/>
            </w:tcBorders>
            <w:shd w:val="clear" w:color="auto" w:fill="auto"/>
            <w:vAlign w:val="bottom"/>
          </w:tcPr>
          <w:p w14:paraId="583417D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0.3219</w:t>
            </w:r>
          </w:p>
        </w:tc>
        <w:tc>
          <w:tcPr>
            <w:tcW w:w="1043" w:type="pct"/>
            <w:tcBorders>
              <w:tl2br w:val="nil"/>
              <w:tr2bl w:val="nil"/>
            </w:tcBorders>
            <w:shd w:val="clear" w:color="auto" w:fill="auto"/>
            <w:vAlign w:val="bottom"/>
          </w:tcPr>
          <w:p w14:paraId="4546B3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6.5392</w:t>
            </w:r>
          </w:p>
        </w:tc>
      </w:tr>
      <w:tr w14:paraId="7D5F6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33356B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957" w:type="pct"/>
            <w:vMerge w:val="continue"/>
            <w:tcBorders>
              <w:tl2br w:val="nil"/>
              <w:tr2bl w:val="nil"/>
            </w:tcBorders>
            <w:shd w:val="clear" w:color="auto" w:fill="auto"/>
            <w:vAlign w:val="bottom"/>
          </w:tcPr>
          <w:p w14:paraId="64C7BD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3A2F87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22.5</w:t>
            </w:r>
          </w:p>
        </w:tc>
        <w:tc>
          <w:tcPr>
            <w:tcW w:w="1043" w:type="pct"/>
            <w:tcBorders>
              <w:tl2br w:val="nil"/>
              <w:tr2bl w:val="nil"/>
            </w:tcBorders>
            <w:shd w:val="clear" w:color="auto" w:fill="auto"/>
            <w:vAlign w:val="bottom"/>
          </w:tcPr>
          <w:p w14:paraId="32C2553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0.3648</w:t>
            </w:r>
          </w:p>
        </w:tc>
        <w:tc>
          <w:tcPr>
            <w:tcW w:w="1043" w:type="pct"/>
            <w:tcBorders>
              <w:tl2br w:val="nil"/>
              <w:tr2bl w:val="nil"/>
            </w:tcBorders>
            <w:shd w:val="clear" w:color="auto" w:fill="auto"/>
            <w:vAlign w:val="bottom"/>
          </w:tcPr>
          <w:p w14:paraId="1219ACB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4.5369</w:t>
            </w:r>
          </w:p>
        </w:tc>
      </w:tr>
      <w:tr w14:paraId="08756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68964C2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957" w:type="pct"/>
            <w:vMerge w:val="continue"/>
            <w:tcBorders>
              <w:tl2br w:val="nil"/>
              <w:tr2bl w:val="nil"/>
            </w:tcBorders>
            <w:shd w:val="clear" w:color="auto" w:fill="auto"/>
            <w:vAlign w:val="bottom"/>
          </w:tcPr>
          <w:p w14:paraId="0B98C3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3C7FE81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27.5</w:t>
            </w:r>
          </w:p>
        </w:tc>
        <w:tc>
          <w:tcPr>
            <w:tcW w:w="1043" w:type="pct"/>
            <w:tcBorders>
              <w:tl2br w:val="nil"/>
              <w:tr2bl w:val="nil"/>
            </w:tcBorders>
            <w:shd w:val="clear" w:color="auto" w:fill="auto"/>
            <w:vAlign w:val="bottom"/>
          </w:tcPr>
          <w:p w14:paraId="4AB7575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0.339</w:t>
            </w:r>
          </w:p>
        </w:tc>
        <w:tc>
          <w:tcPr>
            <w:tcW w:w="1043" w:type="pct"/>
            <w:tcBorders>
              <w:tl2br w:val="nil"/>
              <w:tr2bl w:val="nil"/>
            </w:tcBorders>
            <w:shd w:val="clear" w:color="auto" w:fill="auto"/>
            <w:vAlign w:val="bottom"/>
          </w:tcPr>
          <w:p w14:paraId="1D5813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3.3026</w:t>
            </w:r>
          </w:p>
        </w:tc>
      </w:tr>
      <w:tr w14:paraId="533B58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272148C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957" w:type="pct"/>
            <w:vMerge w:val="continue"/>
            <w:tcBorders>
              <w:tl2br w:val="nil"/>
              <w:tr2bl w:val="nil"/>
            </w:tcBorders>
            <w:shd w:val="clear" w:color="auto" w:fill="auto"/>
            <w:vAlign w:val="bottom"/>
          </w:tcPr>
          <w:p w14:paraId="325FD6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7F0F5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32.5</w:t>
            </w:r>
          </w:p>
        </w:tc>
        <w:tc>
          <w:tcPr>
            <w:tcW w:w="1043" w:type="pct"/>
            <w:tcBorders>
              <w:tl2br w:val="nil"/>
              <w:tr2bl w:val="nil"/>
            </w:tcBorders>
            <w:shd w:val="clear" w:color="auto" w:fill="auto"/>
            <w:vAlign w:val="bottom"/>
          </w:tcPr>
          <w:p w14:paraId="40F9595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0.2951</w:t>
            </w:r>
          </w:p>
        </w:tc>
        <w:tc>
          <w:tcPr>
            <w:tcW w:w="1043" w:type="pct"/>
            <w:tcBorders>
              <w:tl2br w:val="nil"/>
              <w:tr2bl w:val="nil"/>
            </w:tcBorders>
            <w:shd w:val="clear" w:color="auto" w:fill="auto"/>
            <w:vAlign w:val="bottom"/>
          </w:tcPr>
          <w:p w14:paraId="6CA315E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2.4972</w:t>
            </w:r>
          </w:p>
        </w:tc>
      </w:tr>
      <w:tr w14:paraId="2BF90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2B6998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957" w:type="pct"/>
            <w:vMerge w:val="continue"/>
            <w:tcBorders>
              <w:tl2br w:val="nil"/>
              <w:tr2bl w:val="nil"/>
            </w:tcBorders>
            <w:shd w:val="clear" w:color="auto" w:fill="auto"/>
            <w:vAlign w:val="bottom"/>
          </w:tcPr>
          <w:p w14:paraId="0D032EC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3A426B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37.5</w:t>
            </w:r>
          </w:p>
        </w:tc>
        <w:tc>
          <w:tcPr>
            <w:tcW w:w="1043" w:type="pct"/>
            <w:tcBorders>
              <w:tl2br w:val="nil"/>
              <w:tr2bl w:val="nil"/>
            </w:tcBorders>
            <w:shd w:val="clear" w:color="auto" w:fill="auto"/>
            <w:vAlign w:val="bottom"/>
          </w:tcPr>
          <w:p w14:paraId="42DA63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0.2515</w:t>
            </w:r>
          </w:p>
        </w:tc>
        <w:tc>
          <w:tcPr>
            <w:tcW w:w="1043" w:type="pct"/>
            <w:tcBorders>
              <w:tl2br w:val="nil"/>
              <w:tr2bl w:val="nil"/>
            </w:tcBorders>
            <w:shd w:val="clear" w:color="auto" w:fill="auto"/>
            <w:vAlign w:val="bottom"/>
          </w:tcPr>
          <w:p w14:paraId="286584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1.9471</w:t>
            </w:r>
          </w:p>
        </w:tc>
      </w:tr>
      <w:tr w14:paraId="6AAFC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589D0CC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957" w:type="pct"/>
            <w:vMerge w:val="continue"/>
            <w:tcBorders>
              <w:tl2br w:val="nil"/>
              <w:tr2bl w:val="nil"/>
            </w:tcBorders>
            <w:shd w:val="clear" w:color="auto" w:fill="auto"/>
            <w:vAlign w:val="bottom"/>
          </w:tcPr>
          <w:p w14:paraId="31FA351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245590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42.5</w:t>
            </w:r>
          </w:p>
        </w:tc>
        <w:tc>
          <w:tcPr>
            <w:tcW w:w="1043" w:type="pct"/>
            <w:tcBorders>
              <w:tl2br w:val="nil"/>
              <w:tr2bl w:val="nil"/>
            </w:tcBorders>
            <w:shd w:val="clear" w:color="auto" w:fill="auto"/>
            <w:vAlign w:val="bottom"/>
          </w:tcPr>
          <w:p w14:paraId="10A8FC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0.2134</w:t>
            </w:r>
          </w:p>
        </w:tc>
        <w:tc>
          <w:tcPr>
            <w:tcW w:w="1043" w:type="pct"/>
            <w:tcBorders>
              <w:tl2br w:val="nil"/>
              <w:tr2bl w:val="nil"/>
            </w:tcBorders>
            <w:shd w:val="clear" w:color="auto" w:fill="auto"/>
            <w:vAlign w:val="bottom"/>
          </w:tcPr>
          <w:p w14:paraId="664DA32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1.5569</w:t>
            </w:r>
          </w:p>
        </w:tc>
      </w:tr>
      <w:tr w14:paraId="3E69E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457A30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957" w:type="pct"/>
            <w:vMerge w:val="continue"/>
            <w:tcBorders>
              <w:tl2br w:val="nil"/>
              <w:tr2bl w:val="nil"/>
            </w:tcBorders>
            <w:shd w:val="clear" w:color="auto" w:fill="auto"/>
            <w:vAlign w:val="bottom"/>
          </w:tcPr>
          <w:p w14:paraId="535CBF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155CB95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47.5</w:t>
            </w:r>
          </w:p>
        </w:tc>
        <w:tc>
          <w:tcPr>
            <w:tcW w:w="1043" w:type="pct"/>
            <w:tcBorders>
              <w:tl2br w:val="nil"/>
              <w:tr2bl w:val="nil"/>
            </w:tcBorders>
            <w:shd w:val="clear" w:color="auto" w:fill="auto"/>
            <w:vAlign w:val="bottom"/>
          </w:tcPr>
          <w:p w14:paraId="6C861D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0.1817</w:t>
            </w:r>
          </w:p>
        </w:tc>
        <w:tc>
          <w:tcPr>
            <w:tcW w:w="1043" w:type="pct"/>
            <w:tcBorders>
              <w:tl2br w:val="nil"/>
              <w:tr2bl w:val="nil"/>
            </w:tcBorders>
            <w:shd w:val="clear" w:color="auto" w:fill="auto"/>
            <w:vAlign w:val="bottom"/>
          </w:tcPr>
          <w:p w14:paraId="2C9EECB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1.2712</w:t>
            </w:r>
          </w:p>
        </w:tc>
      </w:tr>
      <w:tr w14:paraId="1C7129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0" w:type="pct"/>
            <w:tcBorders>
              <w:tl2br w:val="nil"/>
              <w:tr2bl w:val="nil"/>
            </w:tcBorders>
            <w:shd w:val="clear" w:color="auto" w:fill="auto"/>
            <w:vAlign w:val="bottom"/>
          </w:tcPr>
          <w:p w14:paraId="7A72F4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957" w:type="pct"/>
            <w:vMerge w:val="continue"/>
            <w:tcBorders>
              <w:tl2br w:val="nil"/>
              <w:tr2bl w:val="nil"/>
            </w:tcBorders>
            <w:shd w:val="clear" w:color="auto" w:fill="auto"/>
            <w:vAlign w:val="bottom"/>
          </w:tcPr>
          <w:p w14:paraId="0F159B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410CC5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52.5</w:t>
            </w:r>
          </w:p>
        </w:tc>
        <w:tc>
          <w:tcPr>
            <w:tcW w:w="1043" w:type="pct"/>
            <w:tcBorders>
              <w:tl2br w:val="nil"/>
              <w:tr2bl w:val="nil"/>
            </w:tcBorders>
            <w:shd w:val="clear" w:color="auto" w:fill="auto"/>
            <w:vAlign w:val="bottom"/>
          </w:tcPr>
          <w:p w14:paraId="3E241B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0.1556</w:t>
            </w:r>
          </w:p>
        </w:tc>
        <w:tc>
          <w:tcPr>
            <w:tcW w:w="1043" w:type="pct"/>
            <w:tcBorders>
              <w:tl2br w:val="nil"/>
              <w:tr2bl w:val="nil"/>
            </w:tcBorders>
            <w:shd w:val="clear" w:color="auto" w:fill="auto"/>
            <w:vAlign w:val="bottom"/>
          </w:tcPr>
          <w:p w14:paraId="74A6575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1.0562</w:t>
            </w:r>
          </w:p>
        </w:tc>
      </w:tr>
      <w:tr w14:paraId="4986E8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820" w:type="pct"/>
            <w:tcBorders>
              <w:tl2br w:val="nil"/>
              <w:tr2bl w:val="nil"/>
            </w:tcBorders>
            <w:shd w:val="clear" w:color="auto" w:fill="auto"/>
            <w:vAlign w:val="bottom"/>
          </w:tcPr>
          <w:p w14:paraId="4CBE70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957" w:type="pct"/>
            <w:vMerge w:val="continue"/>
            <w:tcBorders>
              <w:tl2br w:val="nil"/>
              <w:tr2bl w:val="nil"/>
            </w:tcBorders>
            <w:shd w:val="clear" w:color="auto" w:fill="auto"/>
            <w:vAlign w:val="bottom"/>
          </w:tcPr>
          <w:p w14:paraId="6AA9040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134" w:type="pct"/>
            <w:tcBorders>
              <w:tl2br w:val="nil"/>
              <w:tr2bl w:val="nil"/>
            </w:tcBorders>
            <w:shd w:val="clear" w:color="auto" w:fill="auto"/>
            <w:vAlign w:val="bottom"/>
          </w:tcPr>
          <w:p w14:paraId="27752F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57.5</w:t>
            </w:r>
          </w:p>
        </w:tc>
        <w:tc>
          <w:tcPr>
            <w:tcW w:w="1043" w:type="pct"/>
            <w:tcBorders>
              <w:tl2br w:val="nil"/>
              <w:tr2bl w:val="nil"/>
            </w:tcBorders>
            <w:shd w:val="clear" w:color="auto" w:fill="auto"/>
            <w:vAlign w:val="bottom"/>
          </w:tcPr>
          <w:p w14:paraId="3CE288B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0.1342</w:t>
            </w:r>
          </w:p>
        </w:tc>
        <w:tc>
          <w:tcPr>
            <w:tcW w:w="1043" w:type="pct"/>
            <w:tcBorders>
              <w:tl2br w:val="nil"/>
              <w:tr2bl w:val="nil"/>
            </w:tcBorders>
            <w:shd w:val="clear" w:color="auto" w:fill="auto"/>
            <w:vAlign w:val="bottom"/>
          </w:tcPr>
          <w:p w14:paraId="30D217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0.8908</w:t>
            </w:r>
          </w:p>
        </w:tc>
      </w:tr>
      <w:tr w14:paraId="5875B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12" w:type="pct"/>
            <w:gridSpan w:val="3"/>
            <w:tcBorders>
              <w:tl2br w:val="nil"/>
              <w:tr2bl w:val="nil"/>
            </w:tcBorders>
            <w:shd w:val="clear" w:color="auto" w:fill="auto"/>
            <w:vAlign w:val="bottom"/>
          </w:tcPr>
          <w:p w14:paraId="078470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eastAsia" w:ascii="Times New Roman" w:hAnsi="Times New Roman" w:cs="Times New Roman"/>
                <w:b/>
                <w:bCs/>
                <w:i w:val="0"/>
                <w:iCs w:val="0"/>
                <w:color w:val="auto"/>
                <w:kern w:val="0"/>
                <w:sz w:val="20"/>
                <w:szCs w:val="20"/>
                <w:u w:val="none"/>
                <w:lang w:val="en-US" w:eastAsia="zh-CN" w:bidi="ar"/>
              </w:rPr>
            </w:pPr>
            <w:r>
              <w:rPr>
                <w:rFonts w:hint="eastAsia" w:ascii="Times New Roman" w:hAnsi="Times New Roman" w:cs="Times New Roman"/>
                <w:b/>
                <w:bCs/>
                <w:i w:val="0"/>
                <w:iCs w:val="0"/>
                <w:color w:val="auto"/>
                <w:kern w:val="0"/>
                <w:sz w:val="20"/>
                <w:szCs w:val="20"/>
                <w:u w:val="none"/>
                <w:lang w:val="en-US" w:eastAsia="zh-CN" w:bidi="ar"/>
              </w:rPr>
              <w:t>电磁环境预测最大值</w:t>
            </w:r>
          </w:p>
        </w:tc>
        <w:tc>
          <w:tcPr>
            <w:tcW w:w="1043" w:type="pct"/>
            <w:tcBorders>
              <w:tl2br w:val="nil"/>
              <w:tr2bl w:val="nil"/>
            </w:tcBorders>
            <w:shd w:val="clear" w:color="auto" w:fill="auto"/>
            <w:vAlign w:val="bottom"/>
          </w:tcPr>
          <w:p w14:paraId="03ADEA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6.8217</w:t>
            </w:r>
          </w:p>
        </w:tc>
        <w:tc>
          <w:tcPr>
            <w:tcW w:w="1043" w:type="pct"/>
            <w:tcBorders>
              <w:tl2br w:val="nil"/>
              <w:tr2bl w:val="nil"/>
            </w:tcBorders>
            <w:shd w:val="clear" w:color="auto" w:fill="auto"/>
            <w:vAlign w:val="bottom"/>
          </w:tcPr>
          <w:p w14:paraId="622B01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35.5568</w:t>
            </w:r>
          </w:p>
        </w:tc>
      </w:tr>
    </w:tbl>
    <w:p w14:paraId="6503FA3C">
      <w:pPr>
        <w:pStyle w:val="2"/>
        <w:adjustRightInd w:val="0"/>
        <w:snapToGrid w:val="0"/>
        <w:spacing w:after="0"/>
        <w:jc w:val="center"/>
        <w:rPr>
          <w:rFonts w:hint="eastAsia" w:eastAsia="宋体"/>
          <w:b/>
          <w:color w:val="auto"/>
          <w:sz w:val="24"/>
          <w:highlight w:val="none"/>
          <w:lang w:eastAsia="zh-CN"/>
        </w:rPr>
      </w:pPr>
      <w:r>
        <w:rPr>
          <w:rFonts w:hint="eastAsia"/>
          <w:b/>
          <w:color w:val="auto"/>
          <w:sz w:val="24"/>
          <w:highlight w:val="none"/>
          <w:lang w:eastAsia="zh-CN"/>
        </w:rPr>
        <w:t xml:space="preserve"> </w:t>
      </w:r>
      <w:r>
        <w:rPr>
          <w:rFonts w:hint="eastAsia" w:eastAsia="宋体"/>
          <w:b/>
          <w:color w:val="auto"/>
          <w:sz w:val="24"/>
          <w:highlight w:val="none"/>
          <w:lang w:eastAsia="zh-CN"/>
        </w:rPr>
        <w:drawing>
          <wp:inline distT="0" distB="0" distL="114300" distR="114300">
            <wp:extent cx="5606415" cy="2725420"/>
            <wp:effectExtent l="0" t="0" r="13335" b="17780"/>
            <wp:docPr id="63" name="图片 63" descr="工频电场图 双回6.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工频电场图 双回6.5m 单边挂线"/>
                    <pic:cNvPicPr>
                      <a:picLocks noChangeAspect="1"/>
                    </pic:cNvPicPr>
                  </pic:nvPicPr>
                  <pic:blipFill>
                    <a:blip r:embed="rId74"/>
                    <a:stretch>
                      <a:fillRect/>
                    </a:stretch>
                  </pic:blipFill>
                  <pic:spPr>
                    <a:xfrm>
                      <a:off x="0" y="0"/>
                      <a:ext cx="5606415" cy="2725420"/>
                    </a:xfrm>
                    <a:prstGeom prst="rect">
                      <a:avLst/>
                    </a:prstGeom>
                  </pic:spPr>
                </pic:pic>
              </a:graphicData>
            </a:graphic>
          </wp:inline>
        </w:drawing>
      </w:r>
    </w:p>
    <w:p w14:paraId="06C30D1C">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9</w:t>
      </w:r>
      <w:r>
        <w:rPr>
          <w:b/>
          <w:color w:val="auto"/>
          <w:sz w:val="24"/>
          <w:highlight w:val="none"/>
        </w:rPr>
        <w:t xml:space="preserve">  工频电场强度分布图</w:t>
      </w:r>
    </w:p>
    <w:p w14:paraId="4B041320">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11495" cy="3350260"/>
            <wp:effectExtent l="0" t="0" r="8255" b="2540"/>
            <wp:docPr id="64" name="图片 64" descr="电场等值线图 双回6.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电场等值线图 双回6.5m 单边挂线"/>
                    <pic:cNvPicPr>
                      <a:picLocks noChangeAspect="1"/>
                    </pic:cNvPicPr>
                  </pic:nvPicPr>
                  <pic:blipFill>
                    <a:blip r:embed="rId75"/>
                    <a:stretch>
                      <a:fillRect/>
                    </a:stretch>
                  </pic:blipFill>
                  <pic:spPr>
                    <a:xfrm>
                      <a:off x="0" y="0"/>
                      <a:ext cx="5611495" cy="3350260"/>
                    </a:xfrm>
                    <a:prstGeom prst="rect">
                      <a:avLst/>
                    </a:prstGeom>
                  </pic:spPr>
                </pic:pic>
              </a:graphicData>
            </a:graphic>
          </wp:inline>
        </w:drawing>
      </w:r>
    </w:p>
    <w:p w14:paraId="4508F246">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10</w:t>
      </w:r>
      <w:r>
        <w:rPr>
          <w:b/>
          <w:color w:val="auto"/>
          <w:sz w:val="24"/>
          <w:highlight w:val="none"/>
        </w:rPr>
        <w:t xml:space="preserve">  工频电场强度</w:t>
      </w:r>
      <w:r>
        <w:rPr>
          <w:rFonts w:hint="eastAsia" w:ascii="Times New Roman" w:hAnsi="Times New Roman" w:cs="Times New Roman"/>
          <w:b/>
          <w:color w:val="auto"/>
          <w:sz w:val="24"/>
          <w:highlight w:val="none"/>
        </w:rPr>
        <w:t>等值线图</w:t>
      </w:r>
    </w:p>
    <w:p w14:paraId="4FCF99AC">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06415" cy="2725420"/>
            <wp:effectExtent l="0" t="0" r="13335" b="17780"/>
            <wp:docPr id="65" name="图片 65" descr="工频磁场图 双回6.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工频磁场图 双回6.5m 单边挂线"/>
                    <pic:cNvPicPr>
                      <a:picLocks noChangeAspect="1"/>
                    </pic:cNvPicPr>
                  </pic:nvPicPr>
                  <pic:blipFill>
                    <a:blip r:embed="rId76"/>
                    <a:stretch>
                      <a:fillRect/>
                    </a:stretch>
                  </pic:blipFill>
                  <pic:spPr>
                    <a:xfrm>
                      <a:off x="0" y="0"/>
                      <a:ext cx="5606415" cy="2725420"/>
                    </a:xfrm>
                    <a:prstGeom prst="rect">
                      <a:avLst/>
                    </a:prstGeom>
                  </pic:spPr>
                </pic:pic>
              </a:graphicData>
            </a:graphic>
          </wp:inline>
        </w:drawing>
      </w:r>
    </w:p>
    <w:p w14:paraId="4416119E">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11</w:t>
      </w:r>
      <w:r>
        <w:rPr>
          <w:b/>
          <w:color w:val="auto"/>
          <w:sz w:val="24"/>
          <w:highlight w:val="none"/>
        </w:rPr>
        <w:t xml:space="preserve">  工频磁感应强度分布图</w:t>
      </w:r>
    </w:p>
    <w:p w14:paraId="1B829AEC">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11495" cy="3350260"/>
            <wp:effectExtent l="0" t="0" r="8255" b="2540"/>
            <wp:docPr id="66" name="图片 66" descr="磁场等值线图 双回6.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磁场等值线图 双回6.5m 单边挂线"/>
                    <pic:cNvPicPr>
                      <a:picLocks noChangeAspect="1"/>
                    </pic:cNvPicPr>
                  </pic:nvPicPr>
                  <pic:blipFill>
                    <a:blip r:embed="rId77"/>
                    <a:stretch>
                      <a:fillRect/>
                    </a:stretch>
                  </pic:blipFill>
                  <pic:spPr>
                    <a:xfrm>
                      <a:off x="0" y="0"/>
                      <a:ext cx="5611495" cy="3350260"/>
                    </a:xfrm>
                    <a:prstGeom prst="rect">
                      <a:avLst/>
                    </a:prstGeom>
                  </pic:spPr>
                </pic:pic>
              </a:graphicData>
            </a:graphic>
          </wp:inline>
        </w:drawing>
      </w:r>
    </w:p>
    <w:p w14:paraId="79256D1C">
      <w:pPr>
        <w:pStyle w:val="2"/>
        <w:adjustRightInd w:val="0"/>
        <w:snapToGrid w:val="0"/>
        <w:spacing w:after="0"/>
        <w:jc w:val="center"/>
        <w:rPr>
          <w:rFonts w:hint="eastAsia" w:eastAsia="宋体"/>
          <w:bCs/>
          <w:color w:val="auto"/>
          <w:spacing w:val="-6"/>
          <w:sz w:val="24"/>
          <w:highlight w:val="none"/>
          <w:lang w:eastAsia="zh-CN"/>
        </w:rPr>
      </w:pPr>
      <w:r>
        <w:rPr>
          <w:b/>
          <w:color w:val="auto"/>
          <w:sz w:val="24"/>
          <w:highlight w:val="none"/>
        </w:rPr>
        <w:t>图5-</w:t>
      </w:r>
      <w:r>
        <w:rPr>
          <w:rFonts w:hint="eastAsia"/>
          <w:b/>
          <w:color w:val="auto"/>
          <w:sz w:val="24"/>
          <w:highlight w:val="none"/>
          <w:lang w:val="en-US" w:eastAsia="zh-CN"/>
        </w:rPr>
        <w:t>12</w:t>
      </w:r>
      <w:r>
        <w:rPr>
          <w:b/>
          <w:color w:val="auto"/>
          <w:sz w:val="24"/>
          <w:highlight w:val="none"/>
        </w:rPr>
        <w:t xml:space="preserve">  工频磁感应强度</w:t>
      </w:r>
      <w:r>
        <w:rPr>
          <w:rFonts w:hint="eastAsia"/>
          <w:b/>
          <w:color w:val="auto"/>
          <w:sz w:val="24"/>
          <w:highlight w:val="none"/>
          <w:lang w:val="en-US" w:eastAsia="zh-CN"/>
        </w:rPr>
        <w:t>等值线图</w:t>
      </w:r>
    </w:p>
    <w:p w14:paraId="7B23AADE">
      <w:pPr>
        <w:pStyle w:val="2"/>
        <w:keepNext w:val="0"/>
        <w:keepLines w:val="0"/>
        <w:pageBreakBefore w:val="0"/>
        <w:widowControl w:val="0"/>
        <w:kinsoku/>
        <w:wordWrap/>
        <w:overflowPunct/>
        <w:topLinePunct w:val="0"/>
        <w:autoSpaceDE/>
        <w:autoSpaceDN/>
        <w:bidi w:val="0"/>
        <w:adjustRightInd w:val="0"/>
        <w:snapToGrid/>
        <w:spacing w:after="0" w:line="440" w:lineRule="exact"/>
        <w:ind w:firstLine="456" w:firstLineChars="200"/>
        <w:textAlignment w:val="auto"/>
        <w:rPr>
          <w:bCs/>
          <w:color w:val="auto"/>
          <w:spacing w:val="-6"/>
          <w:sz w:val="24"/>
          <w:highlight w:val="none"/>
        </w:rPr>
      </w:pPr>
      <w:bookmarkStart w:id="172" w:name="_Toc1517"/>
      <w:bookmarkStart w:id="173" w:name="_Toc21546"/>
      <w:r>
        <w:rPr>
          <w:bCs/>
          <w:color w:val="auto"/>
          <w:spacing w:val="-6"/>
          <w:sz w:val="24"/>
          <w:highlight w:val="none"/>
        </w:rPr>
        <w:t>当按照非居民区导线最小对地高度为6.</w:t>
      </w:r>
      <w:r>
        <w:rPr>
          <w:rFonts w:hint="eastAsia"/>
          <w:bCs/>
          <w:color w:val="auto"/>
          <w:spacing w:val="-6"/>
          <w:sz w:val="24"/>
          <w:highlight w:val="none"/>
        </w:rPr>
        <w:t>5</w:t>
      </w:r>
      <w:r>
        <w:rPr>
          <w:bCs/>
          <w:color w:val="auto"/>
          <w:spacing w:val="-6"/>
          <w:sz w:val="24"/>
          <w:highlight w:val="none"/>
        </w:rPr>
        <w:t>m、距地面1.5m的设计要求架设线路时，</w:t>
      </w:r>
      <w:r>
        <w:rPr>
          <w:rFonts w:hint="eastAsia"/>
          <w:bCs/>
          <w:color w:val="auto"/>
          <w:spacing w:val="-6"/>
          <w:sz w:val="24"/>
          <w:highlight w:val="none"/>
        </w:rPr>
        <w:t>本项目220kV双设单挂架设</w:t>
      </w:r>
      <w:r>
        <w:rPr>
          <w:bCs/>
          <w:color w:val="auto"/>
          <w:spacing w:val="-6"/>
          <w:sz w:val="24"/>
          <w:highlight w:val="none"/>
        </w:rPr>
        <w:t>线路产生的工频电场强度最大值出现在距离线路中心-8m处，为</w:t>
      </w:r>
      <w:r>
        <w:rPr>
          <w:rFonts w:hint="default"/>
          <w:bCs/>
          <w:color w:val="auto"/>
          <w:spacing w:val="-6"/>
          <w:sz w:val="24"/>
          <w:highlight w:val="none"/>
          <w:lang w:val="en-US" w:eastAsia="zh-CN"/>
        </w:rPr>
        <w:t>6.8217</w:t>
      </w:r>
      <w:r>
        <w:rPr>
          <w:bCs/>
          <w:color w:val="auto"/>
          <w:spacing w:val="-6"/>
          <w:sz w:val="24"/>
          <w:highlight w:val="none"/>
        </w:rPr>
        <w:t>kV/m；工频磁感应强度最大值出现在距离线路中心-8处，为</w:t>
      </w:r>
      <w:r>
        <w:rPr>
          <w:rFonts w:hint="default"/>
          <w:bCs/>
          <w:color w:val="auto"/>
          <w:spacing w:val="-6"/>
          <w:sz w:val="24"/>
          <w:highlight w:val="none"/>
          <w:lang w:val="en-US" w:eastAsia="zh-CN"/>
        </w:rPr>
        <w:t>35.5568</w:t>
      </w:r>
      <w:r>
        <w:rPr>
          <w:bCs/>
          <w:color w:val="auto"/>
          <w:spacing w:val="-6"/>
          <w:sz w:val="24"/>
          <w:highlight w:val="none"/>
        </w:rPr>
        <w:t>μT。预测结果满足《电磁环境控制限值》（GB8702-2014）中</w:t>
      </w:r>
      <w:r>
        <w:rPr>
          <w:rFonts w:hint="eastAsia"/>
          <w:bCs/>
          <w:color w:val="auto"/>
          <w:spacing w:val="-6"/>
          <w:sz w:val="24"/>
          <w:highlight w:val="none"/>
          <w:lang w:eastAsia="zh-CN"/>
        </w:rPr>
        <w:t>其他地区</w:t>
      </w:r>
      <w:r>
        <w:rPr>
          <w:bCs/>
          <w:color w:val="auto"/>
          <w:spacing w:val="-6"/>
          <w:sz w:val="24"/>
          <w:highlight w:val="none"/>
        </w:rPr>
        <w:t>工频电场强度10kV/m的标准要求。</w:t>
      </w:r>
    </w:p>
    <w:p w14:paraId="387B9168">
      <w:pPr>
        <w:pStyle w:val="2"/>
        <w:keepNext w:val="0"/>
        <w:keepLines w:val="0"/>
        <w:pageBreakBefore w:val="0"/>
        <w:widowControl w:val="0"/>
        <w:kinsoku/>
        <w:wordWrap/>
        <w:overflowPunct/>
        <w:topLinePunct w:val="0"/>
        <w:autoSpaceDE/>
        <w:autoSpaceDN/>
        <w:bidi w:val="0"/>
        <w:adjustRightInd w:val="0"/>
        <w:snapToGrid/>
        <w:spacing w:after="0" w:line="440" w:lineRule="exact"/>
        <w:ind w:firstLine="456" w:firstLineChars="200"/>
        <w:textAlignment w:val="auto"/>
        <w:rPr>
          <w:rFonts w:hint="eastAsia" w:cs="Times New Roman"/>
          <w:bCs/>
          <w:color w:val="auto"/>
          <w:spacing w:val="-6"/>
          <w:sz w:val="24"/>
          <w:highlight w:val="none"/>
          <w:lang w:val="en-US" w:eastAsia="zh-CN"/>
        </w:rPr>
      </w:pPr>
      <w:r>
        <w:rPr>
          <w:rFonts w:hint="default" w:cs="Times New Roman"/>
          <w:bCs/>
          <w:color w:val="auto"/>
          <w:spacing w:val="-6"/>
          <w:sz w:val="24"/>
          <w:highlight w:val="none"/>
          <w:lang w:val="en-US" w:eastAsia="zh-CN"/>
        </w:rPr>
        <w:t>②</w:t>
      </w:r>
      <w:r>
        <w:rPr>
          <w:rFonts w:hint="eastAsia" w:cs="Times New Roman"/>
          <w:bCs/>
          <w:color w:val="auto"/>
          <w:spacing w:val="-6"/>
          <w:sz w:val="24"/>
          <w:highlight w:val="none"/>
          <w:lang w:val="en-US" w:eastAsia="zh-CN"/>
        </w:rPr>
        <w:t>预测导线设计最小对地高度14.5m、距地面1.5m电磁环境</w:t>
      </w:r>
    </w:p>
    <w:p w14:paraId="7F7F117B">
      <w:pPr>
        <w:pStyle w:val="2"/>
        <w:adjustRightInd w:val="0"/>
        <w:snapToGrid w:val="0"/>
        <w:spacing w:after="0"/>
        <w:jc w:val="center"/>
        <w:rPr>
          <w:b/>
          <w:color w:val="auto"/>
          <w:sz w:val="24"/>
          <w:highlight w:val="none"/>
        </w:rPr>
      </w:pPr>
      <w:r>
        <w:rPr>
          <w:b/>
          <w:color w:val="auto"/>
          <w:sz w:val="24"/>
          <w:highlight w:val="none"/>
        </w:rPr>
        <w:t>表5-</w:t>
      </w:r>
      <w:r>
        <w:rPr>
          <w:rFonts w:hint="eastAsia"/>
          <w:b/>
          <w:color w:val="auto"/>
          <w:sz w:val="24"/>
          <w:highlight w:val="none"/>
          <w:lang w:val="en-US" w:eastAsia="zh-CN"/>
        </w:rPr>
        <w:t>4</w:t>
      </w:r>
      <w:r>
        <w:rPr>
          <w:b/>
          <w:color w:val="auto"/>
          <w:sz w:val="24"/>
          <w:highlight w:val="none"/>
        </w:rPr>
        <w:t xml:space="preserve">  </w:t>
      </w:r>
      <w:r>
        <w:rPr>
          <w:rFonts w:hint="eastAsia"/>
          <w:b/>
          <w:color w:val="auto"/>
          <w:sz w:val="24"/>
          <w:highlight w:val="none"/>
        </w:rPr>
        <w:t>220kV双设单挂架设</w:t>
      </w:r>
      <w:r>
        <w:rPr>
          <w:b/>
          <w:color w:val="auto"/>
          <w:sz w:val="24"/>
          <w:highlight w:val="none"/>
        </w:rPr>
        <w:t>工频电场强度、工频磁感应强度预测结果</w:t>
      </w:r>
    </w:p>
    <w:tbl>
      <w:tblPr>
        <w:tblStyle w:val="2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1486"/>
        <w:gridCol w:w="1444"/>
        <w:gridCol w:w="2278"/>
        <w:gridCol w:w="2365"/>
      </w:tblGrid>
      <w:tr w14:paraId="2EE46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vMerge w:val="restart"/>
            <w:tcBorders>
              <w:tl2br w:val="nil"/>
              <w:tr2bl w:val="nil"/>
            </w:tcBorders>
            <w:vAlign w:val="center"/>
          </w:tcPr>
          <w:p w14:paraId="01FA0803">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距线路中心距离（m）</w:t>
            </w:r>
          </w:p>
        </w:tc>
        <w:tc>
          <w:tcPr>
            <w:tcW w:w="1617" w:type="pct"/>
            <w:gridSpan w:val="2"/>
            <w:vMerge w:val="restart"/>
            <w:tcBorders>
              <w:tl2br w:val="nil"/>
              <w:tr2bl w:val="nil"/>
            </w:tcBorders>
            <w:vAlign w:val="center"/>
          </w:tcPr>
          <w:p w14:paraId="790C00A6">
            <w:pPr>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距边导线距离（m）</w:t>
            </w:r>
          </w:p>
        </w:tc>
        <w:tc>
          <w:tcPr>
            <w:tcW w:w="1257" w:type="pct"/>
            <w:tcBorders>
              <w:tl2br w:val="nil"/>
              <w:tr2bl w:val="nil"/>
            </w:tcBorders>
            <w:vAlign w:val="center"/>
          </w:tcPr>
          <w:p w14:paraId="13B7812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工频电场强度kV/m</w:t>
            </w:r>
          </w:p>
        </w:tc>
        <w:tc>
          <w:tcPr>
            <w:tcW w:w="1305" w:type="pct"/>
            <w:tcBorders>
              <w:tl2br w:val="nil"/>
              <w:tr2bl w:val="nil"/>
            </w:tcBorders>
            <w:vAlign w:val="center"/>
          </w:tcPr>
          <w:p w14:paraId="5F70698A">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工频磁感应强度μT</w:t>
            </w:r>
          </w:p>
        </w:tc>
      </w:tr>
      <w:tr w14:paraId="64BB0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vMerge w:val="continue"/>
            <w:tcBorders>
              <w:tl2br w:val="nil"/>
              <w:tr2bl w:val="nil"/>
            </w:tcBorders>
            <w:vAlign w:val="center"/>
          </w:tcPr>
          <w:p w14:paraId="061BE11C">
            <w:pPr>
              <w:adjustRightInd w:val="0"/>
              <w:snapToGrid w:val="0"/>
              <w:jc w:val="center"/>
              <w:rPr>
                <w:rFonts w:hint="default" w:ascii="Times New Roman" w:hAnsi="Times New Roman" w:cs="Times New Roman"/>
                <w:b/>
                <w:bCs/>
                <w:color w:val="auto"/>
                <w:szCs w:val="21"/>
                <w:highlight w:val="none"/>
              </w:rPr>
            </w:pPr>
          </w:p>
        </w:tc>
        <w:tc>
          <w:tcPr>
            <w:tcW w:w="1617" w:type="pct"/>
            <w:gridSpan w:val="2"/>
            <w:vMerge w:val="continue"/>
            <w:tcBorders>
              <w:tl2br w:val="nil"/>
              <w:tr2bl w:val="nil"/>
            </w:tcBorders>
            <w:vAlign w:val="center"/>
          </w:tcPr>
          <w:p w14:paraId="2482F06B">
            <w:pPr>
              <w:adjustRightInd w:val="0"/>
              <w:snapToGrid w:val="0"/>
              <w:jc w:val="center"/>
              <w:rPr>
                <w:rFonts w:hint="default" w:ascii="Times New Roman" w:hAnsi="Times New Roman" w:cs="Times New Roman"/>
                <w:b/>
                <w:bCs/>
                <w:color w:val="auto"/>
                <w:szCs w:val="21"/>
                <w:highlight w:val="none"/>
              </w:rPr>
            </w:pPr>
          </w:p>
        </w:tc>
        <w:tc>
          <w:tcPr>
            <w:tcW w:w="1257" w:type="pct"/>
            <w:tcBorders>
              <w:tl2br w:val="nil"/>
              <w:tr2bl w:val="nil"/>
            </w:tcBorders>
            <w:vAlign w:val="center"/>
          </w:tcPr>
          <w:p w14:paraId="15EF1559">
            <w:pPr>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14.5</w:t>
            </w:r>
            <w:r>
              <w:rPr>
                <w:rFonts w:hint="default" w:ascii="Times New Roman" w:hAnsi="Times New Roman" w:cs="Times New Roman"/>
                <w:b/>
                <w:bCs/>
                <w:color w:val="auto"/>
                <w:szCs w:val="21"/>
                <w:highlight w:val="none"/>
              </w:rPr>
              <w:t>m</w:t>
            </w:r>
          </w:p>
        </w:tc>
        <w:tc>
          <w:tcPr>
            <w:tcW w:w="1305" w:type="pct"/>
            <w:tcBorders>
              <w:tl2br w:val="nil"/>
              <w:tr2bl w:val="nil"/>
            </w:tcBorders>
            <w:vAlign w:val="center"/>
          </w:tcPr>
          <w:p w14:paraId="06A023E2">
            <w:pPr>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14.5</w:t>
            </w:r>
            <w:r>
              <w:rPr>
                <w:rFonts w:hint="default" w:ascii="Times New Roman" w:hAnsi="Times New Roman" w:cs="Times New Roman"/>
                <w:b/>
                <w:bCs/>
                <w:color w:val="auto"/>
                <w:szCs w:val="21"/>
                <w:highlight w:val="none"/>
              </w:rPr>
              <w:t>m</w:t>
            </w:r>
          </w:p>
        </w:tc>
      </w:tr>
      <w:tr w14:paraId="7CFDF3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vMerge w:val="continue"/>
            <w:tcBorders>
              <w:tl2br w:val="nil"/>
              <w:tr2bl w:val="nil"/>
            </w:tcBorders>
            <w:vAlign w:val="center"/>
          </w:tcPr>
          <w:p w14:paraId="1F108303">
            <w:pPr>
              <w:adjustRightInd w:val="0"/>
              <w:snapToGrid w:val="0"/>
              <w:jc w:val="center"/>
              <w:rPr>
                <w:rFonts w:hint="default" w:ascii="Times New Roman" w:hAnsi="Times New Roman" w:cs="Times New Roman"/>
                <w:b/>
                <w:bCs/>
                <w:color w:val="auto"/>
                <w:szCs w:val="21"/>
                <w:highlight w:val="none"/>
              </w:rPr>
            </w:pPr>
          </w:p>
        </w:tc>
        <w:tc>
          <w:tcPr>
            <w:tcW w:w="1617" w:type="pct"/>
            <w:gridSpan w:val="2"/>
            <w:vMerge w:val="continue"/>
            <w:tcBorders>
              <w:tl2br w:val="nil"/>
              <w:tr2bl w:val="nil"/>
            </w:tcBorders>
            <w:vAlign w:val="center"/>
          </w:tcPr>
          <w:p w14:paraId="6ED2E139">
            <w:pPr>
              <w:adjustRightInd w:val="0"/>
              <w:snapToGrid w:val="0"/>
              <w:jc w:val="center"/>
              <w:rPr>
                <w:rFonts w:hint="default" w:ascii="Times New Roman" w:hAnsi="Times New Roman" w:cs="Times New Roman"/>
                <w:b/>
                <w:bCs/>
                <w:color w:val="auto"/>
                <w:szCs w:val="21"/>
                <w:highlight w:val="none"/>
              </w:rPr>
            </w:pPr>
          </w:p>
        </w:tc>
        <w:tc>
          <w:tcPr>
            <w:tcW w:w="1257" w:type="pct"/>
            <w:tcBorders>
              <w:tl2br w:val="nil"/>
              <w:tr2bl w:val="nil"/>
            </w:tcBorders>
            <w:vAlign w:val="center"/>
          </w:tcPr>
          <w:p w14:paraId="6209CC83">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c>
          <w:tcPr>
            <w:tcW w:w="1305" w:type="pct"/>
            <w:tcBorders>
              <w:tl2br w:val="nil"/>
              <w:tr2bl w:val="nil"/>
            </w:tcBorders>
            <w:vAlign w:val="center"/>
          </w:tcPr>
          <w:p w14:paraId="509408A2">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离地1.5m</w:t>
            </w:r>
          </w:p>
        </w:tc>
      </w:tr>
      <w:tr w14:paraId="0ED26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2C6F2CB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20" w:type="pct"/>
            <w:vMerge w:val="restart"/>
            <w:tcBorders>
              <w:tl2br w:val="nil"/>
              <w:tr2bl w:val="nil"/>
            </w:tcBorders>
            <w:shd w:val="clear" w:color="auto" w:fill="auto"/>
            <w:vAlign w:val="center"/>
          </w:tcPr>
          <w:p w14:paraId="70BEAB2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边导线外（挂线侧）</w:t>
            </w:r>
          </w:p>
        </w:tc>
        <w:tc>
          <w:tcPr>
            <w:tcW w:w="796" w:type="pct"/>
            <w:tcBorders>
              <w:tl2br w:val="nil"/>
              <w:tr2bl w:val="nil"/>
            </w:tcBorders>
            <w:shd w:val="clear" w:color="auto" w:fill="auto"/>
            <w:vAlign w:val="center"/>
          </w:tcPr>
          <w:p w14:paraId="64A8EC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-40</w:t>
            </w:r>
          </w:p>
        </w:tc>
        <w:tc>
          <w:tcPr>
            <w:tcW w:w="2224" w:type="dxa"/>
            <w:tcBorders>
              <w:tl2br w:val="nil"/>
              <w:tr2bl w:val="nil"/>
            </w:tcBorders>
            <w:shd w:val="clear" w:color="auto" w:fill="auto"/>
            <w:vAlign w:val="bottom"/>
          </w:tcPr>
          <w:p w14:paraId="27AABCF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0.1235</w:t>
            </w:r>
          </w:p>
        </w:tc>
        <w:tc>
          <w:tcPr>
            <w:tcW w:w="2309" w:type="dxa"/>
            <w:tcBorders>
              <w:tl2br w:val="nil"/>
              <w:tr2bl w:val="nil"/>
            </w:tcBorders>
            <w:shd w:val="clear" w:color="auto" w:fill="auto"/>
            <w:vAlign w:val="bottom"/>
          </w:tcPr>
          <w:p w14:paraId="648D8B9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1.4651</w:t>
            </w:r>
          </w:p>
        </w:tc>
      </w:tr>
      <w:tr w14:paraId="4FB6A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4534A38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20" w:type="pct"/>
            <w:vMerge w:val="continue"/>
            <w:tcBorders>
              <w:tl2br w:val="nil"/>
              <w:tr2bl w:val="nil"/>
            </w:tcBorders>
            <w:shd w:val="clear" w:color="auto" w:fill="auto"/>
            <w:vAlign w:val="center"/>
          </w:tcPr>
          <w:p w14:paraId="48C3A11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0FFDDB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-35</w:t>
            </w:r>
          </w:p>
        </w:tc>
        <w:tc>
          <w:tcPr>
            <w:tcW w:w="2224" w:type="dxa"/>
            <w:tcBorders>
              <w:tl2br w:val="nil"/>
              <w:tr2bl w:val="nil"/>
            </w:tcBorders>
            <w:shd w:val="clear" w:color="auto" w:fill="auto"/>
            <w:vAlign w:val="bottom"/>
          </w:tcPr>
          <w:p w14:paraId="1EAEE46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0.1272</w:t>
            </w:r>
          </w:p>
        </w:tc>
        <w:tc>
          <w:tcPr>
            <w:tcW w:w="2309" w:type="dxa"/>
            <w:tcBorders>
              <w:tl2br w:val="nil"/>
              <w:tr2bl w:val="nil"/>
            </w:tcBorders>
            <w:shd w:val="clear" w:color="auto" w:fill="auto"/>
            <w:vAlign w:val="bottom"/>
          </w:tcPr>
          <w:p w14:paraId="35FF28A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1.7947</w:t>
            </w:r>
          </w:p>
        </w:tc>
      </w:tr>
      <w:tr w14:paraId="26668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A9882A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20" w:type="pct"/>
            <w:vMerge w:val="continue"/>
            <w:tcBorders>
              <w:tl2br w:val="nil"/>
              <w:tr2bl w:val="nil"/>
            </w:tcBorders>
            <w:shd w:val="clear" w:color="auto" w:fill="auto"/>
            <w:vAlign w:val="center"/>
          </w:tcPr>
          <w:p w14:paraId="1ADE41B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0B9B5E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-30</w:t>
            </w:r>
          </w:p>
        </w:tc>
        <w:tc>
          <w:tcPr>
            <w:tcW w:w="2224" w:type="dxa"/>
            <w:tcBorders>
              <w:tl2br w:val="nil"/>
              <w:tr2bl w:val="nil"/>
            </w:tcBorders>
            <w:shd w:val="clear" w:color="auto" w:fill="auto"/>
            <w:vAlign w:val="bottom"/>
          </w:tcPr>
          <w:p w14:paraId="6211185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0.1242</w:t>
            </w:r>
          </w:p>
        </w:tc>
        <w:tc>
          <w:tcPr>
            <w:tcW w:w="2309" w:type="dxa"/>
            <w:tcBorders>
              <w:tl2br w:val="nil"/>
              <w:tr2bl w:val="nil"/>
            </w:tcBorders>
            <w:shd w:val="clear" w:color="auto" w:fill="auto"/>
            <w:vAlign w:val="bottom"/>
          </w:tcPr>
          <w:p w14:paraId="5EFE855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2.2359</w:t>
            </w:r>
          </w:p>
        </w:tc>
      </w:tr>
      <w:tr w14:paraId="653E4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7086805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20" w:type="pct"/>
            <w:vMerge w:val="continue"/>
            <w:tcBorders>
              <w:tl2br w:val="nil"/>
              <w:tr2bl w:val="nil"/>
            </w:tcBorders>
            <w:shd w:val="clear" w:color="auto" w:fill="auto"/>
            <w:vAlign w:val="center"/>
          </w:tcPr>
          <w:p w14:paraId="1AFC047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346EF2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-25</w:t>
            </w:r>
          </w:p>
        </w:tc>
        <w:tc>
          <w:tcPr>
            <w:tcW w:w="2224" w:type="dxa"/>
            <w:tcBorders>
              <w:tl2br w:val="nil"/>
              <w:tr2bl w:val="nil"/>
            </w:tcBorders>
            <w:shd w:val="clear" w:color="auto" w:fill="auto"/>
            <w:vAlign w:val="bottom"/>
          </w:tcPr>
          <w:p w14:paraId="2FDA981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0.1173</w:t>
            </w:r>
          </w:p>
        </w:tc>
        <w:tc>
          <w:tcPr>
            <w:tcW w:w="2309" w:type="dxa"/>
            <w:tcBorders>
              <w:tl2br w:val="nil"/>
              <w:tr2bl w:val="nil"/>
            </w:tcBorders>
            <w:shd w:val="clear" w:color="auto" w:fill="auto"/>
            <w:vAlign w:val="bottom"/>
          </w:tcPr>
          <w:p w14:paraId="56489D9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2.8359</w:t>
            </w:r>
          </w:p>
        </w:tc>
      </w:tr>
      <w:tr w14:paraId="3FB38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4D0E3C4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20" w:type="pct"/>
            <w:vMerge w:val="continue"/>
            <w:tcBorders>
              <w:tl2br w:val="nil"/>
              <w:tr2bl w:val="nil"/>
            </w:tcBorders>
            <w:shd w:val="clear" w:color="auto" w:fill="auto"/>
            <w:vAlign w:val="center"/>
          </w:tcPr>
          <w:p w14:paraId="2B6C320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0904F8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-20</w:t>
            </w:r>
          </w:p>
        </w:tc>
        <w:tc>
          <w:tcPr>
            <w:tcW w:w="2224" w:type="dxa"/>
            <w:tcBorders>
              <w:tl2br w:val="nil"/>
              <w:tr2bl w:val="nil"/>
            </w:tcBorders>
            <w:shd w:val="clear" w:color="auto" w:fill="auto"/>
            <w:vAlign w:val="bottom"/>
          </w:tcPr>
          <w:p w14:paraId="7F2115D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0.1498</w:t>
            </w:r>
          </w:p>
        </w:tc>
        <w:tc>
          <w:tcPr>
            <w:tcW w:w="2309" w:type="dxa"/>
            <w:tcBorders>
              <w:tl2br w:val="nil"/>
              <w:tr2bl w:val="nil"/>
            </w:tcBorders>
            <w:shd w:val="clear" w:color="auto" w:fill="auto"/>
            <w:vAlign w:val="bottom"/>
          </w:tcPr>
          <w:p w14:paraId="16F01C7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3.6609</w:t>
            </w:r>
          </w:p>
        </w:tc>
      </w:tr>
      <w:tr w14:paraId="0035A3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4C9EF0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20" w:type="pct"/>
            <w:vMerge w:val="continue"/>
            <w:tcBorders>
              <w:tl2br w:val="nil"/>
              <w:tr2bl w:val="nil"/>
            </w:tcBorders>
            <w:shd w:val="clear" w:color="auto" w:fill="auto"/>
            <w:vAlign w:val="center"/>
          </w:tcPr>
          <w:p w14:paraId="418B77F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40775E8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w:t>
            </w:r>
          </w:p>
        </w:tc>
        <w:tc>
          <w:tcPr>
            <w:tcW w:w="2224" w:type="dxa"/>
            <w:tcBorders>
              <w:tl2br w:val="nil"/>
              <w:tr2bl w:val="nil"/>
            </w:tcBorders>
            <w:shd w:val="clear" w:color="auto" w:fill="auto"/>
            <w:vAlign w:val="bottom"/>
          </w:tcPr>
          <w:p w14:paraId="1F0F359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0.3177</w:t>
            </w:r>
          </w:p>
        </w:tc>
        <w:tc>
          <w:tcPr>
            <w:tcW w:w="2309" w:type="dxa"/>
            <w:tcBorders>
              <w:tl2br w:val="nil"/>
              <w:tr2bl w:val="nil"/>
            </w:tcBorders>
            <w:shd w:val="clear" w:color="auto" w:fill="auto"/>
            <w:vAlign w:val="bottom"/>
          </w:tcPr>
          <w:p w14:paraId="73B53DF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4.7915</w:t>
            </w:r>
          </w:p>
        </w:tc>
      </w:tr>
      <w:tr w14:paraId="179C3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7DF0FC74">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20" w:type="pct"/>
            <w:vMerge w:val="continue"/>
            <w:tcBorders>
              <w:tl2br w:val="nil"/>
              <w:tr2bl w:val="nil"/>
            </w:tcBorders>
            <w:shd w:val="clear" w:color="auto" w:fill="auto"/>
            <w:vAlign w:val="center"/>
          </w:tcPr>
          <w:p w14:paraId="1631E05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2EFB09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-10</w:t>
            </w:r>
          </w:p>
        </w:tc>
        <w:tc>
          <w:tcPr>
            <w:tcW w:w="2224" w:type="dxa"/>
            <w:tcBorders>
              <w:tl2br w:val="nil"/>
              <w:tr2bl w:val="nil"/>
            </w:tcBorders>
            <w:shd w:val="clear" w:color="auto" w:fill="auto"/>
            <w:vAlign w:val="bottom"/>
          </w:tcPr>
          <w:p w14:paraId="6000316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0.689</w:t>
            </w:r>
          </w:p>
        </w:tc>
        <w:tc>
          <w:tcPr>
            <w:tcW w:w="2309" w:type="dxa"/>
            <w:tcBorders>
              <w:tl2br w:val="nil"/>
              <w:tr2bl w:val="nil"/>
            </w:tcBorders>
            <w:shd w:val="clear" w:color="auto" w:fill="auto"/>
            <w:vAlign w:val="bottom"/>
          </w:tcPr>
          <w:p w14:paraId="2A600DC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6.2779</w:t>
            </w:r>
          </w:p>
        </w:tc>
      </w:tr>
      <w:tr w14:paraId="6B42D6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427533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20" w:type="pct"/>
            <w:vMerge w:val="continue"/>
            <w:tcBorders>
              <w:tl2br w:val="nil"/>
              <w:tr2bl w:val="nil"/>
            </w:tcBorders>
            <w:shd w:val="clear" w:color="auto" w:fill="auto"/>
            <w:vAlign w:val="center"/>
          </w:tcPr>
          <w:p w14:paraId="52E129D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6B233A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w:t>
            </w:r>
          </w:p>
        </w:tc>
        <w:tc>
          <w:tcPr>
            <w:tcW w:w="2224" w:type="dxa"/>
            <w:tcBorders>
              <w:tl2br w:val="nil"/>
              <w:tr2bl w:val="nil"/>
            </w:tcBorders>
            <w:shd w:val="clear" w:color="auto" w:fill="auto"/>
            <w:vAlign w:val="bottom"/>
          </w:tcPr>
          <w:p w14:paraId="1DA017D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1.2803</w:t>
            </w:r>
          </w:p>
        </w:tc>
        <w:tc>
          <w:tcPr>
            <w:tcW w:w="2309" w:type="dxa"/>
            <w:tcBorders>
              <w:tl2br w:val="nil"/>
              <w:tr2bl w:val="nil"/>
            </w:tcBorders>
            <w:shd w:val="clear" w:color="auto" w:fill="auto"/>
            <w:vAlign w:val="bottom"/>
          </w:tcPr>
          <w:p w14:paraId="7040CDB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7.9689</w:t>
            </w:r>
          </w:p>
        </w:tc>
      </w:tr>
      <w:tr w14:paraId="76C7C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C66B70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20" w:type="pct"/>
            <w:tcBorders>
              <w:tl2br w:val="nil"/>
              <w:tr2bl w:val="nil"/>
            </w:tcBorders>
            <w:shd w:val="clear" w:color="auto" w:fill="auto"/>
            <w:vAlign w:val="center"/>
          </w:tcPr>
          <w:p w14:paraId="4B24888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边导线正下方</w:t>
            </w:r>
          </w:p>
        </w:tc>
        <w:tc>
          <w:tcPr>
            <w:tcW w:w="796" w:type="pct"/>
            <w:tcBorders>
              <w:tl2br w:val="nil"/>
              <w:tr2bl w:val="nil"/>
            </w:tcBorders>
            <w:shd w:val="clear" w:color="auto" w:fill="auto"/>
            <w:vAlign w:val="center"/>
          </w:tcPr>
          <w:p w14:paraId="2AF90C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w:t>
            </w:r>
          </w:p>
        </w:tc>
        <w:tc>
          <w:tcPr>
            <w:tcW w:w="2224" w:type="dxa"/>
            <w:tcBorders>
              <w:tl2br w:val="nil"/>
              <w:tr2bl w:val="nil"/>
            </w:tcBorders>
            <w:shd w:val="clear" w:color="auto" w:fill="auto"/>
            <w:vAlign w:val="bottom"/>
          </w:tcPr>
          <w:p w14:paraId="16C8F05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1.8245</w:t>
            </w:r>
          </w:p>
        </w:tc>
        <w:tc>
          <w:tcPr>
            <w:tcW w:w="2309" w:type="dxa"/>
            <w:tcBorders>
              <w:tl2br w:val="nil"/>
              <w:tr2bl w:val="nil"/>
            </w:tcBorders>
            <w:shd w:val="clear" w:color="auto" w:fill="auto"/>
            <w:vAlign w:val="bottom"/>
          </w:tcPr>
          <w:p w14:paraId="4765A6F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9.1774</w:t>
            </w:r>
          </w:p>
        </w:tc>
      </w:tr>
      <w:tr w14:paraId="2AE11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13B9C6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820" w:type="pct"/>
            <w:vMerge w:val="restart"/>
            <w:tcBorders>
              <w:tl2br w:val="nil"/>
              <w:tr2bl w:val="nil"/>
            </w:tcBorders>
            <w:shd w:val="clear" w:color="auto" w:fill="auto"/>
            <w:vAlign w:val="center"/>
          </w:tcPr>
          <w:p w14:paraId="7F056A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796" w:type="pct"/>
            <w:tcBorders>
              <w:tl2br w:val="nil"/>
              <w:tr2bl w:val="nil"/>
            </w:tcBorders>
            <w:shd w:val="clear" w:color="auto" w:fill="auto"/>
            <w:vAlign w:val="center"/>
          </w:tcPr>
          <w:p w14:paraId="796E8C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2224" w:type="dxa"/>
            <w:tcBorders>
              <w:tl2br w:val="nil"/>
              <w:tr2bl w:val="nil"/>
            </w:tcBorders>
            <w:shd w:val="clear" w:color="auto" w:fill="auto"/>
            <w:vAlign w:val="bottom"/>
          </w:tcPr>
          <w:p w14:paraId="1A5239B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1.8754</w:t>
            </w:r>
          </w:p>
        </w:tc>
        <w:tc>
          <w:tcPr>
            <w:tcW w:w="2309" w:type="dxa"/>
            <w:tcBorders>
              <w:tl2br w:val="nil"/>
              <w:tr2bl w:val="nil"/>
            </w:tcBorders>
            <w:shd w:val="clear" w:color="auto" w:fill="auto"/>
            <w:vAlign w:val="bottom"/>
          </w:tcPr>
          <w:p w14:paraId="7F1011D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9.2651</w:t>
            </w:r>
          </w:p>
        </w:tc>
      </w:tr>
      <w:tr w14:paraId="4F922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2F59CA9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b w:val="0"/>
                <w:bCs w:val="0"/>
                <w:i w:val="0"/>
                <w:iCs w:val="0"/>
                <w:color w:val="auto"/>
                <w:kern w:val="0"/>
                <w:sz w:val="20"/>
                <w:szCs w:val="20"/>
                <w:u w:val="none"/>
                <w:lang w:val="en-US" w:eastAsia="zh-CN" w:bidi="ar"/>
              </w:rPr>
              <w:t>-8</w:t>
            </w:r>
          </w:p>
        </w:tc>
        <w:tc>
          <w:tcPr>
            <w:tcW w:w="820" w:type="pct"/>
            <w:vMerge w:val="continue"/>
            <w:tcBorders>
              <w:tl2br w:val="nil"/>
              <w:tr2bl w:val="nil"/>
            </w:tcBorders>
            <w:shd w:val="clear" w:color="auto" w:fill="auto"/>
            <w:vAlign w:val="center"/>
          </w:tcPr>
          <w:p w14:paraId="2426AC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5D67FE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2224" w:type="dxa"/>
            <w:tcBorders>
              <w:tl2br w:val="nil"/>
              <w:tr2bl w:val="nil"/>
            </w:tcBorders>
            <w:shd w:val="clear" w:color="auto" w:fill="auto"/>
            <w:vAlign w:val="bottom"/>
          </w:tcPr>
          <w:p w14:paraId="0FA6345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1.8971</w:t>
            </w:r>
          </w:p>
        </w:tc>
        <w:tc>
          <w:tcPr>
            <w:tcW w:w="2309" w:type="dxa"/>
            <w:tcBorders>
              <w:tl2br w:val="nil"/>
              <w:tr2bl w:val="nil"/>
            </w:tcBorders>
            <w:shd w:val="clear" w:color="auto" w:fill="auto"/>
            <w:vAlign w:val="bottom"/>
          </w:tcPr>
          <w:p w14:paraId="5B84B20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9.286</w:t>
            </w:r>
          </w:p>
        </w:tc>
      </w:tr>
      <w:tr w14:paraId="3DE54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766102C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20" w:type="pct"/>
            <w:vMerge w:val="restart"/>
            <w:tcBorders>
              <w:tl2br w:val="nil"/>
              <w:tr2bl w:val="nil"/>
            </w:tcBorders>
            <w:shd w:val="clear" w:color="auto" w:fill="auto"/>
            <w:vAlign w:val="center"/>
          </w:tcPr>
          <w:p w14:paraId="6BF9DC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796" w:type="pct"/>
            <w:tcBorders>
              <w:tl2br w:val="nil"/>
              <w:tr2bl w:val="nil"/>
            </w:tcBorders>
            <w:shd w:val="clear" w:color="auto" w:fill="auto"/>
            <w:vAlign w:val="center"/>
          </w:tcPr>
          <w:p w14:paraId="307CD5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0.5</w:t>
            </w:r>
          </w:p>
        </w:tc>
        <w:tc>
          <w:tcPr>
            <w:tcW w:w="2224" w:type="dxa"/>
            <w:tcBorders>
              <w:tl2br w:val="nil"/>
              <w:tr2bl w:val="nil"/>
            </w:tcBorders>
            <w:shd w:val="clear" w:color="auto" w:fill="auto"/>
            <w:vAlign w:val="bottom"/>
          </w:tcPr>
          <w:p w14:paraId="6D672E9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1.888</w:t>
            </w:r>
          </w:p>
        </w:tc>
        <w:tc>
          <w:tcPr>
            <w:tcW w:w="2309" w:type="dxa"/>
            <w:tcBorders>
              <w:tl2br w:val="nil"/>
              <w:tr2bl w:val="nil"/>
            </w:tcBorders>
            <w:shd w:val="clear" w:color="auto" w:fill="auto"/>
            <w:vAlign w:val="bottom"/>
          </w:tcPr>
          <w:p w14:paraId="23BDFCC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9.2387</w:t>
            </w:r>
          </w:p>
        </w:tc>
      </w:tr>
      <w:tr w14:paraId="279F7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3A7285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20" w:type="pct"/>
            <w:vMerge w:val="continue"/>
            <w:tcBorders>
              <w:tl2br w:val="nil"/>
              <w:tr2bl w:val="nil"/>
            </w:tcBorders>
            <w:shd w:val="clear" w:color="auto" w:fill="auto"/>
            <w:vAlign w:val="center"/>
          </w:tcPr>
          <w:p w14:paraId="5629DF7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221BCAF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w:t>
            </w:r>
          </w:p>
        </w:tc>
        <w:tc>
          <w:tcPr>
            <w:tcW w:w="2224" w:type="dxa"/>
            <w:tcBorders>
              <w:tl2br w:val="nil"/>
              <w:tr2bl w:val="nil"/>
            </w:tcBorders>
            <w:shd w:val="clear" w:color="auto" w:fill="auto"/>
            <w:vAlign w:val="bottom"/>
          </w:tcPr>
          <w:p w14:paraId="1D63860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1.8489</w:t>
            </w:r>
          </w:p>
        </w:tc>
        <w:tc>
          <w:tcPr>
            <w:tcW w:w="2309" w:type="dxa"/>
            <w:tcBorders>
              <w:tl2br w:val="nil"/>
              <w:tr2bl w:val="nil"/>
            </w:tcBorders>
            <w:shd w:val="clear" w:color="auto" w:fill="auto"/>
            <w:vAlign w:val="bottom"/>
          </w:tcPr>
          <w:p w14:paraId="683B98E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9.1257</w:t>
            </w:r>
          </w:p>
        </w:tc>
      </w:tr>
      <w:tr w14:paraId="3C6AB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FB2B3A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20" w:type="pct"/>
            <w:vMerge w:val="continue"/>
            <w:tcBorders>
              <w:tl2br w:val="nil"/>
              <w:tr2bl w:val="nil"/>
            </w:tcBorders>
            <w:shd w:val="clear" w:color="auto" w:fill="auto"/>
            <w:vAlign w:val="center"/>
          </w:tcPr>
          <w:p w14:paraId="33347D5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center"/>
          </w:tcPr>
          <w:p w14:paraId="1931CC9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2.5</w:t>
            </w:r>
          </w:p>
        </w:tc>
        <w:tc>
          <w:tcPr>
            <w:tcW w:w="2224" w:type="dxa"/>
            <w:tcBorders>
              <w:tl2br w:val="nil"/>
              <w:tr2bl w:val="nil"/>
            </w:tcBorders>
            <w:shd w:val="clear" w:color="auto" w:fill="auto"/>
            <w:vAlign w:val="bottom"/>
          </w:tcPr>
          <w:p w14:paraId="113C640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1.7825</w:t>
            </w:r>
          </w:p>
        </w:tc>
        <w:tc>
          <w:tcPr>
            <w:tcW w:w="2309" w:type="dxa"/>
            <w:tcBorders>
              <w:tl2br w:val="nil"/>
              <w:tr2bl w:val="nil"/>
            </w:tcBorders>
            <w:shd w:val="clear" w:color="auto" w:fill="auto"/>
            <w:vAlign w:val="bottom"/>
          </w:tcPr>
          <w:p w14:paraId="0F398DD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8.9524</w:t>
            </w:r>
          </w:p>
        </w:tc>
      </w:tr>
      <w:tr w14:paraId="5B66B7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52CA94C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20" w:type="pct"/>
            <w:vMerge w:val="continue"/>
            <w:tcBorders>
              <w:tl2br w:val="nil"/>
              <w:tr2bl w:val="nil"/>
            </w:tcBorders>
            <w:shd w:val="clear" w:color="auto" w:fill="auto"/>
            <w:vAlign w:val="bottom"/>
          </w:tcPr>
          <w:p w14:paraId="018FC10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4A5066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3.5</w:t>
            </w:r>
          </w:p>
        </w:tc>
        <w:tc>
          <w:tcPr>
            <w:tcW w:w="2224" w:type="dxa"/>
            <w:tcBorders>
              <w:tl2br w:val="nil"/>
              <w:tr2bl w:val="nil"/>
            </w:tcBorders>
            <w:shd w:val="clear" w:color="auto" w:fill="auto"/>
            <w:vAlign w:val="bottom"/>
          </w:tcPr>
          <w:p w14:paraId="0910857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1.6929</w:t>
            </w:r>
          </w:p>
        </w:tc>
        <w:tc>
          <w:tcPr>
            <w:tcW w:w="2309" w:type="dxa"/>
            <w:tcBorders>
              <w:tl2br w:val="nil"/>
              <w:tr2bl w:val="nil"/>
            </w:tcBorders>
            <w:shd w:val="clear" w:color="auto" w:fill="auto"/>
            <w:vAlign w:val="bottom"/>
          </w:tcPr>
          <w:p w14:paraId="214E9D1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8.7267</w:t>
            </w:r>
          </w:p>
        </w:tc>
      </w:tr>
      <w:tr w14:paraId="49612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D86939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20" w:type="pct"/>
            <w:vMerge w:val="continue"/>
            <w:tcBorders>
              <w:tl2br w:val="nil"/>
              <w:tr2bl w:val="nil"/>
            </w:tcBorders>
            <w:shd w:val="clear" w:color="auto" w:fill="auto"/>
            <w:vAlign w:val="bottom"/>
          </w:tcPr>
          <w:p w14:paraId="0DF460E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0DC5D3C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4.5</w:t>
            </w:r>
          </w:p>
        </w:tc>
        <w:tc>
          <w:tcPr>
            <w:tcW w:w="2224" w:type="dxa"/>
            <w:tcBorders>
              <w:tl2br w:val="nil"/>
              <w:tr2bl w:val="nil"/>
            </w:tcBorders>
            <w:shd w:val="clear" w:color="auto" w:fill="auto"/>
            <w:vAlign w:val="bottom"/>
          </w:tcPr>
          <w:p w14:paraId="65A34B4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1.5854</w:t>
            </w:r>
          </w:p>
        </w:tc>
        <w:tc>
          <w:tcPr>
            <w:tcW w:w="2309" w:type="dxa"/>
            <w:tcBorders>
              <w:tl2br w:val="nil"/>
              <w:tr2bl w:val="nil"/>
            </w:tcBorders>
            <w:shd w:val="clear" w:color="auto" w:fill="auto"/>
            <w:vAlign w:val="bottom"/>
          </w:tcPr>
          <w:p w14:paraId="32078DB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8.4582</w:t>
            </w:r>
          </w:p>
        </w:tc>
      </w:tr>
      <w:tr w14:paraId="6E41F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2660E6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20" w:type="pct"/>
            <w:vMerge w:val="continue"/>
            <w:tcBorders>
              <w:tl2br w:val="nil"/>
              <w:tr2bl w:val="nil"/>
            </w:tcBorders>
            <w:shd w:val="clear" w:color="auto" w:fill="auto"/>
            <w:vAlign w:val="bottom"/>
          </w:tcPr>
          <w:p w14:paraId="7E04426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31E8EB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5.5</w:t>
            </w:r>
          </w:p>
        </w:tc>
        <w:tc>
          <w:tcPr>
            <w:tcW w:w="2224" w:type="dxa"/>
            <w:tcBorders>
              <w:tl2br w:val="nil"/>
              <w:tr2bl w:val="nil"/>
            </w:tcBorders>
            <w:shd w:val="clear" w:color="auto" w:fill="auto"/>
            <w:vAlign w:val="bottom"/>
          </w:tcPr>
          <w:p w14:paraId="4FF7794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1.4654</w:t>
            </w:r>
          </w:p>
        </w:tc>
        <w:tc>
          <w:tcPr>
            <w:tcW w:w="2309" w:type="dxa"/>
            <w:tcBorders>
              <w:tl2br w:val="nil"/>
              <w:tr2bl w:val="nil"/>
            </w:tcBorders>
            <w:shd w:val="clear" w:color="auto" w:fill="auto"/>
            <w:vAlign w:val="bottom"/>
          </w:tcPr>
          <w:p w14:paraId="366CC28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8.1569</w:t>
            </w:r>
          </w:p>
        </w:tc>
      </w:tr>
      <w:tr w14:paraId="26396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D525FE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20" w:type="pct"/>
            <w:vMerge w:val="continue"/>
            <w:tcBorders>
              <w:tl2br w:val="nil"/>
              <w:tr2bl w:val="nil"/>
            </w:tcBorders>
            <w:shd w:val="clear" w:color="auto" w:fill="auto"/>
            <w:vAlign w:val="bottom"/>
          </w:tcPr>
          <w:p w14:paraId="18052F5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387E04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6.5</w:t>
            </w:r>
          </w:p>
        </w:tc>
        <w:tc>
          <w:tcPr>
            <w:tcW w:w="2224" w:type="dxa"/>
            <w:tcBorders>
              <w:tl2br w:val="nil"/>
              <w:tr2bl w:val="nil"/>
            </w:tcBorders>
            <w:shd w:val="clear" w:color="auto" w:fill="auto"/>
            <w:vAlign w:val="bottom"/>
          </w:tcPr>
          <w:p w14:paraId="316528C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1.3383</w:t>
            </w:r>
          </w:p>
        </w:tc>
        <w:tc>
          <w:tcPr>
            <w:tcW w:w="2309" w:type="dxa"/>
            <w:tcBorders>
              <w:tl2br w:val="nil"/>
              <w:tr2bl w:val="nil"/>
            </w:tcBorders>
            <w:shd w:val="clear" w:color="auto" w:fill="auto"/>
            <w:vAlign w:val="bottom"/>
          </w:tcPr>
          <w:p w14:paraId="69D8EE3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7.8326</w:t>
            </w:r>
          </w:p>
        </w:tc>
      </w:tr>
      <w:tr w14:paraId="0DFCE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148A93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820" w:type="pct"/>
            <w:vMerge w:val="continue"/>
            <w:tcBorders>
              <w:tl2br w:val="nil"/>
              <w:tr2bl w:val="nil"/>
            </w:tcBorders>
            <w:shd w:val="clear" w:color="auto" w:fill="auto"/>
            <w:vAlign w:val="bottom"/>
          </w:tcPr>
          <w:p w14:paraId="14B470E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03C5B0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7.5</w:t>
            </w:r>
          </w:p>
        </w:tc>
        <w:tc>
          <w:tcPr>
            <w:tcW w:w="2224" w:type="dxa"/>
            <w:tcBorders>
              <w:tl2br w:val="nil"/>
              <w:tr2bl w:val="nil"/>
            </w:tcBorders>
            <w:shd w:val="clear" w:color="auto" w:fill="auto"/>
            <w:vAlign w:val="bottom"/>
          </w:tcPr>
          <w:p w14:paraId="38AB550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1.2089</w:t>
            </w:r>
          </w:p>
        </w:tc>
        <w:tc>
          <w:tcPr>
            <w:tcW w:w="2309" w:type="dxa"/>
            <w:tcBorders>
              <w:tl2br w:val="nil"/>
              <w:tr2bl w:val="nil"/>
            </w:tcBorders>
            <w:shd w:val="clear" w:color="auto" w:fill="auto"/>
            <w:vAlign w:val="bottom"/>
          </w:tcPr>
          <w:p w14:paraId="1F33EB0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7.4943</w:t>
            </w:r>
          </w:p>
        </w:tc>
      </w:tr>
      <w:tr w14:paraId="2D6EA9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E54D0A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20" w:type="pct"/>
            <w:vMerge w:val="continue"/>
            <w:tcBorders>
              <w:tl2br w:val="nil"/>
              <w:tr2bl w:val="nil"/>
            </w:tcBorders>
            <w:shd w:val="clear" w:color="auto" w:fill="auto"/>
            <w:vAlign w:val="bottom"/>
          </w:tcPr>
          <w:p w14:paraId="7F5FDB5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682D96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8.5</w:t>
            </w:r>
          </w:p>
        </w:tc>
        <w:tc>
          <w:tcPr>
            <w:tcW w:w="2224" w:type="dxa"/>
            <w:tcBorders>
              <w:tl2br w:val="nil"/>
              <w:tr2bl w:val="nil"/>
            </w:tcBorders>
            <w:shd w:val="clear" w:color="auto" w:fill="auto"/>
            <w:vAlign w:val="bottom"/>
          </w:tcPr>
          <w:p w14:paraId="7F38506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1.0811</w:t>
            </w:r>
          </w:p>
        </w:tc>
        <w:tc>
          <w:tcPr>
            <w:tcW w:w="2309" w:type="dxa"/>
            <w:tcBorders>
              <w:tl2br w:val="nil"/>
              <w:tr2bl w:val="nil"/>
            </w:tcBorders>
            <w:shd w:val="clear" w:color="auto" w:fill="auto"/>
            <w:vAlign w:val="bottom"/>
          </w:tcPr>
          <w:p w14:paraId="2600C99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7.1497</w:t>
            </w:r>
          </w:p>
        </w:tc>
      </w:tr>
      <w:tr w14:paraId="572A5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4337361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20" w:type="pct"/>
            <w:vMerge w:val="continue"/>
            <w:tcBorders>
              <w:tl2br w:val="nil"/>
              <w:tr2bl w:val="nil"/>
            </w:tcBorders>
            <w:shd w:val="clear" w:color="auto" w:fill="auto"/>
            <w:vAlign w:val="bottom"/>
          </w:tcPr>
          <w:p w14:paraId="2021C55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6015AA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9.5</w:t>
            </w:r>
          </w:p>
        </w:tc>
        <w:tc>
          <w:tcPr>
            <w:tcW w:w="2224" w:type="dxa"/>
            <w:tcBorders>
              <w:tl2br w:val="nil"/>
              <w:tr2bl w:val="nil"/>
            </w:tcBorders>
            <w:shd w:val="clear" w:color="auto" w:fill="auto"/>
            <w:vAlign w:val="bottom"/>
          </w:tcPr>
          <w:p w14:paraId="0AC587F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0.9579</w:t>
            </w:r>
          </w:p>
        </w:tc>
        <w:tc>
          <w:tcPr>
            <w:tcW w:w="2309" w:type="dxa"/>
            <w:tcBorders>
              <w:tl2br w:val="nil"/>
              <w:tr2bl w:val="nil"/>
            </w:tcBorders>
            <w:shd w:val="clear" w:color="auto" w:fill="auto"/>
            <w:vAlign w:val="bottom"/>
          </w:tcPr>
          <w:p w14:paraId="3A56412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6.805</w:t>
            </w:r>
          </w:p>
        </w:tc>
      </w:tr>
      <w:tr w14:paraId="36953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5F90C1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20" w:type="pct"/>
            <w:vMerge w:val="continue"/>
            <w:tcBorders>
              <w:tl2br w:val="nil"/>
              <w:tr2bl w:val="nil"/>
            </w:tcBorders>
            <w:shd w:val="clear" w:color="auto" w:fill="auto"/>
            <w:vAlign w:val="bottom"/>
          </w:tcPr>
          <w:p w14:paraId="4F250C7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1345468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10.5</w:t>
            </w:r>
          </w:p>
        </w:tc>
        <w:tc>
          <w:tcPr>
            <w:tcW w:w="2224" w:type="dxa"/>
            <w:tcBorders>
              <w:tl2br w:val="nil"/>
              <w:tr2bl w:val="nil"/>
            </w:tcBorders>
            <w:shd w:val="clear" w:color="auto" w:fill="auto"/>
            <w:vAlign w:val="bottom"/>
          </w:tcPr>
          <w:p w14:paraId="5A6AC4E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0.8416</w:t>
            </w:r>
          </w:p>
        </w:tc>
        <w:tc>
          <w:tcPr>
            <w:tcW w:w="2309" w:type="dxa"/>
            <w:tcBorders>
              <w:tl2br w:val="nil"/>
              <w:tr2bl w:val="nil"/>
            </w:tcBorders>
            <w:shd w:val="clear" w:color="auto" w:fill="auto"/>
            <w:vAlign w:val="bottom"/>
          </w:tcPr>
          <w:p w14:paraId="67486D8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6.4654</w:t>
            </w:r>
          </w:p>
        </w:tc>
      </w:tr>
      <w:tr w14:paraId="280CB9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7A513BC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20" w:type="pct"/>
            <w:vMerge w:val="continue"/>
            <w:tcBorders>
              <w:tl2br w:val="nil"/>
              <w:tr2bl w:val="nil"/>
            </w:tcBorders>
            <w:shd w:val="clear" w:color="auto" w:fill="auto"/>
            <w:vAlign w:val="bottom"/>
          </w:tcPr>
          <w:p w14:paraId="03FB6C0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34C3DB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11.5</w:t>
            </w:r>
          </w:p>
        </w:tc>
        <w:tc>
          <w:tcPr>
            <w:tcW w:w="2224" w:type="dxa"/>
            <w:tcBorders>
              <w:tl2br w:val="nil"/>
              <w:tr2bl w:val="nil"/>
            </w:tcBorders>
            <w:shd w:val="clear" w:color="auto" w:fill="auto"/>
            <w:vAlign w:val="bottom"/>
          </w:tcPr>
          <w:p w14:paraId="3A9DAB8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0.7337</w:t>
            </w:r>
          </w:p>
        </w:tc>
        <w:tc>
          <w:tcPr>
            <w:tcW w:w="2309" w:type="dxa"/>
            <w:tcBorders>
              <w:tl2br w:val="nil"/>
              <w:tr2bl w:val="nil"/>
            </w:tcBorders>
            <w:shd w:val="clear" w:color="auto" w:fill="auto"/>
            <w:vAlign w:val="bottom"/>
          </w:tcPr>
          <w:p w14:paraId="676EA68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6.1345</w:t>
            </w:r>
          </w:p>
        </w:tc>
      </w:tr>
      <w:tr w14:paraId="6B60A5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58267EC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20" w:type="pct"/>
            <w:vMerge w:val="continue"/>
            <w:tcBorders>
              <w:tl2br w:val="nil"/>
              <w:tr2bl w:val="nil"/>
            </w:tcBorders>
            <w:shd w:val="clear" w:color="auto" w:fill="auto"/>
            <w:vAlign w:val="bottom"/>
          </w:tcPr>
          <w:p w14:paraId="4B84B07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4D67E5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12.5</w:t>
            </w:r>
          </w:p>
        </w:tc>
        <w:tc>
          <w:tcPr>
            <w:tcW w:w="2224" w:type="dxa"/>
            <w:tcBorders>
              <w:tl2br w:val="nil"/>
              <w:tr2bl w:val="nil"/>
            </w:tcBorders>
            <w:shd w:val="clear" w:color="auto" w:fill="auto"/>
            <w:vAlign w:val="bottom"/>
          </w:tcPr>
          <w:p w14:paraId="247C550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0.6351</w:t>
            </w:r>
          </w:p>
        </w:tc>
        <w:tc>
          <w:tcPr>
            <w:tcW w:w="2309" w:type="dxa"/>
            <w:tcBorders>
              <w:tl2br w:val="nil"/>
              <w:tr2bl w:val="nil"/>
            </w:tcBorders>
            <w:shd w:val="clear" w:color="auto" w:fill="auto"/>
            <w:vAlign w:val="bottom"/>
          </w:tcPr>
          <w:p w14:paraId="65E6E7E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5.815</w:t>
            </w:r>
          </w:p>
        </w:tc>
      </w:tr>
      <w:tr w14:paraId="584B0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08CE0C5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20" w:type="pct"/>
            <w:vMerge w:val="continue"/>
            <w:tcBorders>
              <w:tl2br w:val="nil"/>
              <w:tr2bl w:val="nil"/>
            </w:tcBorders>
            <w:shd w:val="clear" w:color="auto" w:fill="auto"/>
            <w:vAlign w:val="bottom"/>
          </w:tcPr>
          <w:p w14:paraId="3A1C56A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0EB4E6A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13.5</w:t>
            </w:r>
          </w:p>
        </w:tc>
        <w:tc>
          <w:tcPr>
            <w:tcW w:w="2224" w:type="dxa"/>
            <w:tcBorders>
              <w:tl2br w:val="nil"/>
              <w:tr2bl w:val="nil"/>
            </w:tcBorders>
            <w:shd w:val="clear" w:color="auto" w:fill="auto"/>
            <w:vAlign w:val="bottom"/>
          </w:tcPr>
          <w:p w14:paraId="57B84E3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0.5463</w:t>
            </w:r>
          </w:p>
        </w:tc>
        <w:tc>
          <w:tcPr>
            <w:tcW w:w="2309" w:type="dxa"/>
            <w:tcBorders>
              <w:tl2br w:val="nil"/>
              <w:tr2bl w:val="nil"/>
            </w:tcBorders>
            <w:shd w:val="clear" w:color="auto" w:fill="auto"/>
            <w:vAlign w:val="bottom"/>
          </w:tcPr>
          <w:p w14:paraId="0BBAB48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5.5087</w:t>
            </w:r>
          </w:p>
        </w:tc>
      </w:tr>
      <w:tr w14:paraId="0EB11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7B7859C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20" w:type="pct"/>
            <w:vMerge w:val="continue"/>
            <w:tcBorders>
              <w:tl2br w:val="nil"/>
              <w:tr2bl w:val="nil"/>
            </w:tcBorders>
            <w:shd w:val="clear" w:color="auto" w:fill="auto"/>
            <w:vAlign w:val="bottom"/>
          </w:tcPr>
          <w:p w14:paraId="2C8AB66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30AA083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14.5</w:t>
            </w:r>
          </w:p>
        </w:tc>
        <w:tc>
          <w:tcPr>
            <w:tcW w:w="2224" w:type="dxa"/>
            <w:tcBorders>
              <w:tl2br w:val="nil"/>
              <w:tr2bl w:val="nil"/>
            </w:tcBorders>
            <w:shd w:val="clear" w:color="auto" w:fill="auto"/>
            <w:vAlign w:val="bottom"/>
          </w:tcPr>
          <w:p w14:paraId="11A173F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0.4672</w:t>
            </w:r>
          </w:p>
        </w:tc>
        <w:tc>
          <w:tcPr>
            <w:tcW w:w="2309" w:type="dxa"/>
            <w:tcBorders>
              <w:tl2br w:val="nil"/>
              <w:tr2bl w:val="nil"/>
            </w:tcBorders>
            <w:shd w:val="clear" w:color="auto" w:fill="auto"/>
            <w:vAlign w:val="bottom"/>
          </w:tcPr>
          <w:p w14:paraId="53F5706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5.2166</w:t>
            </w:r>
          </w:p>
        </w:tc>
      </w:tr>
      <w:tr w14:paraId="6DF2A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1C2EBC1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820" w:type="pct"/>
            <w:vMerge w:val="continue"/>
            <w:tcBorders>
              <w:tl2br w:val="nil"/>
              <w:tr2bl w:val="nil"/>
            </w:tcBorders>
            <w:shd w:val="clear" w:color="auto" w:fill="auto"/>
            <w:vAlign w:val="bottom"/>
          </w:tcPr>
          <w:p w14:paraId="1E73BA7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2537E0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15.5</w:t>
            </w:r>
          </w:p>
        </w:tc>
        <w:tc>
          <w:tcPr>
            <w:tcW w:w="2224" w:type="dxa"/>
            <w:tcBorders>
              <w:tl2br w:val="nil"/>
              <w:tr2bl w:val="nil"/>
            </w:tcBorders>
            <w:shd w:val="clear" w:color="auto" w:fill="auto"/>
            <w:vAlign w:val="bottom"/>
          </w:tcPr>
          <w:p w14:paraId="69A33FF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0.3978</w:t>
            </w:r>
          </w:p>
        </w:tc>
        <w:tc>
          <w:tcPr>
            <w:tcW w:w="2309" w:type="dxa"/>
            <w:tcBorders>
              <w:tl2br w:val="nil"/>
              <w:tr2bl w:val="nil"/>
            </w:tcBorders>
            <w:shd w:val="clear" w:color="auto" w:fill="auto"/>
            <w:vAlign w:val="bottom"/>
          </w:tcPr>
          <w:p w14:paraId="4A8BF72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4.9394</w:t>
            </w:r>
          </w:p>
        </w:tc>
      </w:tr>
      <w:tr w14:paraId="02BB4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40186AE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820" w:type="pct"/>
            <w:vMerge w:val="continue"/>
            <w:tcBorders>
              <w:tl2br w:val="nil"/>
              <w:tr2bl w:val="nil"/>
            </w:tcBorders>
            <w:shd w:val="clear" w:color="auto" w:fill="auto"/>
            <w:vAlign w:val="bottom"/>
          </w:tcPr>
          <w:p w14:paraId="70F7372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557DF1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16.5</w:t>
            </w:r>
          </w:p>
        </w:tc>
        <w:tc>
          <w:tcPr>
            <w:tcW w:w="2224" w:type="dxa"/>
            <w:tcBorders>
              <w:tl2br w:val="nil"/>
              <w:tr2bl w:val="nil"/>
            </w:tcBorders>
            <w:shd w:val="clear" w:color="auto" w:fill="auto"/>
            <w:vAlign w:val="bottom"/>
          </w:tcPr>
          <w:p w14:paraId="46BCE46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0.3379</w:t>
            </w:r>
          </w:p>
        </w:tc>
        <w:tc>
          <w:tcPr>
            <w:tcW w:w="2309" w:type="dxa"/>
            <w:tcBorders>
              <w:tl2br w:val="nil"/>
              <w:tr2bl w:val="nil"/>
            </w:tcBorders>
            <w:shd w:val="clear" w:color="auto" w:fill="auto"/>
            <w:vAlign w:val="bottom"/>
          </w:tcPr>
          <w:p w14:paraId="3D9551B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4.6772</w:t>
            </w:r>
          </w:p>
        </w:tc>
      </w:tr>
      <w:tr w14:paraId="46F0A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57CC13F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20" w:type="pct"/>
            <w:vMerge w:val="continue"/>
            <w:tcBorders>
              <w:tl2br w:val="nil"/>
              <w:tr2bl w:val="nil"/>
            </w:tcBorders>
            <w:shd w:val="clear" w:color="auto" w:fill="auto"/>
            <w:vAlign w:val="bottom"/>
          </w:tcPr>
          <w:p w14:paraId="4C04446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5C85E81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17.5</w:t>
            </w:r>
          </w:p>
        </w:tc>
        <w:tc>
          <w:tcPr>
            <w:tcW w:w="2224" w:type="dxa"/>
            <w:tcBorders>
              <w:tl2br w:val="nil"/>
              <w:tr2bl w:val="nil"/>
            </w:tcBorders>
            <w:shd w:val="clear" w:color="auto" w:fill="auto"/>
            <w:vAlign w:val="bottom"/>
          </w:tcPr>
          <w:p w14:paraId="551778E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0.287</w:t>
            </w:r>
          </w:p>
        </w:tc>
        <w:tc>
          <w:tcPr>
            <w:tcW w:w="2309" w:type="dxa"/>
            <w:tcBorders>
              <w:tl2br w:val="nil"/>
              <w:tr2bl w:val="nil"/>
            </w:tcBorders>
            <w:shd w:val="clear" w:color="auto" w:fill="auto"/>
            <w:vAlign w:val="bottom"/>
          </w:tcPr>
          <w:p w14:paraId="25B20C8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4.4297</w:t>
            </w:r>
          </w:p>
        </w:tc>
      </w:tr>
      <w:tr w14:paraId="5A242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C021A0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20" w:type="pct"/>
            <w:vMerge w:val="continue"/>
            <w:tcBorders>
              <w:tl2br w:val="nil"/>
              <w:tr2bl w:val="nil"/>
            </w:tcBorders>
            <w:shd w:val="clear" w:color="auto" w:fill="auto"/>
            <w:vAlign w:val="bottom"/>
          </w:tcPr>
          <w:p w14:paraId="2113E1D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479A557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22.5</w:t>
            </w:r>
          </w:p>
        </w:tc>
        <w:tc>
          <w:tcPr>
            <w:tcW w:w="2224" w:type="dxa"/>
            <w:tcBorders>
              <w:tl2br w:val="nil"/>
              <w:tr2bl w:val="nil"/>
            </w:tcBorders>
            <w:shd w:val="clear" w:color="auto" w:fill="auto"/>
            <w:vAlign w:val="bottom"/>
          </w:tcPr>
          <w:p w14:paraId="734575A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0.1557</w:t>
            </w:r>
          </w:p>
        </w:tc>
        <w:tc>
          <w:tcPr>
            <w:tcW w:w="2309" w:type="dxa"/>
            <w:tcBorders>
              <w:tl2br w:val="nil"/>
              <w:tr2bl w:val="nil"/>
            </w:tcBorders>
            <w:shd w:val="clear" w:color="auto" w:fill="auto"/>
            <w:vAlign w:val="bottom"/>
          </w:tcPr>
          <w:p w14:paraId="491980E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3.3974</w:t>
            </w:r>
          </w:p>
        </w:tc>
      </w:tr>
      <w:tr w14:paraId="7C7DD5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5FB7345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20" w:type="pct"/>
            <w:vMerge w:val="continue"/>
            <w:tcBorders>
              <w:tl2br w:val="nil"/>
              <w:tr2bl w:val="nil"/>
            </w:tcBorders>
            <w:shd w:val="clear" w:color="auto" w:fill="auto"/>
            <w:vAlign w:val="bottom"/>
          </w:tcPr>
          <w:p w14:paraId="21EC227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045154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27.5</w:t>
            </w:r>
          </w:p>
        </w:tc>
        <w:tc>
          <w:tcPr>
            <w:tcW w:w="2224" w:type="dxa"/>
            <w:tcBorders>
              <w:tl2br w:val="nil"/>
              <w:tr2bl w:val="nil"/>
            </w:tcBorders>
            <w:shd w:val="clear" w:color="auto" w:fill="auto"/>
            <w:vAlign w:val="bottom"/>
          </w:tcPr>
          <w:p w14:paraId="68216F2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0.1497</w:t>
            </w:r>
          </w:p>
        </w:tc>
        <w:tc>
          <w:tcPr>
            <w:tcW w:w="2309" w:type="dxa"/>
            <w:tcBorders>
              <w:tl2br w:val="nil"/>
              <w:tr2bl w:val="nil"/>
            </w:tcBorders>
            <w:shd w:val="clear" w:color="auto" w:fill="auto"/>
            <w:vAlign w:val="bottom"/>
          </w:tcPr>
          <w:p w14:paraId="4309310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2.6467</w:t>
            </w:r>
          </w:p>
        </w:tc>
      </w:tr>
      <w:tr w14:paraId="78E5D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3FB6C6C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20" w:type="pct"/>
            <w:vMerge w:val="continue"/>
            <w:tcBorders>
              <w:tl2br w:val="nil"/>
              <w:tr2bl w:val="nil"/>
            </w:tcBorders>
            <w:shd w:val="clear" w:color="auto" w:fill="auto"/>
            <w:vAlign w:val="bottom"/>
          </w:tcPr>
          <w:p w14:paraId="14B751B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54C764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32.5</w:t>
            </w:r>
          </w:p>
        </w:tc>
        <w:tc>
          <w:tcPr>
            <w:tcW w:w="2224" w:type="dxa"/>
            <w:tcBorders>
              <w:tl2br w:val="nil"/>
              <w:tr2bl w:val="nil"/>
            </w:tcBorders>
            <w:shd w:val="clear" w:color="auto" w:fill="auto"/>
            <w:vAlign w:val="bottom"/>
          </w:tcPr>
          <w:p w14:paraId="61C2F81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0.1582</w:t>
            </w:r>
          </w:p>
        </w:tc>
        <w:tc>
          <w:tcPr>
            <w:tcW w:w="2309" w:type="dxa"/>
            <w:tcBorders>
              <w:tl2br w:val="nil"/>
              <w:tr2bl w:val="nil"/>
            </w:tcBorders>
            <w:shd w:val="clear" w:color="auto" w:fill="auto"/>
            <w:vAlign w:val="bottom"/>
          </w:tcPr>
          <w:p w14:paraId="4C050A1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2.099</w:t>
            </w:r>
          </w:p>
        </w:tc>
      </w:tr>
      <w:tr w14:paraId="7E6DD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6F40FD5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20" w:type="pct"/>
            <w:vMerge w:val="continue"/>
            <w:tcBorders>
              <w:tl2br w:val="nil"/>
              <w:tr2bl w:val="nil"/>
            </w:tcBorders>
            <w:shd w:val="clear" w:color="auto" w:fill="auto"/>
            <w:vAlign w:val="bottom"/>
          </w:tcPr>
          <w:p w14:paraId="52EF2EB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1470C09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37.5</w:t>
            </w:r>
          </w:p>
        </w:tc>
        <w:tc>
          <w:tcPr>
            <w:tcW w:w="2224" w:type="dxa"/>
            <w:tcBorders>
              <w:tl2br w:val="nil"/>
              <w:tr2bl w:val="nil"/>
            </w:tcBorders>
            <w:shd w:val="clear" w:color="auto" w:fill="auto"/>
            <w:vAlign w:val="bottom"/>
          </w:tcPr>
          <w:p w14:paraId="34B670F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0.1565</w:t>
            </w:r>
          </w:p>
        </w:tc>
        <w:tc>
          <w:tcPr>
            <w:tcW w:w="2309" w:type="dxa"/>
            <w:tcBorders>
              <w:tl2br w:val="nil"/>
              <w:tr2bl w:val="nil"/>
            </w:tcBorders>
            <w:shd w:val="clear" w:color="auto" w:fill="auto"/>
            <w:vAlign w:val="bottom"/>
          </w:tcPr>
          <w:p w14:paraId="79C089C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1.6941</w:t>
            </w:r>
          </w:p>
        </w:tc>
      </w:tr>
      <w:tr w14:paraId="11953F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1E49873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20" w:type="pct"/>
            <w:vMerge w:val="continue"/>
            <w:tcBorders>
              <w:tl2br w:val="nil"/>
              <w:tr2bl w:val="nil"/>
            </w:tcBorders>
            <w:shd w:val="clear" w:color="auto" w:fill="auto"/>
            <w:vAlign w:val="bottom"/>
          </w:tcPr>
          <w:p w14:paraId="3B79D57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692F09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42.5</w:t>
            </w:r>
          </w:p>
        </w:tc>
        <w:tc>
          <w:tcPr>
            <w:tcW w:w="2224" w:type="dxa"/>
            <w:tcBorders>
              <w:tl2br w:val="nil"/>
              <w:tr2bl w:val="nil"/>
            </w:tcBorders>
            <w:shd w:val="clear" w:color="auto" w:fill="auto"/>
            <w:vAlign w:val="bottom"/>
          </w:tcPr>
          <w:p w14:paraId="445AE66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0.1477</w:t>
            </w:r>
          </w:p>
        </w:tc>
        <w:tc>
          <w:tcPr>
            <w:tcW w:w="2309" w:type="dxa"/>
            <w:tcBorders>
              <w:tl2br w:val="nil"/>
              <w:tr2bl w:val="nil"/>
            </w:tcBorders>
            <w:shd w:val="clear" w:color="auto" w:fill="auto"/>
            <w:vAlign w:val="bottom"/>
          </w:tcPr>
          <w:p w14:paraId="3F5B3A4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1.3896</w:t>
            </w:r>
          </w:p>
        </w:tc>
      </w:tr>
      <w:tr w14:paraId="6C6CC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1094AB8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20" w:type="pct"/>
            <w:vMerge w:val="continue"/>
            <w:tcBorders>
              <w:tl2br w:val="nil"/>
              <w:tr2bl w:val="nil"/>
            </w:tcBorders>
            <w:shd w:val="clear" w:color="auto" w:fill="auto"/>
            <w:vAlign w:val="bottom"/>
          </w:tcPr>
          <w:p w14:paraId="01E84DB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7603F5F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47.5</w:t>
            </w:r>
          </w:p>
        </w:tc>
        <w:tc>
          <w:tcPr>
            <w:tcW w:w="2224" w:type="dxa"/>
            <w:tcBorders>
              <w:tl2br w:val="nil"/>
              <w:tr2bl w:val="nil"/>
            </w:tcBorders>
            <w:shd w:val="clear" w:color="auto" w:fill="auto"/>
            <w:vAlign w:val="bottom"/>
          </w:tcPr>
          <w:p w14:paraId="0AF7E6B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0.1358</w:t>
            </w:r>
          </w:p>
        </w:tc>
        <w:tc>
          <w:tcPr>
            <w:tcW w:w="2309" w:type="dxa"/>
            <w:tcBorders>
              <w:tl2br w:val="nil"/>
              <w:tr2bl w:val="nil"/>
            </w:tcBorders>
            <w:shd w:val="clear" w:color="auto" w:fill="auto"/>
            <w:vAlign w:val="bottom"/>
          </w:tcPr>
          <w:p w14:paraId="6891DDF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1.1568</w:t>
            </w:r>
          </w:p>
        </w:tc>
      </w:tr>
      <w:tr w14:paraId="496173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1D0B27B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20" w:type="pct"/>
            <w:vMerge w:val="continue"/>
            <w:tcBorders>
              <w:tl2br w:val="nil"/>
              <w:tr2bl w:val="nil"/>
            </w:tcBorders>
            <w:shd w:val="clear" w:color="auto" w:fill="auto"/>
            <w:vAlign w:val="bottom"/>
          </w:tcPr>
          <w:p w14:paraId="171FB1A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59FED53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52.5</w:t>
            </w:r>
          </w:p>
        </w:tc>
        <w:tc>
          <w:tcPr>
            <w:tcW w:w="2224" w:type="dxa"/>
            <w:tcBorders>
              <w:tl2br w:val="nil"/>
              <w:tr2bl w:val="nil"/>
            </w:tcBorders>
            <w:shd w:val="clear" w:color="auto" w:fill="auto"/>
            <w:vAlign w:val="bottom"/>
          </w:tcPr>
          <w:p w14:paraId="53B68F1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0.1232</w:t>
            </w:r>
          </w:p>
        </w:tc>
        <w:tc>
          <w:tcPr>
            <w:tcW w:w="2309" w:type="dxa"/>
            <w:tcBorders>
              <w:tl2br w:val="nil"/>
              <w:tr2bl w:val="nil"/>
            </w:tcBorders>
            <w:shd w:val="clear" w:color="auto" w:fill="auto"/>
            <w:vAlign w:val="bottom"/>
          </w:tcPr>
          <w:p w14:paraId="3F7CC26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0.9757</w:t>
            </w:r>
          </w:p>
        </w:tc>
      </w:tr>
      <w:tr w14:paraId="30E068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19" w:type="pct"/>
            <w:tcBorders>
              <w:tl2br w:val="nil"/>
              <w:tr2bl w:val="nil"/>
            </w:tcBorders>
            <w:shd w:val="clear" w:color="auto" w:fill="auto"/>
            <w:vAlign w:val="bottom"/>
          </w:tcPr>
          <w:p w14:paraId="1A771CD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20" w:type="pct"/>
            <w:vMerge w:val="continue"/>
            <w:tcBorders>
              <w:tl2br w:val="nil"/>
              <w:tr2bl w:val="nil"/>
            </w:tcBorders>
            <w:shd w:val="clear" w:color="auto" w:fill="auto"/>
            <w:vAlign w:val="bottom"/>
          </w:tcPr>
          <w:p w14:paraId="09377EC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796" w:type="pct"/>
            <w:tcBorders>
              <w:tl2br w:val="nil"/>
              <w:tr2bl w:val="nil"/>
            </w:tcBorders>
            <w:shd w:val="clear" w:color="auto" w:fill="auto"/>
            <w:vAlign w:val="bottom"/>
          </w:tcPr>
          <w:p w14:paraId="71EABB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57.5</w:t>
            </w:r>
          </w:p>
        </w:tc>
        <w:tc>
          <w:tcPr>
            <w:tcW w:w="2224" w:type="dxa"/>
            <w:tcBorders>
              <w:tl2br w:val="nil"/>
              <w:tr2bl w:val="nil"/>
            </w:tcBorders>
            <w:shd w:val="clear" w:color="auto" w:fill="auto"/>
            <w:vAlign w:val="bottom"/>
          </w:tcPr>
          <w:p w14:paraId="539981F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0.111</w:t>
            </w:r>
          </w:p>
        </w:tc>
        <w:tc>
          <w:tcPr>
            <w:tcW w:w="2309" w:type="dxa"/>
            <w:tcBorders>
              <w:tl2br w:val="nil"/>
              <w:tr2bl w:val="nil"/>
            </w:tcBorders>
            <w:shd w:val="clear" w:color="auto" w:fill="auto"/>
            <w:vAlign w:val="bottom"/>
          </w:tcPr>
          <w:p w14:paraId="6D0EDEA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i w:val="0"/>
                <w:iCs w:val="0"/>
                <w:color w:val="auto"/>
                <w:kern w:val="2"/>
                <w:sz w:val="20"/>
                <w:szCs w:val="20"/>
                <w:u w:val="none"/>
                <w:lang w:val="en-US" w:eastAsia="zh-CN" w:bidi="ar-SA"/>
              </w:rPr>
              <w:t>0.8326</w:t>
            </w:r>
          </w:p>
        </w:tc>
      </w:tr>
      <w:tr w14:paraId="3EBF2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6" w:type="pct"/>
            <w:gridSpan w:val="3"/>
            <w:tcBorders>
              <w:tl2br w:val="nil"/>
              <w:tr2bl w:val="nil"/>
            </w:tcBorders>
            <w:shd w:val="clear" w:color="auto" w:fill="auto"/>
            <w:vAlign w:val="bottom"/>
          </w:tcPr>
          <w:p w14:paraId="506CDB83">
            <w:pPr>
              <w:keepNext w:val="0"/>
              <w:keepLines w:val="0"/>
              <w:widowControl/>
              <w:suppressLineNumbers w:val="0"/>
              <w:jc w:val="center"/>
              <w:textAlignment w:val="bottom"/>
              <w:rPr>
                <w:rFonts w:hint="default" w:ascii="Times New Roman" w:hAnsi="Times New Roman" w:cs="Times New Roman"/>
                <w:b/>
                <w:bCs/>
                <w:i w:val="0"/>
                <w:iCs w:val="0"/>
                <w:color w:val="auto"/>
                <w:kern w:val="0"/>
                <w:sz w:val="20"/>
                <w:szCs w:val="20"/>
                <w:u w:val="none"/>
                <w:lang w:val="en-US" w:eastAsia="zh-CN" w:bidi="ar"/>
              </w:rPr>
            </w:pPr>
            <w:r>
              <w:rPr>
                <w:rFonts w:hint="default" w:ascii="Times New Roman" w:hAnsi="Times New Roman" w:cs="Times New Roman"/>
                <w:b/>
                <w:bCs/>
                <w:i w:val="0"/>
                <w:iCs w:val="0"/>
                <w:color w:val="auto"/>
                <w:kern w:val="0"/>
                <w:sz w:val="20"/>
                <w:szCs w:val="20"/>
                <w:u w:val="none"/>
                <w:lang w:val="en-US" w:eastAsia="zh-CN" w:bidi="ar"/>
              </w:rPr>
              <w:t>电磁环境预测最大值</w:t>
            </w:r>
          </w:p>
        </w:tc>
        <w:tc>
          <w:tcPr>
            <w:tcW w:w="2224" w:type="dxa"/>
            <w:tcBorders>
              <w:tl2br w:val="nil"/>
              <w:tr2bl w:val="nil"/>
            </w:tcBorders>
            <w:shd w:val="clear" w:color="auto" w:fill="auto"/>
            <w:vAlign w:val="bottom"/>
          </w:tcPr>
          <w:p w14:paraId="1169EBB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1.8971</w:t>
            </w:r>
          </w:p>
        </w:tc>
        <w:tc>
          <w:tcPr>
            <w:tcW w:w="2309" w:type="dxa"/>
            <w:tcBorders>
              <w:tl2br w:val="nil"/>
              <w:tr2bl w:val="nil"/>
            </w:tcBorders>
            <w:shd w:val="clear" w:color="auto" w:fill="auto"/>
            <w:vAlign w:val="bottom"/>
          </w:tcPr>
          <w:p w14:paraId="6A6277E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eastAsia" w:ascii="Times New Roman" w:hAnsi="Times New Roman" w:eastAsia="宋体" w:cs="Times New Roman"/>
                <w:b/>
                <w:bCs/>
                <w:i w:val="0"/>
                <w:iCs w:val="0"/>
                <w:color w:val="auto"/>
                <w:kern w:val="2"/>
                <w:sz w:val="20"/>
                <w:szCs w:val="20"/>
                <w:u w:val="none"/>
                <w:lang w:val="en-US" w:eastAsia="zh-CN" w:bidi="ar-SA"/>
              </w:rPr>
              <w:t>9.286</w:t>
            </w:r>
          </w:p>
        </w:tc>
      </w:tr>
    </w:tbl>
    <w:p w14:paraId="25FE05C4">
      <w:pPr>
        <w:pStyle w:val="2"/>
        <w:adjustRightInd w:val="0"/>
        <w:snapToGrid w:val="0"/>
        <w:spacing w:after="0"/>
        <w:jc w:val="center"/>
        <w:rPr>
          <w:rFonts w:hint="eastAsia" w:eastAsia="宋体"/>
          <w:b/>
          <w:color w:val="auto"/>
          <w:sz w:val="24"/>
          <w:highlight w:val="none"/>
          <w:lang w:eastAsia="zh-CN"/>
        </w:rPr>
      </w:pPr>
    </w:p>
    <w:p w14:paraId="74A47B1C">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06415" cy="2725420"/>
            <wp:effectExtent l="0" t="0" r="13335" b="17780"/>
            <wp:docPr id="67" name="图片 67" descr="工频电场图 双回14.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工频电场图 双回14.5m 单边挂线"/>
                    <pic:cNvPicPr>
                      <a:picLocks noChangeAspect="1"/>
                    </pic:cNvPicPr>
                  </pic:nvPicPr>
                  <pic:blipFill>
                    <a:blip r:embed="rId78"/>
                    <a:stretch>
                      <a:fillRect/>
                    </a:stretch>
                  </pic:blipFill>
                  <pic:spPr>
                    <a:xfrm>
                      <a:off x="0" y="0"/>
                      <a:ext cx="5606415" cy="2725420"/>
                    </a:xfrm>
                    <a:prstGeom prst="rect">
                      <a:avLst/>
                    </a:prstGeom>
                  </pic:spPr>
                </pic:pic>
              </a:graphicData>
            </a:graphic>
          </wp:inline>
        </w:drawing>
      </w:r>
    </w:p>
    <w:p w14:paraId="7135AF5D">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13</w:t>
      </w:r>
      <w:r>
        <w:rPr>
          <w:b/>
          <w:color w:val="auto"/>
          <w:sz w:val="24"/>
          <w:highlight w:val="none"/>
        </w:rPr>
        <w:t xml:space="preserve">  工频电场强度分布图</w:t>
      </w:r>
    </w:p>
    <w:p w14:paraId="523F2ED2">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11495" cy="3350260"/>
            <wp:effectExtent l="0" t="0" r="8255" b="2540"/>
            <wp:docPr id="70" name="图片 70" descr="电场等值线图 双回14.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电场等值线图 双回14.5m 单边挂线"/>
                    <pic:cNvPicPr>
                      <a:picLocks noChangeAspect="1"/>
                    </pic:cNvPicPr>
                  </pic:nvPicPr>
                  <pic:blipFill>
                    <a:blip r:embed="rId79"/>
                    <a:stretch>
                      <a:fillRect/>
                    </a:stretch>
                  </pic:blipFill>
                  <pic:spPr>
                    <a:xfrm>
                      <a:off x="0" y="0"/>
                      <a:ext cx="5611495" cy="3350260"/>
                    </a:xfrm>
                    <a:prstGeom prst="rect">
                      <a:avLst/>
                    </a:prstGeom>
                  </pic:spPr>
                </pic:pic>
              </a:graphicData>
            </a:graphic>
          </wp:inline>
        </w:drawing>
      </w:r>
    </w:p>
    <w:p w14:paraId="537135F8">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14</w:t>
      </w:r>
      <w:r>
        <w:rPr>
          <w:b/>
          <w:color w:val="auto"/>
          <w:sz w:val="24"/>
          <w:highlight w:val="none"/>
        </w:rPr>
        <w:t xml:space="preserve">  工频电场强度</w:t>
      </w:r>
      <w:r>
        <w:rPr>
          <w:rFonts w:hint="eastAsia" w:ascii="Times New Roman" w:hAnsi="Times New Roman" w:cs="Times New Roman"/>
          <w:b/>
          <w:color w:val="auto"/>
          <w:sz w:val="24"/>
          <w:highlight w:val="none"/>
        </w:rPr>
        <w:t>等值线图</w:t>
      </w:r>
    </w:p>
    <w:p w14:paraId="7EBB6824">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06415" cy="2725420"/>
            <wp:effectExtent l="0" t="0" r="13335" b="17780"/>
            <wp:docPr id="68" name="图片 68" descr="工频磁场图 双回14.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工频磁场图 双回14.5m 单边挂线"/>
                    <pic:cNvPicPr>
                      <a:picLocks noChangeAspect="1"/>
                    </pic:cNvPicPr>
                  </pic:nvPicPr>
                  <pic:blipFill>
                    <a:blip r:embed="rId80"/>
                    <a:stretch>
                      <a:fillRect/>
                    </a:stretch>
                  </pic:blipFill>
                  <pic:spPr>
                    <a:xfrm>
                      <a:off x="0" y="0"/>
                      <a:ext cx="5606415" cy="2725420"/>
                    </a:xfrm>
                    <a:prstGeom prst="rect">
                      <a:avLst/>
                    </a:prstGeom>
                  </pic:spPr>
                </pic:pic>
              </a:graphicData>
            </a:graphic>
          </wp:inline>
        </w:drawing>
      </w:r>
    </w:p>
    <w:p w14:paraId="52BCEDEC">
      <w:pPr>
        <w:pStyle w:val="2"/>
        <w:adjustRightInd w:val="0"/>
        <w:snapToGrid w:val="0"/>
        <w:spacing w:after="0"/>
        <w:jc w:val="center"/>
        <w:rPr>
          <w:b/>
          <w:color w:val="auto"/>
          <w:sz w:val="24"/>
          <w:highlight w:val="none"/>
        </w:rPr>
      </w:pPr>
      <w:r>
        <w:rPr>
          <w:b/>
          <w:color w:val="auto"/>
          <w:sz w:val="24"/>
          <w:highlight w:val="none"/>
        </w:rPr>
        <w:t>图5-</w:t>
      </w:r>
      <w:r>
        <w:rPr>
          <w:rFonts w:hint="eastAsia"/>
          <w:b/>
          <w:color w:val="auto"/>
          <w:sz w:val="24"/>
          <w:highlight w:val="none"/>
          <w:lang w:val="en-US" w:eastAsia="zh-CN"/>
        </w:rPr>
        <w:t>15</w:t>
      </w:r>
      <w:r>
        <w:rPr>
          <w:b/>
          <w:color w:val="auto"/>
          <w:sz w:val="24"/>
          <w:highlight w:val="none"/>
        </w:rPr>
        <w:t xml:space="preserve">  工频磁感应强度分布图</w:t>
      </w:r>
    </w:p>
    <w:p w14:paraId="0A6B3E8B">
      <w:pPr>
        <w:pStyle w:val="2"/>
        <w:adjustRightInd w:val="0"/>
        <w:snapToGrid w:val="0"/>
        <w:spacing w:after="0"/>
        <w:jc w:val="center"/>
        <w:rPr>
          <w:rFonts w:hint="eastAsia" w:eastAsia="宋体"/>
          <w:b/>
          <w:color w:val="auto"/>
          <w:sz w:val="24"/>
          <w:highlight w:val="none"/>
          <w:lang w:eastAsia="zh-CN"/>
        </w:rPr>
      </w:pPr>
      <w:r>
        <w:rPr>
          <w:rFonts w:hint="eastAsia" w:eastAsia="宋体"/>
          <w:b/>
          <w:color w:val="auto"/>
          <w:sz w:val="24"/>
          <w:highlight w:val="none"/>
          <w:lang w:eastAsia="zh-CN"/>
        </w:rPr>
        <w:drawing>
          <wp:inline distT="0" distB="0" distL="114300" distR="114300">
            <wp:extent cx="5611495" cy="3350260"/>
            <wp:effectExtent l="0" t="0" r="8255" b="2540"/>
            <wp:docPr id="69" name="图片 69" descr="磁场等值线图 双回14.5m 单边挂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磁场等值线图 双回14.5m 单边挂线"/>
                    <pic:cNvPicPr>
                      <a:picLocks noChangeAspect="1"/>
                    </pic:cNvPicPr>
                  </pic:nvPicPr>
                  <pic:blipFill>
                    <a:blip r:embed="rId81"/>
                    <a:stretch>
                      <a:fillRect/>
                    </a:stretch>
                  </pic:blipFill>
                  <pic:spPr>
                    <a:xfrm>
                      <a:off x="0" y="0"/>
                      <a:ext cx="5611495" cy="3350260"/>
                    </a:xfrm>
                    <a:prstGeom prst="rect">
                      <a:avLst/>
                    </a:prstGeom>
                  </pic:spPr>
                </pic:pic>
              </a:graphicData>
            </a:graphic>
          </wp:inline>
        </w:drawing>
      </w:r>
    </w:p>
    <w:p w14:paraId="110F89CD">
      <w:pPr>
        <w:pStyle w:val="2"/>
        <w:adjustRightInd w:val="0"/>
        <w:snapToGrid w:val="0"/>
        <w:spacing w:after="0"/>
        <w:jc w:val="center"/>
        <w:rPr>
          <w:rFonts w:hint="eastAsia"/>
          <w:b/>
          <w:color w:val="auto"/>
          <w:sz w:val="24"/>
          <w:highlight w:val="none"/>
          <w:lang w:val="en-US" w:eastAsia="zh-CN"/>
        </w:rPr>
      </w:pPr>
      <w:r>
        <w:rPr>
          <w:b/>
          <w:color w:val="auto"/>
          <w:sz w:val="24"/>
          <w:highlight w:val="none"/>
        </w:rPr>
        <w:t>图5-</w:t>
      </w:r>
      <w:r>
        <w:rPr>
          <w:rFonts w:hint="eastAsia"/>
          <w:b/>
          <w:color w:val="auto"/>
          <w:sz w:val="24"/>
          <w:highlight w:val="none"/>
          <w:lang w:val="en-US" w:eastAsia="zh-CN"/>
        </w:rPr>
        <w:t>16</w:t>
      </w:r>
      <w:r>
        <w:rPr>
          <w:b/>
          <w:color w:val="auto"/>
          <w:sz w:val="24"/>
          <w:highlight w:val="none"/>
        </w:rPr>
        <w:t xml:space="preserve">  工频磁感应强度</w:t>
      </w:r>
      <w:r>
        <w:rPr>
          <w:rFonts w:hint="eastAsia"/>
          <w:b/>
          <w:color w:val="auto"/>
          <w:sz w:val="24"/>
          <w:highlight w:val="none"/>
          <w:lang w:val="en-US" w:eastAsia="zh-CN"/>
        </w:rPr>
        <w:t>等值线图</w:t>
      </w:r>
    </w:p>
    <w:p w14:paraId="3420A527">
      <w:pPr>
        <w:pStyle w:val="2"/>
        <w:spacing w:after="0" w:line="360" w:lineRule="auto"/>
        <w:ind w:firstLine="456" w:firstLineChars="200"/>
        <w:rPr>
          <w:bCs/>
          <w:color w:val="auto"/>
          <w:spacing w:val="-6"/>
          <w:sz w:val="24"/>
          <w:highlight w:val="none"/>
        </w:rPr>
      </w:pPr>
      <w:r>
        <w:rPr>
          <w:bCs/>
          <w:color w:val="auto"/>
          <w:spacing w:val="-6"/>
          <w:sz w:val="24"/>
          <w:highlight w:val="none"/>
        </w:rPr>
        <w:t>当按照非居民区导线</w:t>
      </w:r>
      <w:r>
        <w:rPr>
          <w:rFonts w:hint="eastAsia"/>
          <w:bCs/>
          <w:color w:val="auto"/>
          <w:spacing w:val="-6"/>
          <w:sz w:val="24"/>
          <w:highlight w:val="none"/>
          <w:lang w:val="en-US" w:eastAsia="zh-CN"/>
        </w:rPr>
        <w:t>设计</w:t>
      </w:r>
      <w:r>
        <w:rPr>
          <w:bCs/>
          <w:color w:val="auto"/>
          <w:spacing w:val="-6"/>
          <w:sz w:val="24"/>
          <w:highlight w:val="none"/>
        </w:rPr>
        <w:t>最小对地高度为</w:t>
      </w:r>
      <w:r>
        <w:rPr>
          <w:rFonts w:hint="eastAsia"/>
          <w:bCs/>
          <w:color w:val="auto"/>
          <w:spacing w:val="-6"/>
          <w:sz w:val="24"/>
          <w:highlight w:val="none"/>
          <w:lang w:val="en-US" w:eastAsia="zh-CN"/>
        </w:rPr>
        <w:t>14.5</w:t>
      </w:r>
      <w:r>
        <w:rPr>
          <w:bCs/>
          <w:color w:val="auto"/>
          <w:spacing w:val="-6"/>
          <w:sz w:val="24"/>
          <w:highlight w:val="none"/>
        </w:rPr>
        <w:t>m、距地面1.5m的设计要求架设线路时，</w:t>
      </w:r>
      <w:r>
        <w:rPr>
          <w:rFonts w:hint="eastAsia"/>
          <w:bCs/>
          <w:color w:val="auto"/>
          <w:spacing w:val="-6"/>
          <w:sz w:val="24"/>
          <w:highlight w:val="none"/>
        </w:rPr>
        <w:t>本项目220kV双设单挂架设</w:t>
      </w:r>
      <w:r>
        <w:rPr>
          <w:bCs/>
          <w:color w:val="auto"/>
          <w:spacing w:val="-6"/>
          <w:sz w:val="24"/>
          <w:highlight w:val="none"/>
        </w:rPr>
        <w:t>线路产生的工频电场强度最大值出现在距离线路中心-8m处，为</w:t>
      </w:r>
      <w:r>
        <w:rPr>
          <w:rFonts w:hint="eastAsia"/>
          <w:bCs/>
          <w:color w:val="auto"/>
          <w:spacing w:val="-6"/>
          <w:sz w:val="24"/>
          <w:highlight w:val="none"/>
          <w:lang w:val="en-US" w:eastAsia="zh-CN"/>
        </w:rPr>
        <w:t>1.8971</w:t>
      </w:r>
      <w:r>
        <w:rPr>
          <w:bCs/>
          <w:color w:val="auto"/>
          <w:spacing w:val="-6"/>
          <w:sz w:val="24"/>
          <w:highlight w:val="none"/>
        </w:rPr>
        <w:t>kV/m；工频磁感应强度最大值出现在距离线路中心-8处，为</w:t>
      </w:r>
      <w:r>
        <w:rPr>
          <w:rFonts w:hint="eastAsia"/>
          <w:bCs/>
          <w:color w:val="auto"/>
          <w:spacing w:val="-6"/>
          <w:sz w:val="24"/>
          <w:highlight w:val="none"/>
          <w:lang w:val="en-US" w:eastAsia="zh-CN"/>
        </w:rPr>
        <w:t>9.286</w:t>
      </w:r>
      <w:r>
        <w:rPr>
          <w:bCs/>
          <w:color w:val="auto"/>
          <w:spacing w:val="-6"/>
          <w:sz w:val="24"/>
          <w:highlight w:val="none"/>
        </w:rPr>
        <w:t>μT。预测结果满足《电磁环境控制限值》（GB8702-2014）中</w:t>
      </w:r>
      <w:r>
        <w:rPr>
          <w:rFonts w:hint="eastAsia"/>
          <w:bCs/>
          <w:color w:val="auto"/>
          <w:spacing w:val="-6"/>
          <w:sz w:val="24"/>
          <w:highlight w:val="none"/>
          <w:lang w:eastAsia="zh-CN"/>
        </w:rPr>
        <w:t>其他地区</w:t>
      </w:r>
      <w:r>
        <w:rPr>
          <w:bCs/>
          <w:color w:val="auto"/>
          <w:spacing w:val="-6"/>
          <w:sz w:val="24"/>
          <w:highlight w:val="none"/>
        </w:rPr>
        <w:t>工频电场强度10kV/m的标准要求。</w:t>
      </w:r>
    </w:p>
    <w:p w14:paraId="246591EC">
      <w:pPr>
        <w:pStyle w:val="5"/>
        <w:adjustRightInd w:val="0"/>
        <w:snapToGrid w:val="0"/>
        <w:spacing w:line="440" w:lineRule="exact"/>
        <w:ind w:firstLine="482" w:firstLineChars="200"/>
        <w:rPr>
          <w:rFonts w:hint="eastAsia" w:ascii="Times New Roman" w:hAnsi="Times New Roman" w:cs="Times New Roman"/>
          <w:color w:val="auto"/>
          <w:highlight w:val="none"/>
        </w:rPr>
      </w:pPr>
      <w:r>
        <w:rPr>
          <w:rFonts w:ascii="Times New Roman" w:hAnsi="Times New Roman" w:cs="Times New Roman"/>
          <w:color w:val="auto"/>
          <w:highlight w:val="none"/>
        </w:rPr>
        <w:t>5.1.4居民区预测与分析</w:t>
      </w:r>
      <w:bookmarkEnd w:id="172"/>
      <w:bookmarkEnd w:id="173"/>
    </w:p>
    <w:p w14:paraId="709EF66F">
      <w:pPr>
        <w:pStyle w:val="2"/>
        <w:keepNext w:val="0"/>
        <w:keepLines w:val="0"/>
        <w:pageBreakBefore w:val="0"/>
        <w:widowControl w:val="0"/>
        <w:kinsoku/>
        <w:wordWrap/>
        <w:overflowPunct/>
        <w:topLinePunct w:val="0"/>
        <w:autoSpaceDE/>
        <w:autoSpaceDN/>
        <w:bidi w:val="0"/>
        <w:adjustRightInd w:val="0"/>
        <w:snapToGrid w:val="0"/>
        <w:spacing w:after="0" w:line="440" w:lineRule="exact"/>
        <w:ind w:firstLine="482" w:firstLineChars="200"/>
        <w:textAlignment w:val="auto"/>
        <w:rPr>
          <w:b/>
          <w:bCs/>
          <w:color w:val="auto"/>
          <w:spacing w:val="-6"/>
          <w:sz w:val="24"/>
        </w:rPr>
      </w:pPr>
      <w:r>
        <w:rPr>
          <w:rFonts w:hint="default" w:ascii="Times New Roman" w:hAnsi="Times New Roman" w:cs="Times New Roman"/>
          <w:b/>
          <w:bCs/>
          <w:color w:val="auto"/>
          <w:sz w:val="24"/>
          <w:lang w:val="en-US" w:eastAsia="zh-CN"/>
        </w:rPr>
        <w:t>①</w:t>
      </w:r>
      <w:r>
        <w:rPr>
          <w:rFonts w:hint="eastAsia" w:cs="Times New Roman"/>
          <w:b/>
          <w:bCs/>
          <w:color w:val="auto"/>
          <w:sz w:val="24"/>
          <w:lang w:val="en-US" w:eastAsia="zh-CN"/>
        </w:rPr>
        <w:t>三角排列</w:t>
      </w:r>
      <w:r>
        <w:rPr>
          <w:rFonts w:hint="eastAsia" w:ascii="Times New Roman" w:hAnsi="Times New Roman" w:cs="Times New Roman"/>
          <w:b/>
          <w:bCs/>
          <w:color w:val="auto"/>
          <w:sz w:val="24"/>
        </w:rPr>
        <w:t>架设</w:t>
      </w:r>
      <w:r>
        <w:rPr>
          <w:b/>
          <w:bCs/>
          <w:color w:val="auto"/>
          <w:spacing w:val="-6"/>
          <w:sz w:val="24"/>
        </w:rPr>
        <w:t>电磁环境预测</w:t>
      </w:r>
    </w:p>
    <w:p w14:paraId="42A2F62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项目220kV</w:t>
      </w:r>
      <w:r>
        <w:rPr>
          <w:rFonts w:ascii="Times New Roman" w:hAnsi="Times New Roman" w:cs="Times New Roman"/>
          <w:color w:val="auto"/>
          <w:sz w:val="24"/>
          <w:highlight w:val="none"/>
        </w:rPr>
        <w:t>单回路</w:t>
      </w:r>
      <w:r>
        <w:rPr>
          <w:rFonts w:hint="eastAsia"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三角排列</w:t>
      </w:r>
      <w:r>
        <w:rPr>
          <w:rFonts w:hint="eastAsia" w:ascii="Times New Roman" w:hAnsi="Times New Roman" w:cs="Times New Roman"/>
          <w:color w:val="auto"/>
          <w:sz w:val="24"/>
          <w:highlight w:val="none"/>
        </w:rPr>
        <w:t>居民区</w:t>
      </w:r>
      <w:r>
        <w:rPr>
          <w:rFonts w:ascii="Times New Roman" w:hAnsi="Times New Roman" w:cs="Times New Roman"/>
          <w:color w:val="auto"/>
          <w:sz w:val="24"/>
          <w:highlight w:val="none"/>
        </w:rPr>
        <w:t>工频电场强度、工频磁感应强度预测结果见表5-</w:t>
      </w:r>
      <w:r>
        <w:rPr>
          <w:rFonts w:hint="eastAsia" w:ascii="Times New Roman" w:hAnsi="Times New Roman" w:cs="Times New Roman"/>
          <w:color w:val="auto"/>
          <w:sz w:val="24"/>
          <w:highlight w:val="none"/>
          <w:lang w:val="en-US" w:eastAsia="zh-CN"/>
        </w:rPr>
        <w:t>5</w:t>
      </w:r>
      <w:r>
        <w:rPr>
          <w:rFonts w:hint="eastAsia" w:ascii="Times New Roman" w:hAnsi="Times New Roman" w:cs="Times New Roman"/>
          <w:color w:val="auto"/>
          <w:sz w:val="24"/>
          <w:highlight w:val="none"/>
        </w:rPr>
        <w:t>、表5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6</w:t>
      </w:r>
      <w:r>
        <w:rPr>
          <w:rFonts w:ascii="Times New Roman" w:hAnsi="Times New Roman" w:cs="Times New Roman"/>
          <w:color w:val="auto"/>
          <w:sz w:val="24"/>
          <w:highlight w:val="none"/>
        </w:rPr>
        <w:t>。</w:t>
      </w:r>
    </w:p>
    <w:p w14:paraId="39E7BBB6">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
          <w:bCs/>
          <w:color w:val="auto"/>
          <w:spacing w:val="-6"/>
          <w:sz w:val="24"/>
          <w:highlight w:val="none"/>
        </w:rPr>
      </w:pPr>
      <w:r>
        <w:rPr>
          <w:rFonts w:ascii="Times New Roman" w:hAnsi="Times New Roman" w:cs="Times New Roman"/>
          <w:b/>
          <w:bCs/>
          <w:color w:val="auto"/>
          <w:spacing w:val="-6"/>
          <w:sz w:val="24"/>
          <w:highlight w:val="none"/>
        </w:rPr>
        <w:t>表5-</w:t>
      </w:r>
      <w:r>
        <w:rPr>
          <w:rFonts w:hint="eastAsia" w:cs="Times New Roman"/>
          <w:b/>
          <w:bCs/>
          <w:color w:val="auto"/>
          <w:spacing w:val="-6"/>
          <w:sz w:val="24"/>
          <w:highlight w:val="none"/>
          <w:lang w:val="en-US" w:eastAsia="zh-CN"/>
        </w:rPr>
        <w:t>5</w:t>
      </w:r>
      <w:r>
        <w:rPr>
          <w:rFonts w:ascii="Times New Roman" w:hAnsi="Times New Roman" w:cs="Times New Roman"/>
          <w:b/>
          <w:bCs/>
          <w:color w:val="auto"/>
          <w:spacing w:val="-6"/>
          <w:sz w:val="24"/>
          <w:highlight w:val="none"/>
        </w:rPr>
        <w:t xml:space="preserve">  </w:t>
      </w:r>
      <w:r>
        <w:rPr>
          <w:rFonts w:hint="eastAsia" w:ascii="Times New Roman" w:hAnsi="Times New Roman" w:cs="Times New Roman"/>
          <w:b/>
          <w:bCs/>
          <w:color w:val="auto"/>
          <w:spacing w:val="-6"/>
          <w:sz w:val="24"/>
          <w:highlight w:val="none"/>
        </w:rPr>
        <w:t>220kV单回路</w:t>
      </w:r>
      <w:r>
        <w:rPr>
          <w:rFonts w:hint="eastAsia" w:cs="Times New Roman"/>
          <w:b/>
          <w:bCs/>
          <w:color w:val="auto"/>
          <w:spacing w:val="-6"/>
          <w:sz w:val="24"/>
          <w:highlight w:val="none"/>
          <w:lang w:val="en-US" w:eastAsia="zh-CN"/>
        </w:rPr>
        <w:t>三角排列</w:t>
      </w:r>
      <w:r>
        <w:rPr>
          <w:rFonts w:hint="eastAsia" w:ascii="Times New Roman" w:hAnsi="Times New Roman" w:cs="Times New Roman"/>
          <w:b/>
          <w:bCs/>
          <w:color w:val="auto"/>
          <w:spacing w:val="-6"/>
          <w:sz w:val="24"/>
          <w:highlight w:val="none"/>
        </w:rPr>
        <w:t>架设</w:t>
      </w:r>
      <w:r>
        <w:rPr>
          <w:rFonts w:cs="Times New Roman"/>
          <w:b/>
          <w:color w:val="auto"/>
          <w:sz w:val="24"/>
          <w:highlight w:val="none"/>
        </w:rPr>
        <w:t>工频电场</w:t>
      </w:r>
      <w:r>
        <w:rPr>
          <w:rFonts w:cs="Times New Roman"/>
          <w:b/>
          <w:color w:val="auto"/>
          <w:sz w:val="24"/>
          <w:highlight w:val="none"/>
          <w:lang w:eastAsia="zh-Hans"/>
        </w:rPr>
        <w:t>强度</w:t>
      </w:r>
      <w:r>
        <w:rPr>
          <w:rFonts w:cs="Times New Roman"/>
          <w:b/>
          <w:color w:val="auto"/>
          <w:sz w:val="24"/>
          <w:highlight w:val="none"/>
        </w:rPr>
        <w:t>预测结果</w:t>
      </w:r>
      <w:r>
        <w:rPr>
          <w:rFonts w:hint="eastAsia" w:cs="Times New Roman"/>
          <w:b/>
          <w:color w:val="auto"/>
          <w:sz w:val="24"/>
          <w:highlight w:val="none"/>
        </w:rPr>
        <w:t xml:space="preserve"> </w:t>
      </w:r>
      <w:r>
        <w:rPr>
          <w:rFonts w:cs="Times New Roman"/>
          <w:b/>
          <w:color w:val="auto"/>
          <w:sz w:val="24"/>
          <w:highlight w:val="none"/>
        </w:rPr>
        <w:t xml:space="preserve"> </w:t>
      </w:r>
      <w:r>
        <w:rPr>
          <w:b/>
          <w:color w:val="auto"/>
          <w:sz w:val="24"/>
          <w:highlight w:val="none"/>
        </w:rPr>
        <w:t>单位：</w:t>
      </w:r>
      <w:r>
        <w:rPr>
          <w:rFonts w:hint="eastAsia"/>
          <w:b/>
          <w:color w:val="auto"/>
          <w:sz w:val="24"/>
          <w:highlight w:val="none"/>
        </w:rPr>
        <w:t>k</w:t>
      </w:r>
      <w:r>
        <w:rPr>
          <w:b/>
          <w:color w:val="auto"/>
          <w:sz w:val="24"/>
          <w:highlight w:val="none"/>
        </w:rPr>
        <w:t>V/m</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1520"/>
        <w:gridCol w:w="1940"/>
        <w:gridCol w:w="2259"/>
        <w:gridCol w:w="1886"/>
      </w:tblGrid>
      <w:tr w14:paraId="2E2614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vMerge w:val="restart"/>
            <w:tcBorders>
              <w:tl2br w:val="nil"/>
              <w:tr2bl w:val="nil"/>
            </w:tcBorders>
            <w:vAlign w:val="center"/>
          </w:tcPr>
          <w:p w14:paraId="316107DA">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距线路中心距离（m）</w:t>
            </w:r>
          </w:p>
        </w:tc>
        <w:tc>
          <w:tcPr>
            <w:tcW w:w="1910" w:type="pct"/>
            <w:gridSpan w:val="2"/>
            <w:vMerge w:val="restart"/>
            <w:tcBorders>
              <w:tl2br w:val="nil"/>
              <w:tr2bl w:val="nil"/>
            </w:tcBorders>
            <w:vAlign w:val="center"/>
          </w:tcPr>
          <w:p w14:paraId="4E034C9B">
            <w:pPr>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距边导线距离（m）</w:t>
            </w:r>
          </w:p>
        </w:tc>
        <w:tc>
          <w:tcPr>
            <w:tcW w:w="2288" w:type="pct"/>
            <w:gridSpan w:val="2"/>
            <w:tcBorders>
              <w:tl2br w:val="nil"/>
              <w:tr2bl w:val="nil"/>
            </w:tcBorders>
            <w:vAlign w:val="center"/>
          </w:tcPr>
          <w:p w14:paraId="3C993A60">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导线高度（m），离地1.5m处</w:t>
            </w:r>
          </w:p>
        </w:tc>
      </w:tr>
      <w:tr w14:paraId="28A74F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vMerge w:val="continue"/>
            <w:tcBorders>
              <w:tl2br w:val="nil"/>
              <w:tr2bl w:val="nil"/>
            </w:tcBorders>
            <w:vAlign w:val="center"/>
          </w:tcPr>
          <w:p w14:paraId="11740B8D">
            <w:pPr>
              <w:adjustRightInd w:val="0"/>
              <w:snapToGrid w:val="0"/>
              <w:jc w:val="center"/>
              <w:rPr>
                <w:rFonts w:hint="default" w:ascii="Times New Roman" w:hAnsi="Times New Roman" w:cs="Times New Roman"/>
                <w:b/>
                <w:bCs/>
                <w:color w:val="auto"/>
                <w:szCs w:val="21"/>
                <w:highlight w:val="none"/>
              </w:rPr>
            </w:pPr>
          </w:p>
        </w:tc>
        <w:tc>
          <w:tcPr>
            <w:tcW w:w="1910" w:type="pct"/>
            <w:gridSpan w:val="2"/>
            <w:vMerge w:val="continue"/>
            <w:tcBorders>
              <w:tl2br w:val="nil"/>
              <w:tr2bl w:val="nil"/>
            </w:tcBorders>
            <w:vAlign w:val="center"/>
          </w:tcPr>
          <w:p w14:paraId="428F5D74">
            <w:pPr>
              <w:adjustRightInd w:val="0"/>
              <w:snapToGrid w:val="0"/>
              <w:jc w:val="center"/>
              <w:rPr>
                <w:rFonts w:hint="default" w:ascii="Times New Roman" w:hAnsi="Times New Roman" w:cs="Times New Roman"/>
                <w:b/>
                <w:bCs/>
                <w:color w:val="auto"/>
                <w:szCs w:val="21"/>
                <w:highlight w:val="none"/>
              </w:rPr>
            </w:pPr>
          </w:p>
        </w:tc>
        <w:tc>
          <w:tcPr>
            <w:tcW w:w="1247" w:type="pct"/>
            <w:tcBorders>
              <w:tl2br w:val="nil"/>
              <w:tr2bl w:val="nil"/>
            </w:tcBorders>
            <w:vAlign w:val="center"/>
          </w:tcPr>
          <w:p w14:paraId="66D7BE8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7.5m</w:t>
            </w:r>
          </w:p>
        </w:tc>
        <w:tc>
          <w:tcPr>
            <w:tcW w:w="1041" w:type="pct"/>
            <w:tcBorders>
              <w:tl2br w:val="nil"/>
              <w:tr2bl w:val="nil"/>
            </w:tcBorders>
            <w:vAlign w:val="center"/>
          </w:tcPr>
          <w:p w14:paraId="43093FB4">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val="en-US" w:eastAsia="zh-CN"/>
              </w:rPr>
              <w:t>13.</w:t>
            </w:r>
            <w:r>
              <w:rPr>
                <w:rFonts w:hint="eastAsia" w:ascii="Times New Roman" w:hAnsi="Times New Roman" w:cs="Times New Roman"/>
                <w:b/>
                <w:bCs/>
                <w:color w:val="auto"/>
                <w:szCs w:val="21"/>
                <w:highlight w:val="none"/>
                <w:lang w:val="en-US" w:eastAsia="zh-CN"/>
              </w:rPr>
              <w:t>8</w:t>
            </w:r>
            <w:r>
              <w:rPr>
                <w:rFonts w:hint="default" w:ascii="Times New Roman" w:hAnsi="Times New Roman" w:cs="Times New Roman"/>
                <w:b/>
                <w:bCs/>
                <w:color w:val="auto"/>
                <w:szCs w:val="21"/>
                <w:highlight w:val="none"/>
              </w:rPr>
              <w:t>m</w:t>
            </w:r>
          </w:p>
        </w:tc>
      </w:tr>
      <w:tr w14:paraId="6BFFD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266B7E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39" w:type="pct"/>
            <w:vMerge w:val="restart"/>
            <w:tcBorders>
              <w:tl2br w:val="nil"/>
              <w:tr2bl w:val="nil"/>
            </w:tcBorders>
            <w:shd w:val="clear" w:color="auto" w:fill="auto"/>
            <w:vAlign w:val="center"/>
          </w:tcPr>
          <w:p w14:paraId="02158C7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1071" w:type="pct"/>
            <w:tcBorders>
              <w:tl2br w:val="nil"/>
              <w:tr2bl w:val="nil"/>
            </w:tcBorders>
            <w:shd w:val="clear" w:color="auto" w:fill="auto"/>
            <w:vAlign w:val="center"/>
          </w:tcPr>
          <w:p w14:paraId="740805B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-41.7</w:t>
            </w:r>
          </w:p>
        </w:tc>
        <w:tc>
          <w:tcPr>
            <w:tcW w:w="1247" w:type="pct"/>
            <w:tcBorders>
              <w:tl2br w:val="nil"/>
              <w:tr2bl w:val="nil"/>
            </w:tcBorders>
            <w:shd w:val="clear" w:color="auto" w:fill="auto"/>
            <w:vAlign w:val="center"/>
          </w:tcPr>
          <w:p w14:paraId="46F0A08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0.1051</w:t>
            </w:r>
          </w:p>
        </w:tc>
        <w:tc>
          <w:tcPr>
            <w:tcW w:w="1041" w:type="pct"/>
            <w:tcBorders>
              <w:tl2br w:val="nil"/>
              <w:tr2bl w:val="nil"/>
            </w:tcBorders>
            <w:vAlign w:val="center"/>
          </w:tcPr>
          <w:p w14:paraId="70ECB5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0.1473</w:t>
            </w:r>
          </w:p>
        </w:tc>
      </w:tr>
      <w:tr w14:paraId="13770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D6E21B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39" w:type="pct"/>
            <w:vMerge w:val="continue"/>
            <w:tcBorders>
              <w:tl2br w:val="nil"/>
              <w:tr2bl w:val="nil"/>
            </w:tcBorders>
            <w:shd w:val="clear" w:color="auto" w:fill="auto"/>
            <w:vAlign w:val="center"/>
          </w:tcPr>
          <w:p w14:paraId="0218232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8D23AE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-36.7</w:t>
            </w:r>
          </w:p>
        </w:tc>
        <w:tc>
          <w:tcPr>
            <w:tcW w:w="1247" w:type="pct"/>
            <w:tcBorders>
              <w:tl2br w:val="nil"/>
              <w:tr2bl w:val="nil"/>
            </w:tcBorders>
            <w:shd w:val="clear" w:color="auto" w:fill="auto"/>
            <w:vAlign w:val="center"/>
          </w:tcPr>
          <w:p w14:paraId="5EEB15B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0.1384</w:t>
            </w:r>
          </w:p>
        </w:tc>
        <w:tc>
          <w:tcPr>
            <w:tcW w:w="1041" w:type="pct"/>
            <w:tcBorders>
              <w:tl2br w:val="nil"/>
              <w:tr2bl w:val="nil"/>
            </w:tcBorders>
            <w:vAlign w:val="center"/>
          </w:tcPr>
          <w:p w14:paraId="4D55C9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0.1958</w:t>
            </w:r>
          </w:p>
        </w:tc>
      </w:tr>
      <w:tr w14:paraId="0782B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35C9D9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39" w:type="pct"/>
            <w:vMerge w:val="continue"/>
            <w:tcBorders>
              <w:tl2br w:val="nil"/>
              <w:tr2bl w:val="nil"/>
            </w:tcBorders>
            <w:shd w:val="clear" w:color="auto" w:fill="auto"/>
            <w:vAlign w:val="center"/>
          </w:tcPr>
          <w:p w14:paraId="60467D2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5A063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-31.7</w:t>
            </w:r>
          </w:p>
        </w:tc>
        <w:tc>
          <w:tcPr>
            <w:tcW w:w="1247" w:type="pct"/>
            <w:tcBorders>
              <w:tl2br w:val="nil"/>
              <w:tr2bl w:val="nil"/>
            </w:tcBorders>
            <w:shd w:val="clear" w:color="auto" w:fill="auto"/>
            <w:vAlign w:val="center"/>
          </w:tcPr>
          <w:p w14:paraId="58B1105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0.1902</w:t>
            </w:r>
          </w:p>
        </w:tc>
        <w:tc>
          <w:tcPr>
            <w:tcW w:w="1041" w:type="pct"/>
            <w:tcBorders>
              <w:tl2br w:val="nil"/>
              <w:tr2bl w:val="nil"/>
            </w:tcBorders>
            <w:vAlign w:val="center"/>
          </w:tcPr>
          <w:p w14:paraId="240564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0.2683</w:t>
            </w:r>
          </w:p>
        </w:tc>
      </w:tr>
      <w:tr w14:paraId="1EB99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1014032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39" w:type="pct"/>
            <w:vMerge w:val="continue"/>
            <w:tcBorders>
              <w:tl2br w:val="nil"/>
              <w:tr2bl w:val="nil"/>
            </w:tcBorders>
            <w:shd w:val="clear" w:color="auto" w:fill="auto"/>
            <w:vAlign w:val="center"/>
          </w:tcPr>
          <w:p w14:paraId="1EDCFD8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1D44D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-26.7</w:t>
            </w:r>
          </w:p>
        </w:tc>
        <w:tc>
          <w:tcPr>
            <w:tcW w:w="1247" w:type="pct"/>
            <w:tcBorders>
              <w:tl2br w:val="nil"/>
              <w:tr2bl w:val="nil"/>
            </w:tcBorders>
            <w:shd w:val="clear" w:color="auto" w:fill="auto"/>
            <w:vAlign w:val="center"/>
          </w:tcPr>
          <w:p w14:paraId="2A46317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0.2766</w:t>
            </w:r>
          </w:p>
        </w:tc>
        <w:tc>
          <w:tcPr>
            <w:tcW w:w="1041" w:type="pct"/>
            <w:tcBorders>
              <w:tl2br w:val="nil"/>
              <w:tr2bl w:val="nil"/>
            </w:tcBorders>
            <w:vAlign w:val="center"/>
          </w:tcPr>
          <w:p w14:paraId="56462F6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0.3807</w:t>
            </w:r>
          </w:p>
        </w:tc>
      </w:tr>
      <w:tr w14:paraId="6F668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0E05C4B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39" w:type="pct"/>
            <w:vMerge w:val="continue"/>
            <w:tcBorders>
              <w:tl2br w:val="nil"/>
              <w:tr2bl w:val="nil"/>
            </w:tcBorders>
            <w:shd w:val="clear" w:color="auto" w:fill="auto"/>
            <w:vAlign w:val="center"/>
          </w:tcPr>
          <w:p w14:paraId="7FBFD65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7201E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-21.7</w:t>
            </w:r>
          </w:p>
        </w:tc>
        <w:tc>
          <w:tcPr>
            <w:tcW w:w="1247" w:type="pct"/>
            <w:tcBorders>
              <w:tl2br w:val="nil"/>
              <w:tr2bl w:val="nil"/>
            </w:tcBorders>
            <w:shd w:val="clear" w:color="auto" w:fill="auto"/>
            <w:vAlign w:val="center"/>
          </w:tcPr>
          <w:p w14:paraId="2F99D6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0.4324</w:t>
            </w:r>
          </w:p>
        </w:tc>
        <w:tc>
          <w:tcPr>
            <w:tcW w:w="1041" w:type="pct"/>
            <w:tcBorders>
              <w:tl2br w:val="nil"/>
              <w:tr2bl w:val="nil"/>
            </w:tcBorders>
            <w:vAlign w:val="center"/>
          </w:tcPr>
          <w:p w14:paraId="6CC5E5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0.5603</w:t>
            </w:r>
          </w:p>
        </w:tc>
      </w:tr>
      <w:tr w14:paraId="3DDD61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3C68E8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39" w:type="pct"/>
            <w:vMerge w:val="continue"/>
            <w:tcBorders>
              <w:tl2br w:val="nil"/>
              <w:tr2bl w:val="nil"/>
            </w:tcBorders>
            <w:shd w:val="clear" w:color="auto" w:fill="auto"/>
            <w:vAlign w:val="center"/>
          </w:tcPr>
          <w:p w14:paraId="4C863B2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36426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-16.7</w:t>
            </w:r>
          </w:p>
        </w:tc>
        <w:tc>
          <w:tcPr>
            <w:tcW w:w="1247" w:type="pct"/>
            <w:tcBorders>
              <w:tl2br w:val="nil"/>
              <w:tr2bl w:val="nil"/>
            </w:tcBorders>
            <w:shd w:val="clear" w:color="auto" w:fill="auto"/>
            <w:vAlign w:val="center"/>
          </w:tcPr>
          <w:p w14:paraId="22C274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0.7431</w:t>
            </w:r>
          </w:p>
        </w:tc>
        <w:tc>
          <w:tcPr>
            <w:tcW w:w="1041" w:type="pct"/>
            <w:tcBorders>
              <w:tl2br w:val="nil"/>
              <w:tr2bl w:val="nil"/>
            </w:tcBorders>
            <w:vAlign w:val="center"/>
          </w:tcPr>
          <w:p w14:paraId="17F8DC8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0.8514</w:t>
            </w:r>
          </w:p>
        </w:tc>
      </w:tr>
      <w:tr w14:paraId="6A245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032D07C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39" w:type="pct"/>
            <w:vMerge w:val="continue"/>
            <w:tcBorders>
              <w:tl2br w:val="nil"/>
              <w:tr2bl w:val="nil"/>
            </w:tcBorders>
            <w:shd w:val="clear" w:color="auto" w:fill="auto"/>
            <w:vAlign w:val="center"/>
          </w:tcPr>
          <w:p w14:paraId="154CE32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A91491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-11.7</w:t>
            </w:r>
          </w:p>
        </w:tc>
        <w:tc>
          <w:tcPr>
            <w:tcW w:w="1247" w:type="pct"/>
            <w:tcBorders>
              <w:tl2br w:val="nil"/>
              <w:tr2bl w:val="nil"/>
            </w:tcBorders>
            <w:shd w:val="clear" w:color="auto" w:fill="auto"/>
            <w:vAlign w:val="center"/>
          </w:tcPr>
          <w:p w14:paraId="2D283D1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1.4343</w:t>
            </w:r>
          </w:p>
        </w:tc>
        <w:tc>
          <w:tcPr>
            <w:tcW w:w="1041" w:type="pct"/>
            <w:tcBorders>
              <w:tl2br w:val="nil"/>
              <w:tr2bl w:val="nil"/>
            </w:tcBorders>
            <w:vAlign w:val="center"/>
          </w:tcPr>
          <w:p w14:paraId="477210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1.3045</w:t>
            </w:r>
          </w:p>
        </w:tc>
      </w:tr>
      <w:tr w14:paraId="1DA43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587EBA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39" w:type="pct"/>
            <w:vMerge w:val="continue"/>
            <w:tcBorders>
              <w:tl2br w:val="nil"/>
              <w:tr2bl w:val="nil"/>
            </w:tcBorders>
            <w:shd w:val="clear" w:color="auto" w:fill="auto"/>
            <w:vAlign w:val="center"/>
          </w:tcPr>
          <w:p w14:paraId="4232BE9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CE1ECC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-6.7</w:t>
            </w:r>
          </w:p>
        </w:tc>
        <w:tc>
          <w:tcPr>
            <w:tcW w:w="1247" w:type="pct"/>
            <w:tcBorders>
              <w:tl2br w:val="nil"/>
              <w:tr2bl w:val="nil"/>
            </w:tcBorders>
            <w:shd w:val="clear" w:color="auto" w:fill="auto"/>
            <w:vAlign w:val="center"/>
          </w:tcPr>
          <w:p w14:paraId="6F192BB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3.0693</w:t>
            </w:r>
          </w:p>
        </w:tc>
        <w:tc>
          <w:tcPr>
            <w:tcW w:w="1041" w:type="pct"/>
            <w:tcBorders>
              <w:tl2br w:val="nil"/>
              <w:tr2bl w:val="nil"/>
            </w:tcBorders>
            <w:vAlign w:val="center"/>
          </w:tcPr>
          <w:p w14:paraId="790D52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1.8748</w:t>
            </w:r>
          </w:p>
        </w:tc>
      </w:tr>
      <w:tr w14:paraId="0CF338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1BC96C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39" w:type="pct"/>
            <w:vMerge w:val="continue"/>
            <w:tcBorders>
              <w:tl2br w:val="nil"/>
              <w:tr2bl w:val="nil"/>
            </w:tcBorders>
            <w:shd w:val="clear" w:color="auto" w:fill="auto"/>
            <w:vAlign w:val="center"/>
          </w:tcPr>
          <w:p w14:paraId="6B3F141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489CD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-1.7</w:t>
            </w:r>
          </w:p>
        </w:tc>
        <w:tc>
          <w:tcPr>
            <w:tcW w:w="1247" w:type="pct"/>
            <w:tcBorders>
              <w:tl2br w:val="nil"/>
              <w:tr2bl w:val="nil"/>
            </w:tcBorders>
            <w:shd w:val="clear" w:color="auto" w:fill="auto"/>
            <w:vAlign w:val="center"/>
          </w:tcPr>
          <w:p w14:paraId="6A49C5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5.6642</w:t>
            </w:r>
          </w:p>
        </w:tc>
        <w:tc>
          <w:tcPr>
            <w:tcW w:w="1041" w:type="pct"/>
            <w:tcBorders>
              <w:tl2br w:val="nil"/>
              <w:tr2bl w:val="nil"/>
            </w:tcBorders>
            <w:vAlign w:val="center"/>
          </w:tcPr>
          <w:p w14:paraId="054FBF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2.1391</w:t>
            </w:r>
          </w:p>
        </w:tc>
      </w:tr>
      <w:tr w14:paraId="79D7C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A61BB8D">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2"/>
                <w:sz w:val="20"/>
                <w:szCs w:val="20"/>
                <w:u w:val="none"/>
                <w:lang w:val="en-US" w:eastAsia="zh-CN" w:bidi="ar-SA"/>
              </w:rPr>
            </w:pPr>
            <w:r>
              <w:rPr>
                <w:rFonts w:hint="default" w:ascii="Times New Roman" w:hAnsi="Times New Roman" w:eastAsia="宋体" w:cs="Times New Roman"/>
                <w:b w:val="0"/>
                <w:bCs w:val="0"/>
                <w:i w:val="0"/>
                <w:iCs w:val="0"/>
                <w:color w:val="auto"/>
                <w:kern w:val="0"/>
                <w:sz w:val="20"/>
                <w:szCs w:val="20"/>
                <w:u w:val="none"/>
                <w:lang w:val="en-US" w:eastAsia="zh-CN" w:bidi="ar"/>
              </w:rPr>
              <w:t>-9</w:t>
            </w:r>
          </w:p>
        </w:tc>
        <w:tc>
          <w:tcPr>
            <w:tcW w:w="839" w:type="pct"/>
            <w:vMerge w:val="continue"/>
            <w:tcBorders>
              <w:tl2br w:val="nil"/>
              <w:tr2bl w:val="nil"/>
            </w:tcBorders>
            <w:shd w:val="clear" w:color="auto" w:fill="auto"/>
            <w:vAlign w:val="center"/>
          </w:tcPr>
          <w:p w14:paraId="62541FF1">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644CF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-0.7</w:t>
            </w:r>
          </w:p>
        </w:tc>
        <w:tc>
          <w:tcPr>
            <w:tcW w:w="1247" w:type="pct"/>
            <w:tcBorders>
              <w:tl2br w:val="nil"/>
              <w:tr2bl w:val="nil"/>
            </w:tcBorders>
            <w:shd w:val="clear" w:color="auto" w:fill="auto"/>
            <w:vAlign w:val="center"/>
          </w:tcPr>
          <w:p w14:paraId="43ADFF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5.8631</w:t>
            </w:r>
          </w:p>
        </w:tc>
        <w:tc>
          <w:tcPr>
            <w:tcW w:w="1041" w:type="pct"/>
            <w:tcBorders>
              <w:tl2br w:val="nil"/>
              <w:tr2bl w:val="nil"/>
            </w:tcBorders>
            <w:vAlign w:val="center"/>
          </w:tcPr>
          <w:p w14:paraId="6A08585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2.0882</w:t>
            </w:r>
          </w:p>
        </w:tc>
      </w:tr>
      <w:tr w14:paraId="6EF2B0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A93CF8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839" w:type="pct"/>
            <w:vMerge w:val="restart"/>
            <w:tcBorders>
              <w:tl2br w:val="nil"/>
              <w:tr2bl w:val="nil"/>
            </w:tcBorders>
            <w:shd w:val="clear" w:color="auto" w:fill="auto"/>
            <w:vAlign w:val="center"/>
          </w:tcPr>
          <w:p w14:paraId="7A8796F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071" w:type="pct"/>
            <w:tcBorders>
              <w:tl2br w:val="nil"/>
              <w:tr2bl w:val="nil"/>
            </w:tcBorders>
            <w:shd w:val="clear" w:color="auto" w:fill="auto"/>
            <w:vAlign w:val="center"/>
          </w:tcPr>
          <w:p w14:paraId="0A8E91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5CCBAF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5.7709</w:t>
            </w:r>
          </w:p>
        </w:tc>
        <w:tc>
          <w:tcPr>
            <w:tcW w:w="1041" w:type="pct"/>
            <w:tcBorders>
              <w:tl2br w:val="nil"/>
              <w:tr2bl w:val="nil"/>
            </w:tcBorders>
            <w:vAlign w:val="center"/>
          </w:tcPr>
          <w:p w14:paraId="6B587C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1.9925</w:t>
            </w:r>
          </w:p>
        </w:tc>
      </w:tr>
      <w:tr w14:paraId="559B4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4E4539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39" w:type="pct"/>
            <w:vMerge w:val="continue"/>
            <w:tcBorders>
              <w:tl2br w:val="nil"/>
              <w:tr2bl w:val="nil"/>
            </w:tcBorders>
            <w:shd w:val="clear" w:color="auto" w:fill="auto"/>
            <w:vAlign w:val="center"/>
          </w:tcPr>
          <w:p w14:paraId="45095F6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D7C3D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79B903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5.3775</w:t>
            </w:r>
          </w:p>
        </w:tc>
        <w:tc>
          <w:tcPr>
            <w:tcW w:w="1041" w:type="pct"/>
            <w:tcBorders>
              <w:tl2br w:val="nil"/>
              <w:tr2bl w:val="nil"/>
            </w:tcBorders>
            <w:vAlign w:val="center"/>
          </w:tcPr>
          <w:p w14:paraId="7A250D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1.8525</w:t>
            </w:r>
          </w:p>
        </w:tc>
      </w:tr>
      <w:tr w14:paraId="4EF11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7D7A40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39" w:type="pct"/>
            <w:vMerge w:val="continue"/>
            <w:tcBorders>
              <w:tl2br w:val="nil"/>
              <w:tr2bl w:val="nil"/>
            </w:tcBorders>
            <w:shd w:val="clear" w:color="auto" w:fill="auto"/>
            <w:vAlign w:val="center"/>
          </w:tcPr>
          <w:p w14:paraId="31B69B5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7B429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19AFD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4.7426</w:t>
            </w:r>
          </w:p>
        </w:tc>
        <w:tc>
          <w:tcPr>
            <w:tcW w:w="1041" w:type="pct"/>
            <w:tcBorders>
              <w:tl2br w:val="nil"/>
              <w:tr2bl w:val="nil"/>
            </w:tcBorders>
            <w:vAlign w:val="center"/>
          </w:tcPr>
          <w:p w14:paraId="044D980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1.672</w:t>
            </w:r>
          </w:p>
        </w:tc>
      </w:tr>
      <w:tr w14:paraId="61D52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04A2C2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39" w:type="pct"/>
            <w:vMerge w:val="continue"/>
            <w:tcBorders>
              <w:tl2br w:val="nil"/>
              <w:tr2bl w:val="nil"/>
            </w:tcBorders>
            <w:shd w:val="clear" w:color="auto" w:fill="auto"/>
            <w:vAlign w:val="center"/>
          </w:tcPr>
          <w:p w14:paraId="164E6DE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933A5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3037A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3.9665</w:t>
            </w:r>
          </w:p>
        </w:tc>
        <w:tc>
          <w:tcPr>
            <w:tcW w:w="1041" w:type="pct"/>
            <w:tcBorders>
              <w:tl2br w:val="nil"/>
              <w:tr2bl w:val="nil"/>
            </w:tcBorders>
            <w:vAlign w:val="center"/>
          </w:tcPr>
          <w:p w14:paraId="04686A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1.4581</w:t>
            </w:r>
          </w:p>
        </w:tc>
      </w:tr>
      <w:tr w14:paraId="3C41B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5014DE4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39" w:type="pct"/>
            <w:vMerge w:val="continue"/>
            <w:tcBorders>
              <w:tl2br w:val="nil"/>
              <w:tr2bl w:val="nil"/>
            </w:tcBorders>
            <w:shd w:val="clear" w:color="auto" w:fill="auto"/>
            <w:vAlign w:val="center"/>
          </w:tcPr>
          <w:p w14:paraId="50A0C75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452A5D3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11252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3.1514</w:t>
            </w:r>
          </w:p>
        </w:tc>
        <w:tc>
          <w:tcPr>
            <w:tcW w:w="1041" w:type="pct"/>
            <w:tcBorders>
              <w:tl2br w:val="nil"/>
              <w:tr2bl w:val="nil"/>
            </w:tcBorders>
            <w:vAlign w:val="center"/>
          </w:tcPr>
          <w:p w14:paraId="0CB42F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1.222</w:t>
            </w:r>
          </w:p>
        </w:tc>
      </w:tr>
      <w:tr w14:paraId="038D1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17C828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39" w:type="pct"/>
            <w:vMerge w:val="continue"/>
            <w:tcBorders>
              <w:tl2br w:val="nil"/>
              <w:tr2bl w:val="nil"/>
            </w:tcBorders>
            <w:shd w:val="clear" w:color="auto" w:fill="auto"/>
            <w:vAlign w:val="center"/>
          </w:tcPr>
          <w:p w14:paraId="1D1000F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5A753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13ABCF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2.3843</w:t>
            </w:r>
          </w:p>
        </w:tc>
        <w:tc>
          <w:tcPr>
            <w:tcW w:w="1041" w:type="pct"/>
            <w:tcBorders>
              <w:tl2br w:val="nil"/>
              <w:tr2bl w:val="nil"/>
            </w:tcBorders>
            <w:vAlign w:val="center"/>
          </w:tcPr>
          <w:p w14:paraId="5C14A1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0.9813</w:t>
            </w:r>
          </w:p>
        </w:tc>
      </w:tr>
      <w:tr w14:paraId="021669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50BA4FC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39" w:type="pct"/>
            <w:vMerge w:val="continue"/>
            <w:tcBorders>
              <w:tl2br w:val="nil"/>
              <w:tr2bl w:val="nil"/>
            </w:tcBorders>
            <w:shd w:val="clear" w:color="auto" w:fill="auto"/>
            <w:vAlign w:val="center"/>
          </w:tcPr>
          <w:p w14:paraId="7679DCA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1CB3C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2FCBF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1.7519</w:t>
            </w:r>
          </w:p>
        </w:tc>
        <w:tc>
          <w:tcPr>
            <w:tcW w:w="1041" w:type="pct"/>
            <w:tcBorders>
              <w:tl2br w:val="nil"/>
              <w:tr2bl w:val="nil"/>
            </w:tcBorders>
            <w:vAlign w:val="center"/>
          </w:tcPr>
          <w:p w14:paraId="788DDE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0.7666</w:t>
            </w:r>
          </w:p>
        </w:tc>
      </w:tr>
      <w:tr w14:paraId="22495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1714B19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39" w:type="pct"/>
            <w:vMerge w:val="continue"/>
            <w:tcBorders>
              <w:tl2br w:val="nil"/>
              <w:tr2bl w:val="nil"/>
            </w:tcBorders>
            <w:shd w:val="clear" w:color="auto" w:fill="auto"/>
            <w:vAlign w:val="center"/>
          </w:tcPr>
          <w:p w14:paraId="7B0062B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DFD5E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11075F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1.3947</w:t>
            </w:r>
          </w:p>
        </w:tc>
        <w:tc>
          <w:tcPr>
            <w:tcW w:w="1041" w:type="pct"/>
            <w:tcBorders>
              <w:tl2br w:val="nil"/>
              <w:tr2bl w:val="nil"/>
            </w:tcBorders>
            <w:vAlign w:val="center"/>
          </w:tcPr>
          <w:p w14:paraId="5FB8FF5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0.6345</w:t>
            </w:r>
          </w:p>
        </w:tc>
      </w:tr>
      <w:tr w14:paraId="69FB2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6E27C3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839" w:type="pct"/>
            <w:vMerge w:val="continue"/>
            <w:tcBorders>
              <w:tl2br w:val="nil"/>
              <w:tr2bl w:val="nil"/>
            </w:tcBorders>
            <w:shd w:val="clear" w:color="auto" w:fill="auto"/>
            <w:vAlign w:val="center"/>
          </w:tcPr>
          <w:p w14:paraId="12B3D5D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473016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055AB4B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1.481</w:t>
            </w:r>
          </w:p>
        </w:tc>
        <w:tc>
          <w:tcPr>
            <w:tcW w:w="1041" w:type="pct"/>
            <w:tcBorders>
              <w:tl2br w:val="nil"/>
              <w:tr2bl w:val="nil"/>
            </w:tcBorders>
            <w:vAlign w:val="center"/>
          </w:tcPr>
          <w:p w14:paraId="13BD52E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0.651</w:t>
            </w:r>
          </w:p>
        </w:tc>
      </w:tr>
      <w:tr w14:paraId="583E6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013C3BA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39" w:type="pct"/>
            <w:vMerge w:val="continue"/>
            <w:tcBorders>
              <w:tl2br w:val="nil"/>
              <w:tr2bl w:val="nil"/>
            </w:tcBorders>
            <w:shd w:val="clear" w:color="auto" w:fill="auto"/>
            <w:vAlign w:val="center"/>
          </w:tcPr>
          <w:p w14:paraId="2F7A4A2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6A4D9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89D49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1.9559</w:t>
            </w:r>
          </w:p>
        </w:tc>
        <w:tc>
          <w:tcPr>
            <w:tcW w:w="1041" w:type="pct"/>
            <w:tcBorders>
              <w:tl2br w:val="nil"/>
              <w:tr2bl w:val="nil"/>
            </w:tcBorders>
            <w:vAlign w:val="center"/>
          </w:tcPr>
          <w:p w14:paraId="27073C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0.8043</w:t>
            </w:r>
          </w:p>
        </w:tc>
      </w:tr>
      <w:tr w14:paraId="7E1B0C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4ECCDC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39" w:type="pct"/>
            <w:vMerge w:val="continue"/>
            <w:tcBorders>
              <w:tl2br w:val="nil"/>
              <w:tr2bl w:val="nil"/>
            </w:tcBorders>
            <w:shd w:val="clear" w:color="auto" w:fill="auto"/>
            <w:vAlign w:val="center"/>
          </w:tcPr>
          <w:p w14:paraId="0544C52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D77927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C6E40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2.6394</w:t>
            </w:r>
          </w:p>
        </w:tc>
        <w:tc>
          <w:tcPr>
            <w:tcW w:w="1041" w:type="pct"/>
            <w:tcBorders>
              <w:tl2br w:val="nil"/>
              <w:tr2bl w:val="nil"/>
            </w:tcBorders>
            <w:vAlign w:val="center"/>
          </w:tcPr>
          <w:p w14:paraId="6CCD1A3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1.0236</w:t>
            </w:r>
          </w:p>
        </w:tc>
      </w:tr>
      <w:tr w14:paraId="4DA18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3E88964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39" w:type="pct"/>
            <w:vMerge w:val="continue"/>
            <w:tcBorders>
              <w:tl2br w:val="nil"/>
              <w:tr2bl w:val="nil"/>
            </w:tcBorders>
            <w:shd w:val="clear" w:color="auto" w:fill="auto"/>
            <w:vAlign w:val="center"/>
          </w:tcPr>
          <w:p w14:paraId="7892F32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912EE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5A84EC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3.4199</w:t>
            </w:r>
          </w:p>
        </w:tc>
        <w:tc>
          <w:tcPr>
            <w:tcW w:w="1041" w:type="pct"/>
            <w:tcBorders>
              <w:tl2br w:val="nil"/>
              <w:tr2bl w:val="nil"/>
            </w:tcBorders>
            <w:vAlign w:val="center"/>
          </w:tcPr>
          <w:p w14:paraId="3DCD7B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1.2584</w:t>
            </w:r>
          </w:p>
        </w:tc>
      </w:tr>
      <w:tr w14:paraId="56EC0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320F07F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39" w:type="pct"/>
            <w:vMerge w:val="continue"/>
            <w:tcBorders>
              <w:tl2br w:val="nil"/>
              <w:tr2bl w:val="nil"/>
            </w:tcBorders>
            <w:shd w:val="clear" w:color="auto" w:fill="auto"/>
            <w:vAlign w:val="center"/>
          </w:tcPr>
          <w:p w14:paraId="4BB03E3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33112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1EEEF06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4.2147</w:t>
            </w:r>
          </w:p>
        </w:tc>
        <w:tc>
          <w:tcPr>
            <w:tcW w:w="1041" w:type="pct"/>
            <w:tcBorders>
              <w:tl2br w:val="nil"/>
              <w:tr2bl w:val="nil"/>
            </w:tcBorders>
            <w:vAlign w:val="center"/>
          </w:tcPr>
          <w:p w14:paraId="15B3DB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1.4822</w:t>
            </w:r>
          </w:p>
        </w:tc>
      </w:tr>
      <w:tr w14:paraId="16AFA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1594008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39" w:type="pct"/>
            <w:vMerge w:val="continue"/>
            <w:tcBorders>
              <w:tl2br w:val="nil"/>
              <w:tr2bl w:val="nil"/>
            </w:tcBorders>
            <w:shd w:val="clear" w:color="auto" w:fill="auto"/>
            <w:vAlign w:val="center"/>
          </w:tcPr>
          <w:p w14:paraId="2F346A4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57917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5EB031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4.9289</w:t>
            </w:r>
          </w:p>
        </w:tc>
        <w:tc>
          <w:tcPr>
            <w:tcW w:w="1041" w:type="pct"/>
            <w:tcBorders>
              <w:tl2br w:val="nil"/>
              <w:tr2bl w:val="nil"/>
            </w:tcBorders>
            <w:vAlign w:val="center"/>
          </w:tcPr>
          <w:p w14:paraId="1D4B32C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1.6795</w:t>
            </w:r>
          </w:p>
        </w:tc>
      </w:tr>
      <w:tr w14:paraId="5DD6B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0E3ADC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39" w:type="pct"/>
            <w:vMerge w:val="continue"/>
            <w:tcBorders>
              <w:tl2br w:val="nil"/>
              <w:tr2bl w:val="nil"/>
            </w:tcBorders>
            <w:shd w:val="clear" w:color="auto" w:fill="auto"/>
            <w:vAlign w:val="center"/>
          </w:tcPr>
          <w:p w14:paraId="2A3A2B7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F11EA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4A55CB8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5.4559</w:t>
            </w:r>
          </w:p>
        </w:tc>
        <w:tc>
          <w:tcPr>
            <w:tcW w:w="1041" w:type="pct"/>
            <w:tcBorders>
              <w:tl2br w:val="nil"/>
              <w:tr2bl w:val="nil"/>
            </w:tcBorders>
            <w:vAlign w:val="center"/>
          </w:tcPr>
          <w:p w14:paraId="3A53A48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1.8406</w:t>
            </w:r>
          </w:p>
        </w:tc>
      </w:tr>
      <w:tr w14:paraId="75A6D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43628ED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39" w:type="pct"/>
            <w:vMerge w:val="restart"/>
            <w:tcBorders>
              <w:tl2br w:val="nil"/>
              <w:tr2bl w:val="nil"/>
            </w:tcBorders>
            <w:shd w:val="clear" w:color="auto" w:fill="auto"/>
            <w:vAlign w:val="center"/>
          </w:tcPr>
          <w:p w14:paraId="3CD3789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1071" w:type="pct"/>
            <w:tcBorders>
              <w:tl2br w:val="nil"/>
              <w:tr2bl w:val="nil"/>
            </w:tcBorders>
            <w:shd w:val="clear" w:color="auto" w:fill="auto"/>
            <w:vAlign w:val="center"/>
          </w:tcPr>
          <w:p w14:paraId="3F757C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0.2</w:t>
            </w:r>
          </w:p>
        </w:tc>
        <w:tc>
          <w:tcPr>
            <w:tcW w:w="1247" w:type="pct"/>
            <w:tcBorders>
              <w:tl2br w:val="nil"/>
              <w:tr2bl w:val="nil"/>
            </w:tcBorders>
            <w:shd w:val="clear" w:color="auto" w:fill="auto"/>
            <w:vAlign w:val="center"/>
          </w:tcPr>
          <w:p w14:paraId="7C41995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5.7084</w:t>
            </w:r>
          </w:p>
        </w:tc>
        <w:tc>
          <w:tcPr>
            <w:tcW w:w="1041" w:type="pct"/>
            <w:tcBorders>
              <w:tl2br w:val="nil"/>
              <w:tr2bl w:val="nil"/>
            </w:tcBorders>
            <w:vAlign w:val="center"/>
          </w:tcPr>
          <w:p w14:paraId="22DE67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1.9597</w:t>
            </w:r>
          </w:p>
        </w:tc>
      </w:tr>
      <w:tr w14:paraId="434D9A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47DA45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839" w:type="pct"/>
            <w:vMerge w:val="continue"/>
            <w:tcBorders>
              <w:tl2br w:val="nil"/>
              <w:tr2bl w:val="nil"/>
            </w:tcBorders>
            <w:shd w:val="clear" w:color="auto" w:fill="auto"/>
            <w:vAlign w:val="center"/>
          </w:tcPr>
          <w:p w14:paraId="2471820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5C3D9B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1.2</w:t>
            </w:r>
          </w:p>
        </w:tc>
        <w:tc>
          <w:tcPr>
            <w:tcW w:w="1247" w:type="pct"/>
            <w:tcBorders>
              <w:tl2br w:val="nil"/>
              <w:tr2bl w:val="nil"/>
            </w:tcBorders>
            <w:shd w:val="clear" w:color="auto" w:fill="auto"/>
            <w:vAlign w:val="center"/>
          </w:tcPr>
          <w:p w14:paraId="31451D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5.6576</w:t>
            </w:r>
          </w:p>
        </w:tc>
        <w:tc>
          <w:tcPr>
            <w:tcW w:w="1041" w:type="pct"/>
            <w:tcBorders>
              <w:tl2br w:val="nil"/>
              <w:tr2bl w:val="nil"/>
            </w:tcBorders>
            <w:vAlign w:val="center"/>
          </w:tcPr>
          <w:p w14:paraId="0367D4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2.0345</w:t>
            </w:r>
          </w:p>
        </w:tc>
      </w:tr>
      <w:tr w14:paraId="75F35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71E3C6D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839" w:type="pct"/>
            <w:vMerge w:val="continue"/>
            <w:tcBorders>
              <w:tl2br w:val="nil"/>
              <w:tr2bl w:val="nil"/>
            </w:tcBorders>
            <w:shd w:val="clear" w:color="auto" w:fill="auto"/>
            <w:vAlign w:val="center"/>
          </w:tcPr>
          <w:p w14:paraId="12B3759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3346E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2.2</w:t>
            </w:r>
          </w:p>
        </w:tc>
        <w:tc>
          <w:tcPr>
            <w:tcW w:w="1247" w:type="pct"/>
            <w:tcBorders>
              <w:tl2br w:val="nil"/>
              <w:tr2bl w:val="nil"/>
            </w:tcBorders>
            <w:shd w:val="clear" w:color="auto" w:fill="auto"/>
            <w:vAlign w:val="center"/>
          </w:tcPr>
          <w:p w14:paraId="14C154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5.3468</w:t>
            </w:r>
          </w:p>
        </w:tc>
        <w:tc>
          <w:tcPr>
            <w:tcW w:w="1041" w:type="pct"/>
            <w:tcBorders>
              <w:tl2br w:val="nil"/>
              <w:tr2bl w:val="nil"/>
            </w:tcBorders>
            <w:vAlign w:val="center"/>
          </w:tcPr>
          <w:p w14:paraId="60C38A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2.0659</w:t>
            </w:r>
          </w:p>
        </w:tc>
      </w:tr>
      <w:tr w14:paraId="0E953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6B3B5B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39" w:type="pct"/>
            <w:vMerge w:val="continue"/>
            <w:tcBorders>
              <w:tl2br w:val="nil"/>
              <w:tr2bl w:val="nil"/>
            </w:tcBorders>
            <w:shd w:val="clear" w:color="auto" w:fill="auto"/>
            <w:vAlign w:val="center"/>
          </w:tcPr>
          <w:p w14:paraId="3882AF3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8F86C0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3.2</w:t>
            </w:r>
          </w:p>
        </w:tc>
        <w:tc>
          <w:tcPr>
            <w:tcW w:w="1247" w:type="pct"/>
            <w:tcBorders>
              <w:tl2br w:val="nil"/>
              <w:tr2bl w:val="nil"/>
            </w:tcBorders>
            <w:shd w:val="clear" w:color="auto" w:fill="auto"/>
            <w:vAlign w:val="center"/>
          </w:tcPr>
          <w:p w14:paraId="48DC465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4.8651</w:t>
            </w:r>
          </w:p>
        </w:tc>
        <w:tc>
          <w:tcPr>
            <w:tcW w:w="1041" w:type="pct"/>
            <w:tcBorders>
              <w:tl2br w:val="nil"/>
              <w:tr2bl w:val="nil"/>
            </w:tcBorders>
            <w:vAlign w:val="center"/>
          </w:tcPr>
          <w:p w14:paraId="52C00AF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2.0576</w:t>
            </w:r>
          </w:p>
        </w:tc>
      </w:tr>
      <w:tr w14:paraId="75EC5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39F78D3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39" w:type="pct"/>
            <w:vMerge w:val="continue"/>
            <w:tcBorders>
              <w:tl2br w:val="nil"/>
              <w:tr2bl w:val="nil"/>
            </w:tcBorders>
            <w:shd w:val="clear" w:color="auto" w:fill="auto"/>
            <w:vAlign w:val="center"/>
          </w:tcPr>
          <w:p w14:paraId="5EF8615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A2EA8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8.2</w:t>
            </w:r>
          </w:p>
        </w:tc>
        <w:tc>
          <w:tcPr>
            <w:tcW w:w="1247" w:type="pct"/>
            <w:tcBorders>
              <w:tl2br w:val="nil"/>
              <w:tr2bl w:val="nil"/>
            </w:tcBorders>
            <w:shd w:val="clear" w:color="auto" w:fill="auto"/>
            <w:vAlign w:val="center"/>
          </w:tcPr>
          <w:p w14:paraId="3150AB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2.3523</w:t>
            </w:r>
          </w:p>
        </w:tc>
        <w:tc>
          <w:tcPr>
            <w:tcW w:w="1041" w:type="pct"/>
            <w:tcBorders>
              <w:tl2br w:val="nil"/>
              <w:tr2bl w:val="nil"/>
            </w:tcBorders>
            <w:vAlign w:val="center"/>
          </w:tcPr>
          <w:p w14:paraId="196466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1.6417</w:t>
            </w:r>
          </w:p>
        </w:tc>
      </w:tr>
      <w:tr w14:paraId="0D1E9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505E694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39" w:type="pct"/>
            <w:vMerge w:val="continue"/>
            <w:tcBorders>
              <w:tl2br w:val="nil"/>
              <w:tr2bl w:val="nil"/>
            </w:tcBorders>
            <w:shd w:val="clear" w:color="auto" w:fill="auto"/>
            <w:vAlign w:val="center"/>
          </w:tcPr>
          <w:p w14:paraId="2006ADE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54586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13.2</w:t>
            </w:r>
          </w:p>
        </w:tc>
        <w:tc>
          <w:tcPr>
            <w:tcW w:w="1247" w:type="pct"/>
            <w:tcBorders>
              <w:tl2br w:val="nil"/>
              <w:tr2bl w:val="nil"/>
            </w:tcBorders>
            <w:shd w:val="clear" w:color="auto" w:fill="auto"/>
            <w:vAlign w:val="center"/>
          </w:tcPr>
          <w:p w14:paraId="6CA4E3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1.1185</w:t>
            </w:r>
          </w:p>
        </w:tc>
        <w:tc>
          <w:tcPr>
            <w:tcW w:w="1041" w:type="pct"/>
            <w:tcBorders>
              <w:tl2br w:val="nil"/>
              <w:tr2bl w:val="nil"/>
            </w:tcBorders>
            <w:vAlign w:val="center"/>
          </w:tcPr>
          <w:p w14:paraId="009F60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1.1024</w:t>
            </w:r>
          </w:p>
        </w:tc>
      </w:tr>
      <w:tr w14:paraId="1A04A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35B7E0A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39" w:type="pct"/>
            <w:vMerge w:val="continue"/>
            <w:tcBorders>
              <w:tl2br w:val="nil"/>
              <w:tr2bl w:val="nil"/>
            </w:tcBorders>
            <w:shd w:val="clear" w:color="auto" w:fill="auto"/>
            <w:vAlign w:val="center"/>
          </w:tcPr>
          <w:p w14:paraId="3D4CF0D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6FFF8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18.2</w:t>
            </w:r>
          </w:p>
        </w:tc>
        <w:tc>
          <w:tcPr>
            <w:tcW w:w="1247" w:type="pct"/>
            <w:tcBorders>
              <w:tl2br w:val="nil"/>
              <w:tr2bl w:val="nil"/>
            </w:tcBorders>
            <w:shd w:val="clear" w:color="auto" w:fill="auto"/>
            <w:vAlign w:val="center"/>
          </w:tcPr>
          <w:p w14:paraId="12DE3CE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0.6017</w:t>
            </w:r>
          </w:p>
        </w:tc>
        <w:tc>
          <w:tcPr>
            <w:tcW w:w="1041" w:type="pct"/>
            <w:tcBorders>
              <w:tl2br w:val="nil"/>
              <w:tr2bl w:val="nil"/>
            </w:tcBorders>
            <w:vAlign w:val="center"/>
          </w:tcPr>
          <w:p w14:paraId="45FB71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0.7152</w:t>
            </w:r>
          </w:p>
        </w:tc>
      </w:tr>
      <w:tr w14:paraId="38942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1ADB650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39" w:type="pct"/>
            <w:vMerge w:val="continue"/>
            <w:tcBorders>
              <w:tl2br w:val="nil"/>
              <w:tr2bl w:val="nil"/>
            </w:tcBorders>
            <w:shd w:val="clear" w:color="auto" w:fill="auto"/>
            <w:vAlign w:val="center"/>
          </w:tcPr>
          <w:p w14:paraId="6CC4FE7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E8951D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23.2</w:t>
            </w:r>
          </w:p>
        </w:tc>
        <w:tc>
          <w:tcPr>
            <w:tcW w:w="1247" w:type="pct"/>
            <w:tcBorders>
              <w:tl2br w:val="nil"/>
              <w:tr2bl w:val="nil"/>
            </w:tcBorders>
            <w:shd w:val="clear" w:color="auto" w:fill="auto"/>
            <w:vAlign w:val="center"/>
          </w:tcPr>
          <w:p w14:paraId="72D089C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0.3634</w:t>
            </w:r>
          </w:p>
        </w:tc>
        <w:tc>
          <w:tcPr>
            <w:tcW w:w="1041" w:type="pct"/>
            <w:tcBorders>
              <w:tl2br w:val="nil"/>
              <w:tr2bl w:val="nil"/>
            </w:tcBorders>
            <w:vAlign w:val="center"/>
          </w:tcPr>
          <w:p w14:paraId="684DF9A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0.4734</w:t>
            </w:r>
          </w:p>
        </w:tc>
      </w:tr>
      <w:tr w14:paraId="366F1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54372F0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39" w:type="pct"/>
            <w:vMerge w:val="continue"/>
            <w:tcBorders>
              <w:tl2br w:val="nil"/>
              <w:tr2bl w:val="nil"/>
            </w:tcBorders>
            <w:shd w:val="clear" w:color="auto" w:fill="auto"/>
            <w:vAlign w:val="center"/>
          </w:tcPr>
          <w:p w14:paraId="05AFE07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9BB6D7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28.2</w:t>
            </w:r>
          </w:p>
        </w:tc>
        <w:tc>
          <w:tcPr>
            <w:tcW w:w="1247" w:type="pct"/>
            <w:tcBorders>
              <w:tl2br w:val="nil"/>
              <w:tr2bl w:val="nil"/>
            </w:tcBorders>
            <w:shd w:val="clear" w:color="auto" w:fill="auto"/>
            <w:vAlign w:val="center"/>
          </w:tcPr>
          <w:p w14:paraId="531599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0.2401</w:t>
            </w:r>
          </w:p>
        </w:tc>
        <w:tc>
          <w:tcPr>
            <w:tcW w:w="1041" w:type="pct"/>
            <w:tcBorders>
              <w:tl2br w:val="nil"/>
              <w:tr2bl w:val="nil"/>
            </w:tcBorders>
            <w:vAlign w:val="center"/>
          </w:tcPr>
          <w:p w14:paraId="4E8664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0.3248</w:t>
            </w:r>
          </w:p>
        </w:tc>
      </w:tr>
      <w:tr w14:paraId="31659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F7AC7C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39" w:type="pct"/>
            <w:vMerge w:val="continue"/>
            <w:tcBorders>
              <w:tl2br w:val="nil"/>
              <w:tr2bl w:val="nil"/>
            </w:tcBorders>
            <w:shd w:val="clear" w:color="auto" w:fill="auto"/>
            <w:vAlign w:val="center"/>
          </w:tcPr>
          <w:p w14:paraId="04D44AF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A9F930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33.2</w:t>
            </w:r>
          </w:p>
        </w:tc>
        <w:tc>
          <w:tcPr>
            <w:tcW w:w="1247" w:type="pct"/>
            <w:tcBorders>
              <w:tl2br w:val="nil"/>
              <w:tr2bl w:val="nil"/>
            </w:tcBorders>
            <w:shd w:val="clear" w:color="auto" w:fill="auto"/>
            <w:vAlign w:val="center"/>
          </w:tcPr>
          <w:p w14:paraId="58D934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0.1696</w:t>
            </w:r>
          </w:p>
        </w:tc>
        <w:tc>
          <w:tcPr>
            <w:tcW w:w="1041" w:type="pct"/>
            <w:tcBorders>
              <w:tl2br w:val="nil"/>
              <w:tr2bl w:val="nil"/>
            </w:tcBorders>
            <w:vAlign w:val="center"/>
          </w:tcPr>
          <w:p w14:paraId="173EC6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0.2313</w:t>
            </w:r>
          </w:p>
        </w:tc>
      </w:tr>
      <w:tr w14:paraId="404FD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2F8764C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39" w:type="pct"/>
            <w:vMerge w:val="continue"/>
            <w:tcBorders>
              <w:tl2br w:val="nil"/>
              <w:tr2bl w:val="nil"/>
            </w:tcBorders>
            <w:shd w:val="clear" w:color="auto" w:fill="auto"/>
            <w:vAlign w:val="center"/>
          </w:tcPr>
          <w:p w14:paraId="008061E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F1694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38.2</w:t>
            </w:r>
          </w:p>
        </w:tc>
        <w:tc>
          <w:tcPr>
            <w:tcW w:w="1247" w:type="pct"/>
            <w:tcBorders>
              <w:tl2br w:val="nil"/>
              <w:tr2bl w:val="nil"/>
            </w:tcBorders>
            <w:shd w:val="clear" w:color="auto" w:fill="auto"/>
            <w:vAlign w:val="center"/>
          </w:tcPr>
          <w:p w14:paraId="6A89D4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0.1261</w:t>
            </w:r>
          </w:p>
        </w:tc>
        <w:tc>
          <w:tcPr>
            <w:tcW w:w="1041" w:type="pct"/>
            <w:tcBorders>
              <w:tl2br w:val="nil"/>
              <w:tr2bl w:val="nil"/>
            </w:tcBorders>
            <w:vAlign w:val="center"/>
          </w:tcPr>
          <w:p w14:paraId="468BDBA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0.1706</w:t>
            </w:r>
          </w:p>
        </w:tc>
      </w:tr>
      <w:tr w14:paraId="57F4C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tcBorders>
              <w:tl2br w:val="nil"/>
              <w:tr2bl w:val="nil"/>
            </w:tcBorders>
            <w:shd w:val="clear" w:color="auto" w:fill="auto"/>
            <w:vAlign w:val="center"/>
          </w:tcPr>
          <w:p w14:paraId="6875BC1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39" w:type="pct"/>
            <w:vMerge w:val="continue"/>
            <w:tcBorders>
              <w:tl2br w:val="nil"/>
              <w:tr2bl w:val="nil"/>
            </w:tcBorders>
            <w:shd w:val="clear" w:color="auto" w:fill="auto"/>
            <w:vAlign w:val="center"/>
          </w:tcPr>
          <w:p w14:paraId="1FF63CB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F891B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43.2</w:t>
            </w:r>
          </w:p>
        </w:tc>
        <w:tc>
          <w:tcPr>
            <w:tcW w:w="1247" w:type="pct"/>
            <w:tcBorders>
              <w:tl2br w:val="nil"/>
              <w:tr2bl w:val="nil"/>
            </w:tcBorders>
            <w:shd w:val="clear" w:color="auto" w:fill="auto"/>
            <w:vAlign w:val="center"/>
          </w:tcPr>
          <w:p w14:paraId="02C27F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0.0975</w:t>
            </w:r>
          </w:p>
        </w:tc>
        <w:tc>
          <w:tcPr>
            <w:tcW w:w="1041" w:type="pct"/>
            <w:tcBorders>
              <w:tl2br w:val="nil"/>
              <w:tr2bl w:val="nil"/>
            </w:tcBorders>
            <w:vAlign w:val="center"/>
          </w:tcPr>
          <w:p w14:paraId="60DEFA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0.1296</w:t>
            </w:r>
          </w:p>
        </w:tc>
      </w:tr>
      <w:tr w14:paraId="4D0A3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1" w:type="pct"/>
            <w:gridSpan w:val="3"/>
            <w:tcBorders>
              <w:tl2br w:val="nil"/>
              <w:tr2bl w:val="nil"/>
            </w:tcBorders>
            <w:shd w:val="clear" w:color="auto" w:fill="auto"/>
            <w:vAlign w:val="center"/>
          </w:tcPr>
          <w:p w14:paraId="156BF2DA">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工频电场强度</w:t>
            </w:r>
            <w:r>
              <w:rPr>
                <w:rFonts w:hint="eastAsia" w:ascii="Times New Roman" w:hAnsi="Times New Roman" w:cs="Times New Roman"/>
                <w:b/>
                <w:bCs/>
                <w:i w:val="0"/>
                <w:iCs w:val="0"/>
                <w:color w:val="auto"/>
                <w:kern w:val="0"/>
                <w:sz w:val="20"/>
                <w:szCs w:val="20"/>
                <w:u w:val="none"/>
                <w:lang w:val="en-US" w:eastAsia="zh-CN" w:bidi="ar"/>
              </w:rPr>
              <w:t>最大值</w:t>
            </w:r>
          </w:p>
        </w:tc>
        <w:tc>
          <w:tcPr>
            <w:tcW w:w="1247" w:type="pct"/>
            <w:tcBorders>
              <w:tl2br w:val="nil"/>
              <w:tr2bl w:val="nil"/>
            </w:tcBorders>
            <w:shd w:val="clear" w:color="auto" w:fill="auto"/>
            <w:vAlign w:val="center"/>
          </w:tcPr>
          <w:p w14:paraId="46170C67">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5.8631</w:t>
            </w:r>
          </w:p>
        </w:tc>
        <w:tc>
          <w:tcPr>
            <w:tcW w:w="1041" w:type="pct"/>
            <w:tcBorders>
              <w:tl2br w:val="nil"/>
              <w:tr2bl w:val="nil"/>
            </w:tcBorders>
            <w:vAlign w:val="center"/>
          </w:tcPr>
          <w:p w14:paraId="6ABE8BF6">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eastAsia" w:ascii="Times New Roman" w:hAnsi="Times New Roman" w:cs="Times New Roman"/>
                <w:b/>
                <w:bCs/>
                <w:i w:val="0"/>
                <w:iCs w:val="0"/>
                <w:color w:val="auto"/>
                <w:kern w:val="0"/>
                <w:sz w:val="20"/>
                <w:szCs w:val="20"/>
                <w:u w:val="none"/>
                <w:lang w:val="en-US" w:eastAsia="zh-CN" w:bidi="ar"/>
              </w:rPr>
              <w:t>2.1393</w:t>
            </w:r>
          </w:p>
        </w:tc>
      </w:tr>
    </w:tbl>
    <w:p w14:paraId="6F5C6CB0">
      <w:pPr>
        <w:adjustRightInd w:val="0"/>
        <w:snapToGrid w:val="0"/>
        <w:rPr>
          <w:color w:val="auto"/>
          <w:highlight w:val="none"/>
        </w:rPr>
      </w:pPr>
    </w:p>
    <w:p w14:paraId="7D17AC08">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3400" cy="2703830"/>
            <wp:effectExtent l="0" t="0" r="6350" b="1270"/>
            <wp:docPr id="5" name="图片 5" descr="工频电场图 单回三角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工频电场图 单回三角排列 7.5m"/>
                    <pic:cNvPicPr>
                      <a:picLocks noChangeAspect="1"/>
                    </pic:cNvPicPr>
                  </pic:nvPicPr>
                  <pic:blipFill>
                    <a:blip r:embed="rId82"/>
                    <a:stretch>
                      <a:fillRect/>
                    </a:stretch>
                  </pic:blipFill>
                  <pic:spPr>
                    <a:xfrm>
                      <a:off x="0" y="0"/>
                      <a:ext cx="5613400" cy="2703830"/>
                    </a:xfrm>
                    <a:prstGeom prst="rect">
                      <a:avLst/>
                    </a:prstGeom>
                  </pic:spPr>
                </pic:pic>
              </a:graphicData>
            </a:graphic>
          </wp:inline>
        </w:drawing>
      </w:r>
    </w:p>
    <w:p w14:paraId="34BD3CAA">
      <w:pPr>
        <w:pStyle w:val="2"/>
        <w:adjustRightInd w:val="0"/>
        <w:snapToGrid w:val="0"/>
        <w:spacing w:after="0"/>
        <w:jc w:val="center"/>
        <w:rPr>
          <w:rFonts w:cs="Times New Roman"/>
          <w:b/>
          <w:color w:val="auto"/>
          <w:sz w:val="24"/>
          <w:highlight w:val="none"/>
        </w:rPr>
      </w:pPr>
      <w:r>
        <w:rPr>
          <w:rFonts w:cs="Times New Roman"/>
          <w:b/>
          <w:color w:val="auto"/>
          <w:sz w:val="24"/>
          <w:highlight w:val="none"/>
        </w:rPr>
        <w:t>图5-</w:t>
      </w:r>
      <w:r>
        <w:rPr>
          <w:rFonts w:hint="eastAsia" w:cs="Times New Roman"/>
          <w:b/>
          <w:color w:val="auto"/>
          <w:sz w:val="24"/>
          <w:highlight w:val="none"/>
          <w:lang w:val="en-US" w:eastAsia="zh-CN"/>
        </w:rPr>
        <w:t>17</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cs="Times New Roman"/>
          <w:b/>
          <w:color w:val="auto"/>
          <w:sz w:val="24"/>
          <w:highlight w:val="none"/>
        </w:rPr>
        <w:t>工频电场强度分布图</w:t>
      </w:r>
    </w:p>
    <w:p w14:paraId="62236C84">
      <w:pPr>
        <w:pStyle w:val="2"/>
        <w:adjustRightInd w:val="0"/>
        <w:snapToGrid w:val="0"/>
        <w:spacing w:after="0"/>
        <w:jc w:val="center"/>
        <w:rPr>
          <w:rFonts w:hint="eastAsia" w:eastAsia="宋体" w:cs="Times New Roman"/>
          <w:b/>
          <w:color w:val="auto"/>
          <w:sz w:val="24"/>
          <w:highlight w:val="none"/>
          <w:lang w:eastAsia="zh-CN"/>
        </w:rPr>
      </w:pPr>
      <w:r>
        <w:rPr>
          <w:rFonts w:hint="eastAsia" w:eastAsia="宋体" w:cs="Times New Roman"/>
          <w:b/>
          <w:color w:val="auto"/>
          <w:sz w:val="24"/>
          <w:highlight w:val="none"/>
          <w:lang w:eastAsia="zh-CN"/>
        </w:rPr>
        <w:drawing>
          <wp:inline distT="0" distB="0" distL="114300" distR="114300">
            <wp:extent cx="5611495" cy="3350260"/>
            <wp:effectExtent l="0" t="0" r="8255" b="2540"/>
            <wp:docPr id="7" name="图片 7" descr="电场等值线图 单回三角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电场等值线图 单回三角排列 7.5m"/>
                    <pic:cNvPicPr>
                      <a:picLocks noChangeAspect="1"/>
                    </pic:cNvPicPr>
                  </pic:nvPicPr>
                  <pic:blipFill>
                    <a:blip r:embed="rId83"/>
                    <a:stretch>
                      <a:fillRect/>
                    </a:stretch>
                  </pic:blipFill>
                  <pic:spPr>
                    <a:xfrm>
                      <a:off x="0" y="0"/>
                      <a:ext cx="5611495" cy="3350260"/>
                    </a:xfrm>
                    <a:prstGeom prst="rect">
                      <a:avLst/>
                    </a:prstGeom>
                  </pic:spPr>
                </pic:pic>
              </a:graphicData>
            </a:graphic>
          </wp:inline>
        </w:drawing>
      </w:r>
    </w:p>
    <w:p w14:paraId="51E6D715">
      <w:pPr>
        <w:pStyle w:val="2"/>
        <w:adjustRightInd w:val="0"/>
        <w:snapToGrid w:val="0"/>
        <w:spacing w:after="0"/>
        <w:jc w:val="center"/>
        <w:rPr>
          <w:rFonts w:hint="eastAsia" w:eastAsia="宋体"/>
          <w:bCs/>
          <w:color w:val="auto"/>
          <w:spacing w:val="-6"/>
          <w:sz w:val="24"/>
          <w:highlight w:val="none"/>
          <w:lang w:eastAsia="zh-CN"/>
        </w:rPr>
      </w:pPr>
      <w:r>
        <w:rPr>
          <w:rFonts w:cs="Times New Roman"/>
          <w:b/>
          <w:color w:val="auto"/>
          <w:sz w:val="24"/>
          <w:highlight w:val="none"/>
        </w:rPr>
        <w:t>图5-</w:t>
      </w:r>
      <w:r>
        <w:rPr>
          <w:rFonts w:hint="eastAsia" w:cs="Times New Roman"/>
          <w:b/>
          <w:color w:val="auto"/>
          <w:sz w:val="24"/>
          <w:highlight w:val="none"/>
          <w:lang w:val="en-US" w:eastAsia="zh-CN"/>
        </w:rPr>
        <w:t>18</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cs="Times New Roman"/>
          <w:b/>
          <w:color w:val="auto"/>
          <w:sz w:val="24"/>
          <w:highlight w:val="none"/>
        </w:rPr>
        <w:t>工频电场强度</w:t>
      </w:r>
      <w:r>
        <w:rPr>
          <w:rFonts w:hint="eastAsia"/>
          <w:b/>
          <w:color w:val="auto"/>
          <w:sz w:val="24"/>
          <w:highlight w:val="none"/>
          <w:lang w:val="en-US" w:eastAsia="zh-CN"/>
        </w:rPr>
        <w:t>等值线图</w:t>
      </w:r>
    </w:p>
    <w:p w14:paraId="0CE3D64F">
      <w:pPr>
        <w:pStyle w:val="2"/>
        <w:adjustRightInd w:val="0"/>
        <w:snapToGrid w:val="0"/>
        <w:spacing w:after="0"/>
        <w:jc w:val="center"/>
        <w:rPr>
          <w:rFonts w:hint="eastAsia" w:eastAsia="宋体" w:cs="Times New Roman"/>
          <w:b/>
          <w:color w:val="auto"/>
          <w:sz w:val="24"/>
          <w:highlight w:val="none"/>
          <w:lang w:eastAsia="zh-CN"/>
        </w:rPr>
      </w:pPr>
      <w:r>
        <w:rPr>
          <w:rFonts w:hint="eastAsia" w:eastAsia="宋体" w:cs="Times New Roman"/>
          <w:b/>
          <w:color w:val="auto"/>
          <w:sz w:val="24"/>
          <w:highlight w:val="none"/>
          <w:lang w:eastAsia="zh-CN"/>
        </w:rPr>
        <w:drawing>
          <wp:inline distT="0" distB="0" distL="114300" distR="114300">
            <wp:extent cx="5613400" cy="3291840"/>
            <wp:effectExtent l="0" t="0" r="6350" b="3810"/>
            <wp:docPr id="9" name="图片 9" descr="工频电场图 单回三角排列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工频电场图 单回三角排列13.8m"/>
                    <pic:cNvPicPr>
                      <a:picLocks noChangeAspect="1"/>
                    </pic:cNvPicPr>
                  </pic:nvPicPr>
                  <pic:blipFill>
                    <a:blip r:embed="rId84"/>
                    <a:stretch>
                      <a:fillRect/>
                    </a:stretch>
                  </pic:blipFill>
                  <pic:spPr>
                    <a:xfrm>
                      <a:off x="0" y="0"/>
                      <a:ext cx="5613400" cy="3291840"/>
                    </a:xfrm>
                    <a:prstGeom prst="rect">
                      <a:avLst/>
                    </a:prstGeom>
                  </pic:spPr>
                </pic:pic>
              </a:graphicData>
            </a:graphic>
          </wp:inline>
        </w:drawing>
      </w:r>
    </w:p>
    <w:p w14:paraId="503E60FE">
      <w:pPr>
        <w:pStyle w:val="2"/>
        <w:adjustRightInd w:val="0"/>
        <w:snapToGrid w:val="0"/>
        <w:spacing w:after="0"/>
        <w:jc w:val="center"/>
        <w:rPr>
          <w:rFonts w:cs="Times New Roman"/>
          <w:b/>
          <w:color w:val="auto"/>
          <w:sz w:val="24"/>
          <w:highlight w:val="none"/>
        </w:rPr>
      </w:pPr>
      <w:r>
        <w:rPr>
          <w:rFonts w:cs="Times New Roman"/>
          <w:b/>
          <w:color w:val="auto"/>
          <w:sz w:val="24"/>
          <w:highlight w:val="none"/>
        </w:rPr>
        <w:t>图5-</w:t>
      </w:r>
      <w:r>
        <w:rPr>
          <w:rFonts w:hint="eastAsia" w:cs="Times New Roman"/>
          <w:b/>
          <w:color w:val="auto"/>
          <w:sz w:val="24"/>
          <w:highlight w:val="none"/>
          <w:lang w:val="en-US" w:eastAsia="zh-CN"/>
        </w:rPr>
        <w:t>19</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cs="Times New Roman"/>
          <w:b/>
          <w:color w:val="auto"/>
          <w:sz w:val="24"/>
          <w:highlight w:val="none"/>
        </w:rPr>
        <w:t>工频电场强度分布图</w:t>
      </w:r>
    </w:p>
    <w:p w14:paraId="1232EA24">
      <w:pPr>
        <w:pStyle w:val="2"/>
        <w:adjustRightInd w:val="0"/>
        <w:snapToGrid w:val="0"/>
        <w:spacing w:after="0"/>
        <w:jc w:val="center"/>
        <w:rPr>
          <w:rFonts w:hint="eastAsia"/>
          <w:b/>
          <w:color w:val="auto"/>
          <w:sz w:val="24"/>
          <w:highlight w:val="none"/>
          <w:lang w:val="en-US" w:eastAsia="zh-CN"/>
        </w:rPr>
      </w:pPr>
      <w:r>
        <w:rPr>
          <w:rFonts w:hint="eastAsia"/>
          <w:b/>
          <w:color w:val="auto"/>
          <w:sz w:val="24"/>
          <w:highlight w:val="none"/>
          <w:lang w:val="en-US" w:eastAsia="zh-CN"/>
        </w:rPr>
        <w:drawing>
          <wp:inline distT="0" distB="0" distL="114300" distR="114300">
            <wp:extent cx="5611495" cy="3232150"/>
            <wp:effectExtent l="0" t="0" r="8255" b="6350"/>
            <wp:docPr id="43" name="图片 43" descr="3ec1d35877dae1d70d04b7a470b304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3ec1d35877dae1d70d04b7a470b3043b"/>
                    <pic:cNvPicPr>
                      <a:picLocks noChangeAspect="1"/>
                    </pic:cNvPicPr>
                  </pic:nvPicPr>
                  <pic:blipFill>
                    <a:blip r:embed="rId85"/>
                    <a:srcRect b="3525"/>
                    <a:stretch>
                      <a:fillRect/>
                    </a:stretch>
                  </pic:blipFill>
                  <pic:spPr>
                    <a:xfrm>
                      <a:off x="0" y="0"/>
                      <a:ext cx="5611495" cy="3232150"/>
                    </a:xfrm>
                    <a:prstGeom prst="rect">
                      <a:avLst/>
                    </a:prstGeom>
                  </pic:spPr>
                </pic:pic>
              </a:graphicData>
            </a:graphic>
          </wp:inline>
        </w:drawing>
      </w:r>
    </w:p>
    <w:p w14:paraId="4A577003">
      <w:pPr>
        <w:pStyle w:val="2"/>
        <w:adjustRightInd w:val="0"/>
        <w:snapToGrid w:val="0"/>
        <w:spacing w:after="0"/>
        <w:jc w:val="center"/>
        <w:rPr>
          <w:rFonts w:hint="eastAsia" w:eastAsia="宋体"/>
          <w:bCs/>
          <w:color w:val="auto"/>
          <w:spacing w:val="-6"/>
          <w:sz w:val="24"/>
          <w:highlight w:val="none"/>
          <w:lang w:eastAsia="zh-CN"/>
        </w:rPr>
      </w:pPr>
      <w:r>
        <w:rPr>
          <w:rFonts w:cs="Times New Roman"/>
          <w:b/>
          <w:color w:val="auto"/>
          <w:sz w:val="24"/>
          <w:highlight w:val="none"/>
        </w:rPr>
        <w:t>图5-</w:t>
      </w:r>
      <w:r>
        <w:rPr>
          <w:rFonts w:hint="eastAsia" w:cs="Times New Roman"/>
          <w:b/>
          <w:color w:val="auto"/>
          <w:sz w:val="24"/>
          <w:highlight w:val="none"/>
          <w:lang w:val="en-US" w:eastAsia="zh-CN"/>
        </w:rPr>
        <w:t>20</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cs="Times New Roman"/>
          <w:b/>
          <w:color w:val="auto"/>
          <w:sz w:val="24"/>
          <w:highlight w:val="none"/>
        </w:rPr>
        <w:t>工频电场强度</w:t>
      </w:r>
      <w:r>
        <w:rPr>
          <w:rFonts w:hint="eastAsia"/>
          <w:b/>
          <w:color w:val="auto"/>
          <w:sz w:val="24"/>
          <w:highlight w:val="none"/>
          <w:lang w:val="en-US" w:eastAsia="zh-CN"/>
        </w:rPr>
        <w:t>等值线图</w:t>
      </w:r>
    </w:p>
    <w:p w14:paraId="5E5974D9">
      <w:pPr>
        <w:pStyle w:val="2"/>
        <w:adjustRightInd w:val="0"/>
        <w:spacing w:before="156" w:beforeLines="50" w:after="0"/>
        <w:jc w:val="center"/>
        <w:rPr>
          <w:rFonts w:hint="eastAsia" w:ascii="Times New Roman" w:hAnsi="Times New Roman" w:cs="Times New Roman"/>
          <w:b/>
          <w:bCs/>
          <w:color w:val="auto"/>
          <w:spacing w:val="-6"/>
          <w:sz w:val="24"/>
          <w:highlight w:val="none"/>
        </w:rPr>
      </w:pPr>
      <w:r>
        <w:rPr>
          <w:rFonts w:ascii="Times New Roman" w:hAnsi="Times New Roman" w:cs="Times New Roman"/>
          <w:b/>
          <w:bCs/>
          <w:color w:val="auto"/>
          <w:spacing w:val="-6"/>
          <w:sz w:val="24"/>
          <w:highlight w:val="none"/>
        </w:rPr>
        <w:t>表5-</w:t>
      </w:r>
      <w:r>
        <w:rPr>
          <w:rFonts w:hint="eastAsia" w:cs="Times New Roman"/>
          <w:b/>
          <w:bCs/>
          <w:color w:val="auto"/>
          <w:spacing w:val="-6"/>
          <w:sz w:val="24"/>
          <w:highlight w:val="none"/>
          <w:lang w:val="en-US" w:eastAsia="zh-CN"/>
        </w:rPr>
        <w:t>6</w:t>
      </w:r>
      <w:r>
        <w:rPr>
          <w:rFonts w:ascii="Times New Roman" w:hAnsi="Times New Roman" w:cs="Times New Roman"/>
          <w:b/>
          <w:bCs/>
          <w:color w:val="auto"/>
          <w:spacing w:val="-6"/>
          <w:sz w:val="24"/>
          <w:highlight w:val="none"/>
        </w:rPr>
        <w:t xml:space="preserve"> </w:t>
      </w:r>
      <w:r>
        <w:rPr>
          <w:rFonts w:hint="eastAsia" w:ascii="Times New Roman" w:hAnsi="Times New Roman" w:cs="Times New Roman"/>
          <w:b/>
          <w:bCs/>
          <w:color w:val="auto"/>
          <w:spacing w:val="-6"/>
          <w:sz w:val="24"/>
          <w:highlight w:val="none"/>
        </w:rPr>
        <w:t xml:space="preserve"> 220kV</w:t>
      </w:r>
      <w:r>
        <w:rPr>
          <w:rFonts w:ascii="Times New Roman" w:hAnsi="Times New Roman" w:cs="Times New Roman"/>
          <w:b/>
          <w:bCs/>
          <w:color w:val="auto"/>
          <w:spacing w:val="-6"/>
          <w:sz w:val="24"/>
          <w:highlight w:val="none"/>
        </w:rPr>
        <w:t>单回路</w:t>
      </w:r>
      <w:r>
        <w:rPr>
          <w:rFonts w:hint="eastAsia" w:cs="Times New Roman"/>
          <w:b/>
          <w:color w:val="auto"/>
          <w:sz w:val="24"/>
          <w:highlight w:val="none"/>
          <w:lang w:val="en-US" w:eastAsia="zh-CN"/>
        </w:rPr>
        <w:t>三角排列</w:t>
      </w:r>
      <w:r>
        <w:rPr>
          <w:rFonts w:hint="eastAsia" w:ascii="Times New Roman" w:hAnsi="Times New Roman" w:cs="Times New Roman"/>
          <w:b/>
          <w:bCs/>
          <w:color w:val="auto"/>
          <w:spacing w:val="-6"/>
          <w:sz w:val="24"/>
          <w:highlight w:val="none"/>
        </w:rPr>
        <w:t>架设</w:t>
      </w:r>
      <w:r>
        <w:rPr>
          <w:rFonts w:cs="Times New Roman"/>
          <w:b/>
          <w:color w:val="auto"/>
          <w:sz w:val="24"/>
          <w:highlight w:val="none"/>
        </w:rPr>
        <w:t>工频</w:t>
      </w:r>
      <w:r>
        <w:rPr>
          <w:rFonts w:hint="eastAsia" w:cs="Times New Roman"/>
          <w:b/>
          <w:color w:val="auto"/>
          <w:sz w:val="24"/>
          <w:highlight w:val="none"/>
        </w:rPr>
        <w:t>磁感应</w:t>
      </w:r>
      <w:r>
        <w:rPr>
          <w:rFonts w:cs="Times New Roman"/>
          <w:b/>
          <w:color w:val="auto"/>
          <w:sz w:val="24"/>
          <w:highlight w:val="none"/>
          <w:lang w:eastAsia="zh-Hans"/>
        </w:rPr>
        <w:t>强度</w:t>
      </w:r>
      <w:r>
        <w:rPr>
          <w:rFonts w:cs="Times New Roman"/>
          <w:b/>
          <w:color w:val="auto"/>
          <w:sz w:val="24"/>
          <w:highlight w:val="none"/>
        </w:rPr>
        <w:t>预测结果</w:t>
      </w:r>
      <w:r>
        <w:rPr>
          <w:rFonts w:hint="eastAsia" w:cs="Times New Roman"/>
          <w:b/>
          <w:color w:val="auto"/>
          <w:sz w:val="24"/>
          <w:highlight w:val="none"/>
        </w:rPr>
        <w:t xml:space="preserve"> </w:t>
      </w:r>
      <w:r>
        <w:rPr>
          <w:rFonts w:cs="Times New Roman"/>
          <w:b/>
          <w:color w:val="auto"/>
          <w:sz w:val="24"/>
          <w:highlight w:val="none"/>
        </w:rPr>
        <w:t xml:space="preserve"> 单位：μT</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1478"/>
        <w:gridCol w:w="1484"/>
        <w:gridCol w:w="3026"/>
        <w:gridCol w:w="1343"/>
      </w:tblGrid>
      <w:tr w14:paraId="500F90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vMerge w:val="restart"/>
            <w:tcBorders>
              <w:tl2br w:val="nil"/>
              <w:tr2bl w:val="nil"/>
            </w:tcBorders>
            <w:vAlign w:val="center"/>
          </w:tcPr>
          <w:p w14:paraId="26106E2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距线路中心距离（m）</w:t>
            </w:r>
          </w:p>
        </w:tc>
        <w:tc>
          <w:tcPr>
            <w:tcW w:w="1634" w:type="pct"/>
            <w:gridSpan w:val="2"/>
            <w:vMerge w:val="restart"/>
            <w:tcBorders>
              <w:tl2br w:val="nil"/>
              <w:tr2bl w:val="nil"/>
            </w:tcBorders>
            <w:vAlign w:val="center"/>
          </w:tcPr>
          <w:p w14:paraId="257B55B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距边导线距离（m）</w:t>
            </w:r>
          </w:p>
        </w:tc>
        <w:tc>
          <w:tcPr>
            <w:tcW w:w="2411" w:type="pct"/>
            <w:gridSpan w:val="2"/>
            <w:tcBorders>
              <w:tl2br w:val="nil"/>
              <w:tr2bl w:val="nil"/>
            </w:tcBorders>
            <w:vAlign w:val="center"/>
          </w:tcPr>
          <w:p w14:paraId="5DCB2CC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导线高度（m），离地1.5m处</w:t>
            </w:r>
          </w:p>
        </w:tc>
      </w:tr>
      <w:tr w14:paraId="1341B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vMerge w:val="continue"/>
            <w:tcBorders>
              <w:tl2br w:val="nil"/>
              <w:tr2bl w:val="nil"/>
            </w:tcBorders>
            <w:vAlign w:val="center"/>
          </w:tcPr>
          <w:p w14:paraId="412F13B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p>
        </w:tc>
        <w:tc>
          <w:tcPr>
            <w:tcW w:w="1634" w:type="pct"/>
            <w:gridSpan w:val="2"/>
            <w:vMerge w:val="continue"/>
            <w:tcBorders>
              <w:tl2br w:val="nil"/>
              <w:tr2bl w:val="nil"/>
            </w:tcBorders>
            <w:vAlign w:val="center"/>
          </w:tcPr>
          <w:p w14:paraId="6EFF657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p>
        </w:tc>
        <w:tc>
          <w:tcPr>
            <w:tcW w:w="1670" w:type="pct"/>
            <w:tcBorders>
              <w:tl2br w:val="nil"/>
              <w:tr2bl w:val="nil"/>
            </w:tcBorders>
            <w:vAlign w:val="center"/>
          </w:tcPr>
          <w:p w14:paraId="347B402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7.5m</w:t>
            </w:r>
          </w:p>
        </w:tc>
        <w:tc>
          <w:tcPr>
            <w:tcW w:w="741" w:type="pct"/>
            <w:tcBorders>
              <w:tl2br w:val="nil"/>
              <w:tr2bl w:val="nil"/>
            </w:tcBorders>
            <w:vAlign w:val="center"/>
          </w:tcPr>
          <w:p w14:paraId="1308A59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13.</w:t>
            </w:r>
            <w:r>
              <w:rPr>
                <w:rFonts w:hint="eastAsia" w:ascii="Times New Roman" w:hAnsi="Times New Roman" w:cs="Times New Roman"/>
                <w:b/>
                <w:bCs/>
                <w:color w:val="auto"/>
                <w:sz w:val="21"/>
                <w:szCs w:val="21"/>
                <w:highlight w:val="none"/>
                <w:lang w:val="en-US" w:eastAsia="zh-CN"/>
              </w:rPr>
              <w:t>8</w:t>
            </w:r>
            <w:r>
              <w:rPr>
                <w:rFonts w:hint="default" w:ascii="Times New Roman" w:hAnsi="Times New Roman" w:cs="Times New Roman"/>
                <w:b/>
                <w:bCs/>
                <w:color w:val="auto"/>
                <w:sz w:val="21"/>
                <w:szCs w:val="21"/>
                <w:highlight w:val="none"/>
              </w:rPr>
              <w:t>m</w:t>
            </w:r>
          </w:p>
        </w:tc>
      </w:tr>
      <w:tr w14:paraId="7AEEF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6F07B6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16" w:type="pct"/>
            <w:vMerge w:val="restart"/>
            <w:tcBorders>
              <w:tl2br w:val="nil"/>
              <w:tr2bl w:val="nil"/>
            </w:tcBorders>
            <w:shd w:val="clear" w:color="auto" w:fill="auto"/>
            <w:vAlign w:val="center"/>
          </w:tcPr>
          <w:p w14:paraId="0C478F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边导线外</w:t>
            </w:r>
          </w:p>
        </w:tc>
        <w:tc>
          <w:tcPr>
            <w:tcW w:w="818" w:type="pct"/>
            <w:tcBorders>
              <w:tl2br w:val="nil"/>
              <w:tr2bl w:val="nil"/>
            </w:tcBorders>
            <w:shd w:val="clear" w:color="auto" w:fill="auto"/>
            <w:vAlign w:val="bottom"/>
          </w:tcPr>
          <w:p w14:paraId="2B74F1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-41.7</w:t>
            </w:r>
          </w:p>
        </w:tc>
        <w:tc>
          <w:tcPr>
            <w:tcW w:w="2954" w:type="dxa"/>
            <w:tcBorders>
              <w:tl2br w:val="nil"/>
              <w:tr2bl w:val="nil"/>
            </w:tcBorders>
            <w:shd w:val="clear" w:color="auto" w:fill="auto"/>
            <w:vAlign w:val="bottom"/>
          </w:tcPr>
          <w:p w14:paraId="31C7EB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1.5215</w:t>
            </w:r>
          </w:p>
        </w:tc>
        <w:tc>
          <w:tcPr>
            <w:tcW w:w="1311" w:type="dxa"/>
            <w:tcBorders>
              <w:tl2br w:val="nil"/>
              <w:tr2bl w:val="nil"/>
            </w:tcBorders>
            <w:shd w:val="clear" w:color="auto" w:fill="auto"/>
            <w:vAlign w:val="bottom"/>
          </w:tcPr>
          <w:p w14:paraId="2314B5F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1.4429</w:t>
            </w:r>
          </w:p>
        </w:tc>
      </w:tr>
      <w:tr w14:paraId="0AA444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5A56047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w:t>
            </w:r>
          </w:p>
        </w:tc>
        <w:tc>
          <w:tcPr>
            <w:tcW w:w="816" w:type="pct"/>
            <w:vMerge w:val="continue"/>
            <w:tcBorders>
              <w:tl2br w:val="nil"/>
              <w:tr2bl w:val="nil"/>
            </w:tcBorders>
            <w:shd w:val="clear" w:color="auto" w:fill="auto"/>
            <w:vAlign w:val="bottom"/>
          </w:tcPr>
          <w:p w14:paraId="3576C2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7D82B94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-36.7</w:t>
            </w:r>
          </w:p>
        </w:tc>
        <w:tc>
          <w:tcPr>
            <w:tcW w:w="2954" w:type="dxa"/>
            <w:tcBorders>
              <w:tl2br w:val="nil"/>
              <w:tr2bl w:val="nil"/>
            </w:tcBorders>
            <w:shd w:val="clear" w:color="auto" w:fill="auto"/>
            <w:vAlign w:val="bottom"/>
          </w:tcPr>
          <w:p w14:paraId="46AF8C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1.8879</w:t>
            </w:r>
          </w:p>
        </w:tc>
        <w:tc>
          <w:tcPr>
            <w:tcW w:w="1311" w:type="dxa"/>
            <w:tcBorders>
              <w:tl2br w:val="nil"/>
              <w:tr2bl w:val="nil"/>
            </w:tcBorders>
            <w:shd w:val="clear" w:color="auto" w:fill="auto"/>
            <w:vAlign w:val="bottom"/>
          </w:tcPr>
          <w:p w14:paraId="728E8F4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1.7675</w:t>
            </w:r>
          </w:p>
        </w:tc>
      </w:tr>
      <w:tr w14:paraId="1A7C8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64EBC2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-40</w:t>
            </w:r>
          </w:p>
        </w:tc>
        <w:tc>
          <w:tcPr>
            <w:tcW w:w="816" w:type="pct"/>
            <w:vMerge w:val="continue"/>
            <w:tcBorders>
              <w:tl2br w:val="nil"/>
              <w:tr2bl w:val="nil"/>
            </w:tcBorders>
            <w:shd w:val="clear" w:color="auto" w:fill="auto"/>
            <w:vAlign w:val="bottom"/>
          </w:tcPr>
          <w:p w14:paraId="33DBE6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4B7F977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-31.7</w:t>
            </w:r>
          </w:p>
        </w:tc>
        <w:tc>
          <w:tcPr>
            <w:tcW w:w="2954" w:type="dxa"/>
            <w:tcBorders>
              <w:tl2br w:val="nil"/>
              <w:tr2bl w:val="nil"/>
            </w:tcBorders>
            <w:shd w:val="clear" w:color="auto" w:fill="auto"/>
            <w:vAlign w:val="bottom"/>
          </w:tcPr>
          <w:p w14:paraId="2B8D02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2.4047</w:t>
            </w:r>
          </w:p>
        </w:tc>
        <w:tc>
          <w:tcPr>
            <w:tcW w:w="1311" w:type="dxa"/>
            <w:tcBorders>
              <w:tl2br w:val="nil"/>
              <w:tr2bl w:val="nil"/>
            </w:tcBorders>
            <w:shd w:val="clear" w:color="auto" w:fill="auto"/>
            <w:vAlign w:val="bottom"/>
          </w:tcPr>
          <w:p w14:paraId="701CE0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2.2109</w:t>
            </w:r>
          </w:p>
        </w:tc>
      </w:tr>
      <w:tr w14:paraId="330B0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1C4C87A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816" w:type="pct"/>
            <w:vMerge w:val="continue"/>
            <w:tcBorders>
              <w:tl2br w:val="nil"/>
              <w:tr2bl w:val="nil"/>
            </w:tcBorders>
            <w:shd w:val="clear" w:color="auto" w:fill="auto"/>
            <w:vAlign w:val="bottom"/>
          </w:tcPr>
          <w:p w14:paraId="48A4FA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7060FD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-26.7</w:t>
            </w:r>
          </w:p>
        </w:tc>
        <w:tc>
          <w:tcPr>
            <w:tcW w:w="2954" w:type="dxa"/>
            <w:tcBorders>
              <w:tl2br w:val="nil"/>
              <w:tr2bl w:val="nil"/>
            </w:tcBorders>
            <w:shd w:val="clear" w:color="auto" w:fill="auto"/>
            <w:vAlign w:val="bottom"/>
          </w:tcPr>
          <w:p w14:paraId="7C5B68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3.1669</w:t>
            </w:r>
          </w:p>
        </w:tc>
        <w:tc>
          <w:tcPr>
            <w:tcW w:w="1311" w:type="dxa"/>
            <w:tcBorders>
              <w:tl2br w:val="nil"/>
              <w:tr2bl w:val="nil"/>
            </w:tcBorders>
            <w:shd w:val="clear" w:color="auto" w:fill="auto"/>
            <w:vAlign w:val="bottom"/>
          </w:tcPr>
          <w:p w14:paraId="084285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2.8351</w:t>
            </w:r>
          </w:p>
        </w:tc>
      </w:tr>
      <w:tr w14:paraId="63539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A0FC4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w:t>
            </w:r>
          </w:p>
        </w:tc>
        <w:tc>
          <w:tcPr>
            <w:tcW w:w="816" w:type="pct"/>
            <w:vMerge w:val="continue"/>
            <w:tcBorders>
              <w:tl2br w:val="nil"/>
              <w:tr2bl w:val="nil"/>
            </w:tcBorders>
            <w:shd w:val="clear" w:color="auto" w:fill="auto"/>
            <w:vAlign w:val="bottom"/>
          </w:tcPr>
          <w:p w14:paraId="4D05624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641C4A5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-21.7</w:t>
            </w:r>
          </w:p>
        </w:tc>
        <w:tc>
          <w:tcPr>
            <w:tcW w:w="2954" w:type="dxa"/>
            <w:tcBorders>
              <w:tl2br w:val="nil"/>
              <w:tr2bl w:val="nil"/>
            </w:tcBorders>
            <w:shd w:val="clear" w:color="auto" w:fill="auto"/>
            <w:vAlign w:val="bottom"/>
          </w:tcPr>
          <w:p w14:paraId="71CA54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4.3579</w:t>
            </w:r>
          </w:p>
        </w:tc>
        <w:tc>
          <w:tcPr>
            <w:tcW w:w="1311" w:type="dxa"/>
            <w:tcBorders>
              <w:tl2br w:val="nil"/>
              <w:tr2bl w:val="nil"/>
            </w:tcBorders>
            <w:shd w:val="clear" w:color="auto" w:fill="auto"/>
            <w:vAlign w:val="bottom"/>
          </w:tcPr>
          <w:p w14:paraId="6CB5B9E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3.7426</w:t>
            </w:r>
          </w:p>
        </w:tc>
      </w:tr>
      <w:tr w14:paraId="6365E7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2FAAD5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16" w:type="pct"/>
            <w:vMerge w:val="continue"/>
            <w:tcBorders>
              <w:tl2br w:val="nil"/>
              <w:tr2bl w:val="nil"/>
            </w:tcBorders>
            <w:shd w:val="clear" w:color="auto" w:fill="auto"/>
            <w:vAlign w:val="bottom"/>
          </w:tcPr>
          <w:p w14:paraId="719ACC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0EFF21D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-16.7</w:t>
            </w:r>
          </w:p>
        </w:tc>
        <w:tc>
          <w:tcPr>
            <w:tcW w:w="2954" w:type="dxa"/>
            <w:tcBorders>
              <w:tl2br w:val="nil"/>
              <w:tr2bl w:val="nil"/>
            </w:tcBorders>
            <w:shd w:val="clear" w:color="auto" w:fill="auto"/>
            <w:vAlign w:val="bottom"/>
          </w:tcPr>
          <w:p w14:paraId="309FEC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6.3656</w:t>
            </w:r>
          </w:p>
        </w:tc>
        <w:tc>
          <w:tcPr>
            <w:tcW w:w="1311" w:type="dxa"/>
            <w:tcBorders>
              <w:tl2br w:val="nil"/>
              <w:tr2bl w:val="nil"/>
            </w:tcBorders>
            <w:shd w:val="clear" w:color="auto" w:fill="auto"/>
            <w:vAlign w:val="bottom"/>
          </w:tcPr>
          <w:p w14:paraId="666856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5.1034</w:t>
            </w:r>
          </w:p>
        </w:tc>
      </w:tr>
      <w:tr w14:paraId="451A1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4DB55D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16" w:type="pct"/>
            <w:vMerge w:val="continue"/>
            <w:tcBorders>
              <w:tl2br w:val="nil"/>
              <w:tr2bl w:val="nil"/>
            </w:tcBorders>
            <w:shd w:val="clear" w:color="auto" w:fill="auto"/>
            <w:vAlign w:val="bottom"/>
          </w:tcPr>
          <w:p w14:paraId="7FB8C2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5288E58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-11.7</w:t>
            </w:r>
          </w:p>
        </w:tc>
        <w:tc>
          <w:tcPr>
            <w:tcW w:w="2954" w:type="dxa"/>
            <w:tcBorders>
              <w:tl2br w:val="nil"/>
              <w:tr2bl w:val="nil"/>
            </w:tcBorders>
            <w:shd w:val="clear" w:color="auto" w:fill="auto"/>
            <w:vAlign w:val="bottom"/>
          </w:tcPr>
          <w:p w14:paraId="22CAAD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10.1077</w:t>
            </w:r>
          </w:p>
        </w:tc>
        <w:tc>
          <w:tcPr>
            <w:tcW w:w="1311" w:type="dxa"/>
            <w:tcBorders>
              <w:tl2br w:val="nil"/>
              <w:tr2bl w:val="nil"/>
            </w:tcBorders>
            <w:shd w:val="clear" w:color="auto" w:fill="auto"/>
            <w:vAlign w:val="bottom"/>
          </w:tcPr>
          <w:p w14:paraId="787103D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7.1704</w:t>
            </w:r>
          </w:p>
        </w:tc>
      </w:tr>
      <w:tr w14:paraId="47D5F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3" w:type="pct"/>
            <w:tcBorders>
              <w:tl2br w:val="nil"/>
              <w:tr2bl w:val="nil"/>
            </w:tcBorders>
            <w:shd w:val="clear" w:color="auto" w:fill="auto"/>
            <w:vAlign w:val="bottom"/>
          </w:tcPr>
          <w:p w14:paraId="10897B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816" w:type="pct"/>
            <w:vMerge w:val="continue"/>
            <w:tcBorders>
              <w:tl2br w:val="nil"/>
              <w:tr2bl w:val="nil"/>
            </w:tcBorders>
            <w:shd w:val="clear" w:color="auto" w:fill="auto"/>
            <w:vAlign w:val="bottom"/>
          </w:tcPr>
          <w:p w14:paraId="43CB8D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439864B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-6.7</w:t>
            </w:r>
          </w:p>
        </w:tc>
        <w:tc>
          <w:tcPr>
            <w:tcW w:w="2954" w:type="dxa"/>
            <w:tcBorders>
              <w:tl2br w:val="nil"/>
              <w:tr2bl w:val="nil"/>
            </w:tcBorders>
            <w:shd w:val="clear" w:color="auto" w:fill="auto"/>
            <w:vAlign w:val="bottom"/>
          </w:tcPr>
          <w:p w14:paraId="057B63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17.8943</w:t>
            </w:r>
          </w:p>
        </w:tc>
        <w:tc>
          <w:tcPr>
            <w:tcW w:w="1311" w:type="dxa"/>
            <w:tcBorders>
              <w:tl2br w:val="nil"/>
              <w:tr2bl w:val="nil"/>
            </w:tcBorders>
            <w:shd w:val="clear" w:color="auto" w:fill="auto"/>
            <w:vAlign w:val="bottom"/>
          </w:tcPr>
          <w:p w14:paraId="781AB9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10.1564</w:t>
            </w:r>
          </w:p>
        </w:tc>
      </w:tr>
      <w:tr w14:paraId="3139D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51095F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16" w:type="pct"/>
            <w:vMerge w:val="continue"/>
            <w:tcBorders>
              <w:tl2br w:val="nil"/>
              <w:tr2bl w:val="nil"/>
            </w:tcBorders>
            <w:shd w:val="clear" w:color="auto" w:fill="auto"/>
            <w:vAlign w:val="bottom"/>
          </w:tcPr>
          <w:p w14:paraId="2B3974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1A171A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-31.7</w:t>
            </w:r>
          </w:p>
        </w:tc>
        <w:tc>
          <w:tcPr>
            <w:tcW w:w="1670" w:type="pct"/>
            <w:tcBorders>
              <w:tl2br w:val="nil"/>
              <w:tr2bl w:val="nil"/>
            </w:tcBorders>
            <w:shd w:val="clear" w:color="auto" w:fill="auto"/>
            <w:vAlign w:val="bottom"/>
          </w:tcPr>
          <w:p w14:paraId="424DB2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32.5045</w:t>
            </w:r>
          </w:p>
        </w:tc>
        <w:tc>
          <w:tcPr>
            <w:tcW w:w="1311" w:type="dxa"/>
            <w:tcBorders>
              <w:tl2br w:val="nil"/>
              <w:tr2bl w:val="nil"/>
            </w:tcBorders>
            <w:shd w:val="clear" w:color="auto" w:fill="auto"/>
            <w:vAlign w:val="bottom"/>
          </w:tcPr>
          <w:p w14:paraId="1D18886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13.6222</w:t>
            </w:r>
          </w:p>
        </w:tc>
      </w:tr>
      <w:tr w14:paraId="4BFE0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65E815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w:t>
            </w:r>
          </w:p>
        </w:tc>
        <w:tc>
          <w:tcPr>
            <w:tcW w:w="816" w:type="pct"/>
            <w:vMerge w:val="continue"/>
            <w:tcBorders>
              <w:tl2br w:val="nil"/>
              <w:tr2bl w:val="nil"/>
            </w:tcBorders>
            <w:shd w:val="clear" w:color="auto" w:fill="auto"/>
            <w:vAlign w:val="bottom"/>
          </w:tcPr>
          <w:p w14:paraId="010264D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052C768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-26.7</w:t>
            </w:r>
          </w:p>
        </w:tc>
        <w:tc>
          <w:tcPr>
            <w:tcW w:w="1670" w:type="pct"/>
            <w:tcBorders>
              <w:tl2br w:val="nil"/>
              <w:tr2bl w:val="nil"/>
            </w:tcBorders>
            <w:shd w:val="clear" w:color="auto" w:fill="auto"/>
            <w:vAlign w:val="bottom"/>
          </w:tcPr>
          <w:p w14:paraId="4BB37B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35.3533</w:t>
            </w:r>
          </w:p>
        </w:tc>
        <w:tc>
          <w:tcPr>
            <w:tcW w:w="1311" w:type="dxa"/>
            <w:tcBorders>
              <w:tl2br w:val="nil"/>
              <w:tr2bl w:val="nil"/>
            </w:tcBorders>
            <w:shd w:val="clear" w:color="auto" w:fill="auto"/>
            <w:vAlign w:val="bottom"/>
          </w:tcPr>
          <w:p w14:paraId="30D9AB1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14.2417</w:t>
            </w:r>
          </w:p>
        </w:tc>
      </w:tr>
      <w:tr w14:paraId="4638F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EED912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816" w:type="pct"/>
            <w:vMerge w:val="restart"/>
            <w:tcBorders>
              <w:tl2br w:val="nil"/>
              <w:tr2bl w:val="nil"/>
            </w:tcBorders>
            <w:shd w:val="clear" w:color="auto" w:fill="auto"/>
            <w:vAlign w:val="center"/>
          </w:tcPr>
          <w:p w14:paraId="29A7035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818" w:type="pct"/>
            <w:tcBorders>
              <w:tl2br w:val="nil"/>
              <w:tr2bl w:val="nil"/>
            </w:tcBorders>
            <w:shd w:val="clear" w:color="auto" w:fill="auto"/>
            <w:vAlign w:val="bottom"/>
          </w:tcPr>
          <w:p w14:paraId="34BE18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52DE09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37.5413</w:t>
            </w:r>
          </w:p>
        </w:tc>
        <w:tc>
          <w:tcPr>
            <w:tcW w:w="1311" w:type="dxa"/>
            <w:tcBorders>
              <w:tl2br w:val="nil"/>
              <w:tr2bl w:val="nil"/>
            </w:tcBorders>
            <w:shd w:val="clear" w:color="auto" w:fill="auto"/>
            <w:vAlign w:val="bottom"/>
          </w:tcPr>
          <w:p w14:paraId="28D1A2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14.801</w:t>
            </w:r>
          </w:p>
        </w:tc>
      </w:tr>
      <w:tr w14:paraId="303950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29A83D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816" w:type="pct"/>
            <w:vMerge w:val="continue"/>
            <w:tcBorders>
              <w:tl2br w:val="nil"/>
              <w:tr2bl w:val="nil"/>
            </w:tcBorders>
            <w:shd w:val="clear" w:color="auto" w:fill="auto"/>
            <w:vAlign w:val="bottom"/>
          </w:tcPr>
          <w:p w14:paraId="30715B2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2E53428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099DE06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38.8947</w:t>
            </w:r>
          </w:p>
        </w:tc>
        <w:tc>
          <w:tcPr>
            <w:tcW w:w="1311" w:type="dxa"/>
            <w:tcBorders>
              <w:tl2br w:val="nil"/>
              <w:tr2bl w:val="nil"/>
            </w:tcBorders>
            <w:shd w:val="clear" w:color="auto" w:fill="auto"/>
            <w:vAlign w:val="bottom"/>
          </w:tcPr>
          <w:p w14:paraId="4C97D0F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15.2892</w:t>
            </w:r>
          </w:p>
        </w:tc>
      </w:tr>
      <w:tr w14:paraId="40517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022741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816" w:type="pct"/>
            <w:vMerge w:val="continue"/>
            <w:tcBorders>
              <w:tl2br w:val="nil"/>
              <w:tr2bl w:val="nil"/>
            </w:tcBorders>
            <w:shd w:val="clear" w:color="auto" w:fill="auto"/>
            <w:vAlign w:val="bottom"/>
          </w:tcPr>
          <w:p w14:paraId="76C2E7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26542AE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5941DD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39.4543</w:t>
            </w:r>
          </w:p>
        </w:tc>
        <w:tc>
          <w:tcPr>
            <w:tcW w:w="1311" w:type="dxa"/>
            <w:tcBorders>
              <w:tl2br w:val="nil"/>
              <w:tr2bl w:val="nil"/>
            </w:tcBorders>
            <w:shd w:val="clear" w:color="auto" w:fill="auto"/>
            <w:vAlign w:val="bottom"/>
          </w:tcPr>
          <w:p w14:paraId="366097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15.6994</w:t>
            </w:r>
          </w:p>
        </w:tc>
      </w:tr>
      <w:tr w14:paraId="0B1E1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2513665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816" w:type="pct"/>
            <w:vMerge w:val="continue"/>
            <w:tcBorders>
              <w:tl2br w:val="nil"/>
              <w:tr2bl w:val="nil"/>
            </w:tcBorders>
            <w:shd w:val="clear" w:color="auto" w:fill="auto"/>
            <w:vAlign w:val="bottom"/>
          </w:tcPr>
          <w:p w14:paraId="65C5B0A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6488888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314EFB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39.4279</w:t>
            </w:r>
          </w:p>
        </w:tc>
        <w:tc>
          <w:tcPr>
            <w:tcW w:w="1311" w:type="dxa"/>
            <w:tcBorders>
              <w:tl2br w:val="nil"/>
              <w:tr2bl w:val="nil"/>
            </w:tcBorders>
            <w:shd w:val="clear" w:color="auto" w:fill="auto"/>
            <w:vAlign w:val="bottom"/>
          </w:tcPr>
          <w:p w14:paraId="09EEE4E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16.0291</w:t>
            </w:r>
          </w:p>
        </w:tc>
      </w:tr>
      <w:tr w14:paraId="5E78C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9E295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816" w:type="pct"/>
            <w:vMerge w:val="continue"/>
            <w:tcBorders>
              <w:tl2br w:val="nil"/>
              <w:tr2bl w:val="nil"/>
            </w:tcBorders>
            <w:shd w:val="clear" w:color="auto" w:fill="auto"/>
            <w:vAlign w:val="bottom"/>
          </w:tcPr>
          <w:p w14:paraId="560621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31C0A5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555677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39.0781</w:t>
            </w:r>
          </w:p>
        </w:tc>
        <w:tc>
          <w:tcPr>
            <w:tcW w:w="1311" w:type="dxa"/>
            <w:tcBorders>
              <w:tl2br w:val="nil"/>
              <w:tr2bl w:val="nil"/>
            </w:tcBorders>
            <w:shd w:val="clear" w:color="auto" w:fill="auto"/>
            <w:vAlign w:val="bottom"/>
          </w:tcPr>
          <w:p w14:paraId="031360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16.2793</w:t>
            </w:r>
          </w:p>
        </w:tc>
      </w:tr>
      <w:tr w14:paraId="2FEE20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546C4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816" w:type="pct"/>
            <w:vMerge w:val="continue"/>
            <w:tcBorders>
              <w:tl2br w:val="nil"/>
              <w:tr2bl w:val="nil"/>
            </w:tcBorders>
            <w:shd w:val="clear" w:color="auto" w:fill="auto"/>
            <w:vAlign w:val="bottom"/>
          </w:tcPr>
          <w:p w14:paraId="28322F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2C9B42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6314F77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38.6333</w:t>
            </w:r>
          </w:p>
        </w:tc>
        <w:tc>
          <w:tcPr>
            <w:tcW w:w="1311" w:type="dxa"/>
            <w:tcBorders>
              <w:tl2br w:val="nil"/>
              <w:tr2bl w:val="nil"/>
            </w:tcBorders>
            <w:shd w:val="clear" w:color="auto" w:fill="auto"/>
            <w:vAlign w:val="bottom"/>
          </w:tcPr>
          <w:p w14:paraId="178DCB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16.4536</w:t>
            </w:r>
          </w:p>
        </w:tc>
      </w:tr>
      <w:tr w14:paraId="229E58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8D67F9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816" w:type="pct"/>
            <w:vMerge w:val="continue"/>
            <w:tcBorders>
              <w:tl2br w:val="nil"/>
              <w:tr2bl w:val="nil"/>
            </w:tcBorders>
            <w:shd w:val="clear" w:color="auto" w:fill="auto"/>
            <w:vAlign w:val="bottom"/>
          </w:tcPr>
          <w:p w14:paraId="0D3C722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4E8892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45D771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38.2543</w:t>
            </w:r>
          </w:p>
        </w:tc>
        <w:tc>
          <w:tcPr>
            <w:tcW w:w="1311" w:type="dxa"/>
            <w:tcBorders>
              <w:tl2br w:val="nil"/>
              <w:tr2bl w:val="nil"/>
            </w:tcBorders>
            <w:shd w:val="clear" w:color="auto" w:fill="auto"/>
            <w:vAlign w:val="bottom"/>
          </w:tcPr>
          <w:p w14:paraId="45E9B77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16.5562</w:t>
            </w:r>
          </w:p>
        </w:tc>
      </w:tr>
      <w:tr w14:paraId="504C1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10689D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816" w:type="pct"/>
            <w:vMerge w:val="continue"/>
            <w:tcBorders>
              <w:tl2br w:val="nil"/>
              <w:tr2bl w:val="nil"/>
            </w:tcBorders>
            <w:shd w:val="clear" w:color="auto" w:fill="auto"/>
            <w:vAlign w:val="bottom"/>
          </w:tcPr>
          <w:p w14:paraId="06CFC9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011D0D0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59D3CB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38.0355</w:t>
            </w:r>
          </w:p>
        </w:tc>
        <w:tc>
          <w:tcPr>
            <w:tcW w:w="1311" w:type="dxa"/>
            <w:tcBorders>
              <w:tl2br w:val="nil"/>
              <w:tr2bl w:val="nil"/>
            </w:tcBorders>
            <w:shd w:val="clear" w:color="auto" w:fill="auto"/>
            <w:vAlign w:val="bottom"/>
          </w:tcPr>
          <w:p w14:paraId="375F1A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16.591</w:t>
            </w:r>
          </w:p>
        </w:tc>
      </w:tr>
      <w:tr w14:paraId="07D58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6066EAA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w:t>
            </w:r>
          </w:p>
        </w:tc>
        <w:tc>
          <w:tcPr>
            <w:tcW w:w="816" w:type="pct"/>
            <w:vMerge w:val="continue"/>
            <w:tcBorders>
              <w:tl2br w:val="nil"/>
              <w:tr2bl w:val="nil"/>
            </w:tcBorders>
            <w:shd w:val="clear" w:color="auto" w:fill="auto"/>
            <w:vAlign w:val="bottom"/>
          </w:tcPr>
          <w:p w14:paraId="0028D9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669D87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6249E55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38.0169</w:t>
            </w:r>
          </w:p>
        </w:tc>
        <w:tc>
          <w:tcPr>
            <w:tcW w:w="1311" w:type="dxa"/>
            <w:tcBorders>
              <w:tl2br w:val="nil"/>
              <w:tr2bl w:val="nil"/>
            </w:tcBorders>
            <w:shd w:val="clear" w:color="auto" w:fill="auto"/>
            <w:vAlign w:val="bottom"/>
          </w:tcPr>
          <w:p w14:paraId="05F2A98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16.5602</w:t>
            </w:r>
          </w:p>
        </w:tc>
      </w:tr>
      <w:tr w14:paraId="4A21A7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5946383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816" w:type="pct"/>
            <w:vMerge w:val="continue"/>
            <w:tcBorders>
              <w:tl2br w:val="nil"/>
              <w:tr2bl w:val="nil"/>
            </w:tcBorders>
            <w:shd w:val="clear" w:color="auto" w:fill="auto"/>
            <w:vAlign w:val="bottom"/>
          </w:tcPr>
          <w:p w14:paraId="13EC01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7F17B62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7C6F51B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38.1904</w:t>
            </w:r>
          </w:p>
        </w:tc>
        <w:tc>
          <w:tcPr>
            <w:tcW w:w="1311" w:type="dxa"/>
            <w:tcBorders>
              <w:tl2br w:val="nil"/>
              <w:tr2bl w:val="nil"/>
            </w:tcBorders>
            <w:shd w:val="clear" w:color="auto" w:fill="auto"/>
            <w:vAlign w:val="bottom"/>
          </w:tcPr>
          <w:p w14:paraId="22A3AF9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16.4638</w:t>
            </w:r>
          </w:p>
        </w:tc>
      </w:tr>
      <w:tr w14:paraId="3D1FB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BB9070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816" w:type="pct"/>
            <w:vMerge w:val="continue"/>
            <w:tcBorders>
              <w:tl2br w:val="nil"/>
              <w:tr2bl w:val="nil"/>
            </w:tcBorders>
            <w:shd w:val="clear" w:color="auto" w:fill="auto"/>
            <w:vAlign w:val="bottom"/>
          </w:tcPr>
          <w:p w14:paraId="67ACA87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64B5899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7FF16D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38.4969</w:t>
            </w:r>
          </w:p>
        </w:tc>
        <w:tc>
          <w:tcPr>
            <w:tcW w:w="1311" w:type="dxa"/>
            <w:tcBorders>
              <w:tl2br w:val="nil"/>
              <w:tr2bl w:val="nil"/>
            </w:tcBorders>
            <w:shd w:val="clear" w:color="auto" w:fill="auto"/>
            <w:vAlign w:val="bottom"/>
          </w:tcPr>
          <w:p w14:paraId="04F9AB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16.2998</w:t>
            </w:r>
          </w:p>
        </w:tc>
      </w:tr>
      <w:tr w14:paraId="172634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85B69D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816" w:type="pct"/>
            <w:vMerge w:val="continue"/>
            <w:tcBorders>
              <w:tl2br w:val="nil"/>
              <w:tr2bl w:val="nil"/>
            </w:tcBorders>
            <w:shd w:val="clear" w:color="auto" w:fill="auto"/>
            <w:vAlign w:val="bottom"/>
          </w:tcPr>
          <w:p w14:paraId="122115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3C928C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1AF27FE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38.8163</w:t>
            </w:r>
          </w:p>
        </w:tc>
        <w:tc>
          <w:tcPr>
            <w:tcW w:w="1311" w:type="dxa"/>
            <w:tcBorders>
              <w:tl2br w:val="nil"/>
              <w:tr2bl w:val="nil"/>
            </w:tcBorders>
            <w:shd w:val="clear" w:color="auto" w:fill="auto"/>
            <w:vAlign w:val="bottom"/>
          </w:tcPr>
          <w:p w14:paraId="6128FC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16.0652</w:t>
            </w:r>
          </w:p>
        </w:tc>
      </w:tr>
      <w:tr w14:paraId="1C4443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4C66959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816" w:type="pct"/>
            <w:vMerge w:val="continue"/>
            <w:tcBorders>
              <w:tl2br w:val="nil"/>
              <w:tr2bl w:val="nil"/>
            </w:tcBorders>
            <w:shd w:val="clear" w:color="auto" w:fill="auto"/>
            <w:vAlign w:val="bottom"/>
          </w:tcPr>
          <w:p w14:paraId="03A9B6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00A8565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6C0ADA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38.9579</w:t>
            </w:r>
          </w:p>
        </w:tc>
        <w:tc>
          <w:tcPr>
            <w:tcW w:w="1311" w:type="dxa"/>
            <w:tcBorders>
              <w:tl2br w:val="nil"/>
              <w:tr2bl w:val="nil"/>
            </w:tcBorders>
            <w:shd w:val="clear" w:color="auto" w:fill="auto"/>
            <w:vAlign w:val="bottom"/>
          </w:tcPr>
          <w:p w14:paraId="0C61835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15.7565</w:t>
            </w:r>
          </w:p>
        </w:tc>
      </w:tr>
      <w:tr w14:paraId="302A2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1C4D272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816" w:type="pct"/>
            <w:vMerge w:val="continue"/>
            <w:tcBorders>
              <w:tl2br w:val="nil"/>
              <w:tr2bl w:val="nil"/>
            </w:tcBorders>
            <w:shd w:val="clear" w:color="auto" w:fill="auto"/>
            <w:vAlign w:val="bottom"/>
          </w:tcPr>
          <w:p w14:paraId="4BAA71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47110ED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4E4241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38.6732</w:t>
            </w:r>
          </w:p>
        </w:tc>
        <w:tc>
          <w:tcPr>
            <w:tcW w:w="1311" w:type="dxa"/>
            <w:tcBorders>
              <w:tl2br w:val="nil"/>
              <w:tr2bl w:val="nil"/>
            </w:tcBorders>
            <w:shd w:val="clear" w:color="auto" w:fill="auto"/>
            <w:vAlign w:val="bottom"/>
          </w:tcPr>
          <w:p w14:paraId="71B3ED5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15.3717</w:t>
            </w:r>
          </w:p>
        </w:tc>
      </w:tr>
      <w:tr w14:paraId="45714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FCE3A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816" w:type="pct"/>
            <w:vMerge w:val="continue"/>
            <w:tcBorders>
              <w:tl2br w:val="nil"/>
              <w:tr2bl w:val="nil"/>
            </w:tcBorders>
            <w:shd w:val="clear" w:color="auto" w:fill="auto"/>
            <w:vAlign w:val="bottom"/>
          </w:tcPr>
          <w:p w14:paraId="39D7EC6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32D89C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bottom"/>
          </w:tcPr>
          <w:p w14:paraId="0C6BE4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37.7154</w:t>
            </w:r>
          </w:p>
        </w:tc>
        <w:tc>
          <w:tcPr>
            <w:tcW w:w="1311" w:type="dxa"/>
            <w:tcBorders>
              <w:tl2br w:val="nil"/>
              <w:tr2bl w:val="nil"/>
            </w:tcBorders>
            <w:shd w:val="clear" w:color="auto" w:fill="auto"/>
            <w:vAlign w:val="bottom"/>
          </w:tcPr>
          <w:p w14:paraId="4B7E88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14.9115</w:t>
            </w:r>
          </w:p>
        </w:tc>
      </w:tr>
      <w:tr w14:paraId="0D6047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0EC758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816" w:type="pct"/>
            <w:vMerge w:val="restart"/>
            <w:tcBorders>
              <w:tl2br w:val="nil"/>
              <w:tr2bl w:val="nil"/>
            </w:tcBorders>
            <w:shd w:val="clear" w:color="auto" w:fill="auto"/>
            <w:vAlign w:val="center"/>
          </w:tcPr>
          <w:p w14:paraId="7B8DE95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边导线外</w:t>
            </w:r>
          </w:p>
        </w:tc>
        <w:tc>
          <w:tcPr>
            <w:tcW w:w="818" w:type="pct"/>
            <w:tcBorders>
              <w:tl2br w:val="nil"/>
              <w:tr2bl w:val="nil"/>
            </w:tcBorders>
            <w:shd w:val="clear" w:color="auto" w:fill="auto"/>
            <w:vAlign w:val="center"/>
          </w:tcPr>
          <w:p w14:paraId="23A6AF3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0.2</w:t>
            </w:r>
          </w:p>
        </w:tc>
        <w:tc>
          <w:tcPr>
            <w:tcW w:w="1670" w:type="pct"/>
            <w:tcBorders>
              <w:tl2br w:val="nil"/>
              <w:tr2bl w:val="nil"/>
            </w:tcBorders>
            <w:shd w:val="clear" w:color="auto" w:fill="auto"/>
            <w:vAlign w:val="bottom"/>
          </w:tcPr>
          <w:p w14:paraId="024A18A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35.9473</w:t>
            </w:r>
          </w:p>
        </w:tc>
        <w:tc>
          <w:tcPr>
            <w:tcW w:w="1311" w:type="dxa"/>
            <w:tcBorders>
              <w:tl2br w:val="nil"/>
              <w:tr2bl w:val="nil"/>
            </w:tcBorders>
            <w:shd w:val="clear" w:color="auto" w:fill="auto"/>
            <w:vAlign w:val="bottom"/>
          </w:tcPr>
          <w:p w14:paraId="311B86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14.3806</w:t>
            </w:r>
          </w:p>
        </w:tc>
      </w:tr>
      <w:tr w14:paraId="040EB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3288AF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816" w:type="pct"/>
            <w:vMerge w:val="continue"/>
            <w:tcBorders>
              <w:tl2br w:val="nil"/>
              <w:tr2bl w:val="nil"/>
            </w:tcBorders>
            <w:shd w:val="clear" w:color="auto" w:fill="auto"/>
            <w:vAlign w:val="center"/>
          </w:tcPr>
          <w:p w14:paraId="475B2F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04B5ED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1.2</w:t>
            </w:r>
          </w:p>
        </w:tc>
        <w:tc>
          <w:tcPr>
            <w:tcW w:w="1670" w:type="pct"/>
            <w:tcBorders>
              <w:tl2br w:val="nil"/>
              <w:tr2bl w:val="nil"/>
            </w:tcBorders>
            <w:shd w:val="clear" w:color="auto" w:fill="auto"/>
            <w:vAlign w:val="bottom"/>
          </w:tcPr>
          <w:p w14:paraId="0D2EFBA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33.4321</w:t>
            </w:r>
          </w:p>
        </w:tc>
        <w:tc>
          <w:tcPr>
            <w:tcW w:w="1311" w:type="dxa"/>
            <w:tcBorders>
              <w:tl2br w:val="nil"/>
              <w:tr2bl w:val="nil"/>
            </w:tcBorders>
            <w:shd w:val="clear" w:color="auto" w:fill="auto"/>
            <w:vAlign w:val="bottom"/>
          </w:tcPr>
          <w:p w14:paraId="0DB0E1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13.7876</w:t>
            </w:r>
          </w:p>
        </w:tc>
      </w:tr>
      <w:tr w14:paraId="5133CD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61C9BD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w:t>
            </w:r>
          </w:p>
        </w:tc>
        <w:tc>
          <w:tcPr>
            <w:tcW w:w="816" w:type="pct"/>
            <w:vMerge w:val="continue"/>
            <w:tcBorders>
              <w:tl2br w:val="nil"/>
              <w:tr2bl w:val="nil"/>
            </w:tcBorders>
            <w:shd w:val="clear" w:color="auto" w:fill="auto"/>
            <w:vAlign w:val="center"/>
          </w:tcPr>
          <w:p w14:paraId="11B82E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099D084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2.2</w:t>
            </w:r>
          </w:p>
        </w:tc>
        <w:tc>
          <w:tcPr>
            <w:tcW w:w="1670" w:type="pct"/>
            <w:tcBorders>
              <w:tl2br w:val="nil"/>
              <w:tr2bl w:val="nil"/>
            </w:tcBorders>
            <w:shd w:val="clear" w:color="auto" w:fill="auto"/>
            <w:vAlign w:val="bottom"/>
          </w:tcPr>
          <w:p w14:paraId="5DF48D0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30.4197</w:t>
            </w:r>
          </w:p>
        </w:tc>
        <w:tc>
          <w:tcPr>
            <w:tcW w:w="1311" w:type="dxa"/>
            <w:tcBorders>
              <w:tl2br w:val="nil"/>
              <w:tr2bl w:val="nil"/>
            </w:tcBorders>
            <w:shd w:val="clear" w:color="auto" w:fill="auto"/>
            <w:vAlign w:val="bottom"/>
          </w:tcPr>
          <w:p w14:paraId="689739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13.1447</w:t>
            </w:r>
          </w:p>
        </w:tc>
      </w:tr>
      <w:tr w14:paraId="7C092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44D892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16" w:type="pct"/>
            <w:vMerge w:val="continue"/>
            <w:tcBorders>
              <w:tl2br w:val="nil"/>
              <w:tr2bl w:val="nil"/>
            </w:tcBorders>
            <w:shd w:val="clear" w:color="auto" w:fill="auto"/>
            <w:vAlign w:val="center"/>
          </w:tcPr>
          <w:p w14:paraId="00BF5F0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6DE296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3.2</w:t>
            </w:r>
          </w:p>
        </w:tc>
        <w:tc>
          <w:tcPr>
            <w:tcW w:w="1670" w:type="pct"/>
            <w:tcBorders>
              <w:tl2br w:val="nil"/>
              <w:tr2bl w:val="nil"/>
            </w:tcBorders>
            <w:shd w:val="clear" w:color="auto" w:fill="auto"/>
            <w:vAlign w:val="bottom"/>
          </w:tcPr>
          <w:p w14:paraId="7B62DA0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27.23</w:t>
            </w:r>
          </w:p>
        </w:tc>
        <w:tc>
          <w:tcPr>
            <w:tcW w:w="1311" w:type="dxa"/>
            <w:tcBorders>
              <w:tl2br w:val="nil"/>
              <w:tr2bl w:val="nil"/>
            </w:tcBorders>
            <w:shd w:val="clear" w:color="auto" w:fill="auto"/>
            <w:vAlign w:val="bottom"/>
          </w:tcPr>
          <w:p w14:paraId="3E6962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12.4667</w:t>
            </w:r>
          </w:p>
        </w:tc>
      </w:tr>
      <w:tr w14:paraId="7996E2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678139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816" w:type="pct"/>
            <w:vMerge w:val="continue"/>
            <w:tcBorders>
              <w:tl2br w:val="nil"/>
              <w:tr2bl w:val="nil"/>
            </w:tcBorders>
            <w:shd w:val="clear" w:color="auto" w:fill="auto"/>
            <w:vAlign w:val="center"/>
          </w:tcPr>
          <w:p w14:paraId="5CE362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734E56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8.2</w:t>
            </w:r>
          </w:p>
        </w:tc>
        <w:tc>
          <w:tcPr>
            <w:tcW w:w="2954" w:type="dxa"/>
            <w:tcBorders>
              <w:tl2br w:val="nil"/>
              <w:tr2bl w:val="nil"/>
            </w:tcBorders>
            <w:shd w:val="clear" w:color="auto" w:fill="auto"/>
            <w:vAlign w:val="bottom"/>
          </w:tcPr>
          <w:p w14:paraId="52347CC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14.6936</w:t>
            </w:r>
          </w:p>
        </w:tc>
        <w:tc>
          <w:tcPr>
            <w:tcW w:w="1311" w:type="dxa"/>
            <w:tcBorders>
              <w:tl2br w:val="nil"/>
              <w:tr2bl w:val="nil"/>
            </w:tcBorders>
            <w:shd w:val="clear" w:color="auto" w:fill="auto"/>
            <w:vAlign w:val="bottom"/>
          </w:tcPr>
          <w:p w14:paraId="39F4773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9.0611</w:t>
            </w:r>
          </w:p>
        </w:tc>
      </w:tr>
      <w:tr w14:paraId="09886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1F59C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16" w:type="pct"/>
            <w:vMerge w:val="continue"/>
            <w:tcBorders>
              <w:tl2br w:val="nil"/>
              <w:tr2bl w:val="nil"/>
            </w:tcBorders>
            <w:shd w:val="clear" w:color="auto" w:fill="auto"/>
            <w:vAlign w:val="center"/>
          </w:tcPr>
          <w:p w14:paraId="771837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6E46F8E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13.2</w:t>
            </w:r>
          </w:p>
        </w:tc>
        <w:tc>
          <w:tcPr>
            <w:tcW w:w="2954" w:type="dxa"/>
            <w:tcBorders>
              <w:tl2br w:val="nil"/>
              <w:tr2bl w:val="nil"/>
            </w:tcBorders>
            <w:shd w:val="clear" w:color="auto" w:fill="auto"/>
            <w:vAlign w:val="bottom"/>
          </w:tcPr>
          <w:p w14:paraId="3828B6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8.6042</w:t>
            </w:r>
          </w:p>
        </w:tc>
        <w:tc>
          <w:tcPr>
            <w:tcW w:w="1311" w:type="dxa"/>
            <w:tcBorders>
              <w:tl2br w:val="nil"/>
              <w:tr2bl w:val="nil"/>
            </w:tcBorders>
            <w:shd w:val="clear" w:color="auto" w:fill="auto"/>
            <w:vAlign w:val="bottom"/>
          </w:tcPr>
          <w:p w14:paraId="286C7D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6.3913</w:t>
            </w:r>
          </w:p>
        </w:tc>
      </w:tr>
      <w:tr w14:paraId="7931A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23041F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16" w:type="pct"/>
            <w:vMerge w:val="continue"/>
            <w:tcBorders>
              <w:tl2br w:val="nil"/>
              <w:tr2bl w:val="nil"/>
            </w:tcBorders>
            <w:shd w:val="clear" w:color="auto" w:fill="auto"/>
            <w:vAlign w:val="center"/>
          </w:tcPr>
          <w:p w14:paraId="232129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3A91D8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18.2</w:t>
            </w:r>
          </w:p>
        </w:tc>
        <w:tc>
          <w:tcPr>
            <w:tcW w:w="2954" w:type="dxa"/>
            <w:tcBorders>
              <w:tl2br w:val="nil"/>
              <w:tr2bl w:val="nil"/>
            </w:tcBorders>
            <w:shd w:val="clear" w:color="auto" w:fill="auto"/>
            <w:vAlign w:val="bottom"/>
          </w:tcPr>
          <w:p w14:paraId="17656FC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5.583</w:t>
            </w:r>
          </w:p>
        </w:tc>
        <w:tc>
          <w:tcPr>
            <w:tcW w:w="1311" w:type="dxa"/>
            <w:tcBorders>
              <w:tl2br w:val="nil"/>
              <w:tr2bl w:val="nil"/>
            </w:tcBorders>
            <w:shd w:val="clear" w:color="auto" w:fill="auto"/>
            <w:vAlign w:val="bottom"/>
          </w:tcPr>
          <w:p w14:paraId="219BB52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4.591</w:t>
            </w:r>
          </w:p>
        </w:tc>
      </w:tr>
      <w:tr w14:paraId="44061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74E4D35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w:t>
            </w:r>
          </w:p>
        </w:tc>
        <w:tc>
          <w:tcPr>
            <w:tcW w:w="816" w:type="pct"/>
            <w:vMerge w:val="continue"/>
            <w:tcBorders>
              <w:tl2br w:val="nil"/>
              <w:tr2bl w:val="nil"/>
            </w:tcBorders>
            <w:shd w:val="clear" w:color="auto" w:fill="auto"/>
            <w:vAlign w:val="center"/>
          </w:tcPr>
          <w:p w14:paraId="472DCFF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4727E1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23.2</w:t>
            </w:r>
          </w:p>
        </w:tc>
        <w:tc>
          <w:tcPr>
            <w:tcW w:w="2954" w:type="dxa"/>
            <w:tcBorders>
              <w:tl2br w:val="nil"/>
              <w:tr2bl w:val="nil"/>
            </w:tcBorders>
            <w:shd w:val="clear" w:color="auto" w:fill="auto"/>
            <w:vAlign w:val="bottom"/>
          </w:tcPr>
          <w:p w14:paraId="012638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3.9047</w:t>
            </w:r>
          </w:p>
        </w:tc>
        <w:tc>
          <w:tcPr>
            <w:tcW w:w="1311" w:type="dxa"/>
            <w:tcBorders>
              <w:tl2br w:val="nil"/>
              <w:tr2bl w:val="nil"/>
            </w:tcBorders>
            <w:shd w:val="clear" w:color="auto" w:fill="auto"/>
            <w:vAlign w:val="bottom"/>
          </w:tcPr>
          <w:p w14:paraId="361E21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3.404</w:t>
            </w:r>
          </w:p>
        </w:tc>
      </w:tr>
      <w:tr w14:paraId="7D03D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0E8F98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816" w:type="pct"/>
            <w:vMerge w:val="continue"/>
            <w:tcBorders>
              <w:tl2br w:val="nil"/>
              <w:tr2bl w:val="nil"/>
            </w:tcBorders>
            <w:shd w:val="clear" w:color="auto" w:fill="auto"/>
            <w:vAlign w:val="center"/>
          </w:tcPr>
          <w:p w14:paraId="4C7C2C6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center"/>
          </w:tcPr>
          <w:p w14:paraId="3BB47A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28.2</w:t>
            </w:r>
          </w:p>
        </w:tc>
        <w:tc>
          <w:tcPr>
            <w:tcW w:w="2954" w:type="dxa"/>
            <w:tcBorders>
              <w:tl2br w:val="nil"/>
              <w:tr2bl w:val="nil"/>
            </w:tcBorders>
            <w:shd w:val="clear" w:color="auto" w:fill="auto"/>
            <w:vAlign w:val="bottom"/>
          </w:tcPr>
          <w:p w14:paraId="45B51E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2.8822</w:t>
            </w:r>
          </w:p>
        </w:tc>
        <w:tc>
          <w:tcPr>
            <w:tcW w:w="1311" w:type="dxa"/>
            <w:tcBorders>
              <w:tl2br w:val="nil"/>
              <w:tr2bl w:val="nil"/>
            </w:tcBorders>
            <w:shd w:val="clear" w:color="auto" w:fill="auto"/>
            <w:vAlign w:val="bottom"/>
          </w:tcPr>
          <w:p w14:paraId="4AB74F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2.6047</w:t>
            </w:r>
          </w:p>
        </w:tc>
      </w:tr>
      <w:tr w14:paraId="0E1DD6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5BD761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40</w:t>
            </w:r>
          </w:p>
        </w:tc>
        <w:tc>
          <w:tcPr>
            <w:tcW w:w="816" w:type="pct"/>
            <w:vMerge w:val="continue"/>
            <w:tcBorders>
              <w:tl2br w:val="nil"/>
              <w:tr2bl w:val="nil"/>
            </w:tcBorders>
            <w:shd w:val="clear" w:color="auto" w:fill="auto"/>
            <w:vAlign w:val="center"/>
          </w:tcPr>
          <w:p w14:paraId="69AE3C9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68C7CAD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33.2</w:t>
            </w:r>
          </w:p>
        </w:tc>
        <w:tc>
          <w:tcPr>
            <w:tcW w:w="2954" w:type="dxa"/>
            <w:tcBorders>
              <w:tl2br w:val="nil"/>
              <w:tr2bl w:val="nil"/>
            </w:tcBorders>
            <w:shd w:val="clear" w:color="auto" w:fill="auto"/>
            <w:vAlign w:val="bottom"/>
          </w:tcPr>
          <w:p w14:paraId="6356B7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2.2145</w:t>
            </w:r>
          </w:p>
        </w:tc>
        <w:tc>
          <w:tcPr>
            <w:tcW w:w="1311" w:type="dxa"/>
            <w:tcBorders>
              <w:tl2br w:val="nil"/>
              <w:tr2bl w:val="nil"/>
            </w:tcBorders>
            <w:shd w:val="clear" w:color="auto" w:fill="auto"/>
            <w:vAlign w:val="bottom"/>
          </w:tcPr>
          <w:p w14:paraId="5887D5A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2.0489</w:t>
            </w:r>
          </w:p>
        </w:tc>
      </w:tr>
      <w:tr w14:paraId="2C6AC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197822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w:t>
            </w:r>
          </w:p>
        </w:tc>
        <w:tc>
          <w:tcPr>
            <w:tcW w:w="816" w:type="pct"/>
            <w:vMerge w:val="continue"/>
            <w:tcBorders>
              <w:tl2br w:val="nil"/>
              <w:tr2bl w:val="nil"/>
            </w:tcBorders>
            <w:shd w:val="clear" w:color="auto" w:fill="auto"/>
            <w:vAlign w:val="center"/>
          </w:tcPr>
          <w:p w14:paraId="0FF8561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5034CCD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38.2</w:t>
            </w:r>
          </w:p>
        </w:tc>
        <w:tc>
          <w:tcPr>
            <w:tcW w:w="2954" w:type="dxa"/>
            <w:tcBorders>
              <w:tl2br w:val="nil"/>
              <w:tr2bl w:val="nil"/>
            </w:tcBorders>
            <w:shd w:val="clear" w:color="auto" w:fill="auto"/>
            <w:vAlign w:val="bottom"/>
          </w:tcPr>
          <w:p w14:paraId="26D2A66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1.7546</w:t>
            </w:r>
          </w:p>
        </w:tc>
        <w:tc>
          <w:tcPr>
            <w:tcW w:w="1311" w:type="dxa"/>
            <w:tcBorders>
              <w:tl2br w:val="nil"/>
              <w:tr2bl w:val="nil"/>
            </w:tcBorders>
            <w:shd w:val="clear" w:color="auto" w:fill="auto"/>
            <w:vAlign w:val="bottom"/>
          </w:tcPr>
          <w:p w14:paraId="6687B06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1.65</w:t>
            </w:r>
          </w:p>
        </w:tc>
      </w:tr>
      <w:tr w14:paraId="3FFBA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tcBorders>
              <w:tl2br w:val="nil"/>
              <w:tr2bl w:val="nil"/>
            </w:tcBorders>
            <w:shd w:val="clear" w:color="auto" w:fill="auto"/>
            <w:vAlign w:val="bottom"/>
          </w:tcPr>
          <w:p w14:paraId="47EC9E9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16" w:type="pct"/>
            <w:vMerge w:val="continue"/>
            <w:tcBorders>
              <w:tl2br w:val="nil"/>
              <w:tr2bl w:val="nil"/>
            </w:tcBorders>
            <w:shd w:val="clear" w:color="auto" w:fill="auto"/>
            <w:vAlign w:val="center"/>
          </w:tcPr>
          <w:p w14:paraId="13A9D4B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18" w:type="pct"/>
            <w:tcBorders>
              <w:tl2br w:val="nil"/>
              <w:tr2bl w:val="nil"/>
            </w:tcBorders>
            <w:shd w:val="clear" w:color="auto" w:fill="auto"/>
            <w:vAlign w:val="bottom"/>
          </w:tcPr>
          <w:p w14:paraId="7A1BA1D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43.2</w:t>
            </w:r>
          </w:p>
        </w:tc>
        <w:tc>
          <w:tcPr>
            <w:tcW w:w="2954" w:type="dxa"/>
            <w:tcBorders>
              <w:tl2br w:val="nil"/>
              <w:tr2bl w:val="nil"/>
            </w:tcBorders>
            <w:shd w:val="clear" w:color="auto" w:fill="auto"/>
            <w:vAlign w:val="bottom"/>
          </w:tcPr>
          <w:p w14:paraId="727AB0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1.4245</w:t>
            </w:r>
          </w:p>
        </w:tc>
        <w:tc>
          <w:tcPr>
            <w:tcW w:w="1311" w:type="dxa"/>
            <w:tcBorders>
              <w:tl2br w:val="nil"/>
              <w:tr2bl w:val="nil"/>
            </w:tcBorders>
            <w:shd w:val="clear" w:color="auto" w:fill="auto"/>
            <w:vAlign w:val="bottom"/>
          </w:tcPr>
          <w:p w14:paraId="56121E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1.3552</w:t>
            </w:r>
          </w:p>
        </w:tc>
      </w:tr>
      <w:tr w14:paraId="4B60E1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88" w:type="pct"/>
            <w:gridSpan w:val="3"/>
            <w:tcBorders>
              <w:tl2br w:val="nil"/>
              <w:tr2bl w:val="nil"/>
            </w:tcBorders>
            <w:shd w:val="clear" w:color="auto" w:fill="auto"/>
            <w:vAlign w:val="bottom"/>
          </w:tcPr>
          <w:p w14:paraId="528CC41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工频磁感应强度</w:t>
            </w:r>
          </w:p>
        </w:tc>
        <w:tc>
          <w:tcPr>
            <w:tcW w:w="1670" w:type="pct"/>
            <w:tcBorders>
              <w:tl2br w:val="nil"/>
              <w:tr2bl w:val="nil"/>
            </w:tcBorders>
            <w:shd w:val="clear" w:color="auto" w:fill="auto"/>
            <w:vAlign w:val="bottom"/>
          </w:tcPr>
          <w:p w14:paraId="36F9F0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39.4543</w:t>
            </w:r>
          </w:p>
        </w:tc>
        <w:tc>
          <w:tcPr>
            <w:tcW w:w="741" w:type="pct"/>
            <w:tcBorders>
              <w:tl2br w:val="nil"/>
              <w:tr2bl w:val="nil"/>
            </w:tcBorders>
            <w:shd w:val="clear" w:color="auto" w:fill="auto"/>
            <w:vAlign w:val="bottom"/>
          </w:tcPr>
          <w:p w14:paraId="0EFC27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16.591</w:t>
            </w:r>
          </w:p>
        </w:tc>
      </w:tr>
    </w:tbl>
    <w:p w14:paraId="6D1CCC1A">
      <w:pPr>
        <w:adjustRightInd w:val="0"/>
        <w:snapToGrid w:val="0"/>
        <w:rPr>
          <w:color w:val="auto"/>
          <w:highlight w:val="none"/>
        </w:rPr>
      </w:pPr>
    </w:p>
    <w:p w14:paraId="4A59E4D4">
      <w:pPr>
        <w:pStyle w:val="35"/>
        <w:adjustRightInd w:val="0"/>
        <w:snapToGrid w:val="0"/>
        <w:spacing w:before="0" w:after="0"/>
        <w:ind w:left="0" w:right="0"/>
        <w:rPr>
          <w:rFonts w:hint="eastAsia" w:eastAsia="宋体"/>
          <w:i w:val="0"/>
          <w:iCs/>
          <w:color w:val="auto"/>
          <w:highlight w:val="none"/>
          <w:lang w:eastAsia="zh-CN"/>
        </w:rPr>
      </w:pPr>
      <w:r>
        <w:rPr>
          <w:rFonts w:hint="eastAsia" w:eastAsia="宋体"/>
          <w:i w:val="0"/>
          <w:iCs/>
          <w:color w:val="auto"/>
          <w:highlight w:val="none"/>
          <w:lang w:eastAsia="zh-CN"/>
        </w:rPr>
        <w:drawing>
          <wp:inline distT="0" distB="0" distL="114300" distR="114300">
            <wp:extent cx="5615305" cy="3191510"/>
            <wp:effectExtent l="0" t="0" r="4445" b="8890"/>
            <wp:docPr id="10" name="图片 10" descr="工频磁场图 单回三角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工频磁场图 单回三角排列 7.5m"/>
                    <pic:cNvPicPr>
                      <a:picLocks noChangeAspect="1"/>
                    </pic:cNvPicPr>
                  </pic:nvPicPr>
                  <pic:blipFill>
                    <a:blip r:embed="rId86"/>
                    <a:stretch>
                      <a:fillRect/>
                    </a:stretch>
                  </pic:blipFill>
                  <pic:spPr>
                    <a:xfrm>
                      <a:off x="0" y="0"/>
                      <a:ext cx="5615305" cy="3191510"/>
                    </a:xfrm>
                    <a:prstGeom prst="rect">
                      <a:avLst/>
                    </a:prstGeom>
                  </pic:spPr>
                </pic:pic>
              </a:graphicData>
            </a:graphic>
          </wp:inline>
        </w:drawing>
      </w:r>
    </w:p>
    <w:p w14:paraId="19D010B0">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21</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工频磁感应强度分布图</w:t>
      </w:r>
    </w:p>
    <w:p w14:paraId="53356BC9">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350260"/>
            <wp:effectExtent l="0" t="0" r="8255" b="2540"/>
            <wp:docPr id="12" name="图片 12" descr="磁场等值线图 单回三角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磁场等值线图 单回三角排列 7.5m"/>
                    <pic:cNvPicPr>
                      <a:picLocks noChangeAspect="1"/>
                    </pic:cNvPicPr>
                  </pic:nvPicPr>
                  <pic:blipFill>
                    <a:blip r:embed="rId87"/>
                    <a:stretch>
                      <a:fillRect/>
                    </a:stretch>
                  </pic:blipFill>
                  <pic:spPr>
                    <a:xfrm>
                      <a:off x="0" y="0"/>
                      <a:ext cx="5611495" cy="3350260"/>
                    </a:xfrm>
                    <a:prstGeom prst="rect">
                      <a:avLst/>
                    </a:prstGeom>
                  </pic:spPr>
                </pic:pic>
              </a:graphicData>
            </a:graphic>
          </wp:inline>
        </w:drawing>
      </w:r>
    </w:p>
    <w:p w14:paraId="45178991">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22</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w:t>
      </w:r>
      <w:r>
        <w:rPr>
          <w:rFonts w:hint="eastAsia" w:cs="Times New Roman"/>
          <w:b/>
          <w:color w:val="auto"/>
          <w:sz w:val="24"/>
          <w:highlight w:val="none"/>
          <w:lang w:val="en-US" w:eastAsia="zh-CN"/>
        </w:rPr>
        <w:t>等值线</w:t>
      </w:r>
      <w:r>
        <w:rPr>
          <w:rFonts w:ascii="Times New Roman" w:hAnsi="Times New Roman" w:cs="Times New Roman"/>
          <w:b/>
          <w:color w:val="auto"/>
          <w:sz w:val="24"/>
          <w:highlight w:val="none"/>
        </w:rPr>
        <w:t>图</w:t>
      </w:r>
    </w:p>
    <w:p w14:paraId="77AF4C73">
      <w:pPr>
        <w:rPr>
          <w:color w:val="auto"/>
        </w:rPr>
      </w:pPr>
    </w:p>
    <w:p w14:paraId="33C77B2E">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5940" cy="3011170"/>
            <wp:effectExtent l="0" t="0" r="3810" b="17780"/>
            <wp:docPr id="11" name="图片 11" descr="工频磁场图 单回三角排列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工频磁场图 单回三角排列13.8m"/>
                    <pic:cNvPicPr>
                      <a:picLocks noChangeAspect="1"/>
                    </pic:cNvPicPr>
                  </pic:nvPicPr>
                  <pic:blipFill>
                    <a:blip r:embed="rId88"/>
                    <a:stretch>
                      <a:fillRect/>
                    </a:stretch>
                  </pic:blipFill>
                  <pic:spPr>
                    <a:xfrm>
                      <a:off x="0" y="0"/>
                      <a:ext cx="5615940" cy="3011170"/>
                    </a:xfrm>
                    <a:prstGeom prst="rect">
                      <a:avLst/>
                    </a:prstGeom>
                  </pic:spPr>
                </pic:pic>
              </a:graphicData>
            </a:graphic>
          </wp:inline>
        </w:drawing>
      </w:r>
    </w:p>
    <w:p w14:paraId="3094247A">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23</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工频磁感应强度分布图</w:t>
      </w:r>
    </w:p>
    <w:p w14:paraId="310E307A">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350260"/>
            <wp:effectExtent l="0" t="0" r="8255" b="2540"/>
            <wp:docPr id="13" name="图片 13" descr="磁场等值线图 单回三角排列13.8m  距地4.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磁场等值线图 单回三角排列13.8m  距地4.5m"/>
                    <pic:cNvPicPr>
                      <a:picLocks noChangeAspect="1"/>
                    </pic:cNvPicPr>
                  </pic:nvPicPr>
                  <pic:blipFill>
                    <a:blip r:embed="rId85"/>
                    <a:stretch>
                      <a:fillRect/>
                    </a:stretch>
                  </pic:blipFill>
                  <pic:spPr>
                    <a:xfrm>
                      <a:off x="0" y="0"/>
                      <a:ext cx="5611495" cy="3350260"/>
                    </a:xfrm>
                    <a:prstGeom prst="rect">
                      <a:avLst/>
                    </a:prstGeom>
                  </pic:spPr>
                </pic:pic>
              </a:graphicData>
            </a:graphic>
          </wp:inline>
        </w:drawing>
      </w:r>
    </w:p>
    <w:p w14:paraId="7A590286">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24</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三角排列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w:t>
      </w:r>
      <w:r>
        <w:rPr>
          <w:rFonts w:hint="eastAsia" w:cs="Times New Roman"/>
          <w:b/>
          <w:color w:val="auto"/>
          <w:sz w:val="24"/>
          <w:highlight w:val="none"/>
          <w:lang w:val="en-US" w:eastAsia="zh-CN"/>
        </w:rPr>
        <w:t>等值线</w:t>
      </w:r>
      <w:r>
        <w:rPr>
          <w:rFonts w:ascii="Times New Roman" w:hAnsi="Times New Roman" w:cs="Times New Roman"/>
          <w:b/>
          <w:color w:val="auto"/>
          <w:sz w:val="24"/>
          <w:highlight w:val="none"/>
        </w:rPr>
        <w:t>图</w:t>
      </w:r>
    </w:p>
    <w:p w14:paraId="3FEC2C4D">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根据预测计算结果，220kV单回路</w:t>
      </w:r>
      <w:r>
        <w:rPr>
          <w:rFonts w:hint="default" w:ascii="Times New Roman" w:hAnsi="Times New Roman" w:cs="Times New Roman"/>
          <w:color w:val="auto"/>
          <w:sz w:val="24"/>
          <w:highlight w:val="none"/>
          <w:lang w:val="en-US" w:eastAsia="zh-CN"/>
        </w:rPr>
        <w:t>三角排列</w:t>
      </w:r>
      <w:r>
        <w:rPr>
          <w:rFonts w:hint="default"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时，按</w:t>
      </w:r>
      <w:r>
        <w:rPr>
          <w:rFonts w:hint="default" w:ascii="Times New Roman" w:hAnsi="Times New Roman" w:cs="Times New Roman"/>
          <w:color w:val="auto"/>
          <w:sz w:val="24"/>
          <w:highlight w:val="none"/>
        </w:rPr>
        <w:t>照居民区导线最小对地高度为</w:t>
      </w:r>
      <w:r>
        <w:rPr>
          <w:rFonts w:hint="eastAsia"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.5m、距地面1.5m的设计要求架设线路时，项目220kV</w:t>
      </w:r>
      <w:r>
        <w:rPr>
          <w:rFonts w:hint="eastAsia" w:ascii="Times New Roman" w:hAnsi="Times New Roman" w:cs="Times New Roman"/>
          <w:color w:val="auto"/>
          <w:sz w:val="24"/>
          <w:highlight w:val="none"/>
          <w:lang w:val="en-US" w:eastAsia="zh-CN"/>
        </w:rPr>
        <w:t>单回路</w:t>
      </w:r>
      <w:r>
        <w:rPr>
          <w:rFonts w:hint="default" w:ascii="Times New Roman" w:hAnsi="Times New Roman" w:cs="Times New Roman"/>
          <w:color w:val="auto"/>
          <w:sz w:val="24"/>
          <w:highlight w:val="none"/>
        </w:rPr>
        <w:t>架设线路产生的工频电场强度最大值出现在距离线路中心-</w:t>
      </w:r>
      <w:r>
        <w:rPr>
          <w:rFonts w:hint="eastAsia" w:ascii="Times New Roman" w:hAnsi="Times New Roman" w:cs="Times New Roman"/>
          <w:color w:val="auto"/>
          <w:sz w:val="24"/>
          <w:highlight w:val="none"/>
          <w:lang w:val="en-US" w:eastAsia="zh-CN"/>
        </w:rPr>
        <w:t>9</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5.8631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39.4543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预测结果</w:t>
      </w:r>
      <w:r>
        <w:rPr>
          <w:rFonts w:hint="eastAsia" w:ascii="Times New Roman" w:hAnsi="Times New Roman" w:cs="Times New Roman"/>
          <w:color w:val="auto"/>
          <w:sz w:val="24"/>
          <w:highlight w:val="none"/>
          <w:lang w:val="en-US" w:eastAsia="zh-CN"/>
        </w:rPr>
        <w:t>不</w:t>
      </w:r>
      <w:r>
        <w:rPr>
          <w:rFonts w:hint="default" w:ascii="Times New Roman" w:hAnsi="Times New Roman" w:cs="Times New Roman"/>
          <w:color w:val="auto"/>
          <w:sz w:val="24"/>
          <w:highlight w:val="none"/>
        </w:rPr>
        <w:t>满足《电磁环境控制限值》（GB8702-2014）中工频电场4000V/m、工频磁场100μT公众曝露限值要求。</w:t>
      </w:r>
    </w:p>
    <w:p w14:paraId="7C4C6357">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因此，本项目要求按照设计导线最低高度进行架设，</w:t>
      </w:r>
      <w:r>
        <w:rPr>
          <w:rFonts w:hint="default" w:ascii="Times New Roman" w:hAnsi="Times New Roman" w:cs="Times New Roman"/>
          <w:color w:val="auto"/>
          <w:sz w:val="24"/>
          <w:highlight w:val="none"/>
        </w:rPr>
        <w:t>项目220kV架空线路采用单回架设时，</w:t>
      </w:r>
      <w:r>
        <w:rPr>
          <w:rFonts w:hint="default" w:ascii="Times New Roman" w:hAnsi="Times New Roman" w:cs="Times New Roman"/>
          <w:color w:val="auto"/>
          <w:sz w:val="24"/>
          <w:highlight w:val="none"/>
          <w:lang w:val="en-US" w:eastAsia="zh-CN"/>
        </w:rPr>
        <w:t>设计导线最低高度13.</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，线路下方距地面1.5m处的工频电场强度最大值出现在距离线路中心-</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2.1391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16.591</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工频电场、工频磁场能同时满足《电磁环境控制限值》（GB8702-2014）表1中工频电场4000V/m、工频磁场100μT公众曝露限值要求。</w:t>
      </w:r>
    </w:p>
    <w:p w14:paraId="6E96E91A">
      <w:pPr>
        <w:pStyle w:val="2"/>
        <w:adjustRightInd w:val="0"/>
        <w:snapToGrid w:val="0"/>
        <w:spacing w:after="0" w:line="440" w:lineRule="exact"/>
        <w:ind w:firstLine="482" w:firstLineChars="200"/>
        <w:rPr>
          <w:rFonts w:hint="eastAsia" w:ascii="Times New Roman" w:hAnsi="Times New Roman" w:cs="Times New Roman"/>
          <w:b/>
          <w:bCs/>
          <w:color w:val="auto"/>
          <w:sz w:val="24"/>
        </w:rPr>
      </w:pPr>
      <w:r>
        <w:rPr>
          <w:rFonts w:hint="default" w:ascii="Times New Roman" w:hAnsi="Times New Roman" w:cs="Times New Roman"/>
          <w:b/>
          <w:bCs/>
          <w:color w:val="auto"/>
          <w:sz w:val="24"/>
          <w:lang w:val="en-US" w:eastAsia="zh-CN"/>
        </w:rPr>
        <w:t>②</w:t>
      </w:r>
      <w:r>
        <w:rPr>
          <w:rFonts w:hint="eastAsia" w:ascii="Times New Roman" w:hAnsi="Times New Roman" w:cs="Times New Roman"/>
          <w:b/>
          <w:bCs/>
          <w:color w:val="auto"/>
          <w:sz w:val="24"/>
          <w:lang w:val="en-US" w:eastAsia="zh-CN"/>
        </w:rPr>
        <w:t>水平排列</w:t>
      </w:r>
      <w:r>
        <w:rPr>
          <w:rFonts w:hint="eastAsia" w:ascii="Times New Roman" w:hAnsi="Times New Roman" w:cs="Times New Roman"/>
          <w:b/>
          <w:bCs/>
          <w:color w:val="auto"/>
          <w:sz w:val="24"/>
        </w:rPr>
        <w:t>架设电磁环境预测</w:t>
      </w:r>
    </w:p>
    <w:p w14:paraId="2BA7DE9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项目220kV</w:t>
      </w:r>
      <w:r>
        <w:rPr>
          <w:rFonts w:ascii="Times New Roman" w:hAnsi="Times New Roman" w:cs="Times New Roman"/>
          <w:color w:val="auto"/>
          <w:sz w:val="24"/>
          <w:highlight w:val="none"/>
        </w:rPr>
        <w:t>单回路</w:t>
      </w:r>
      <w:r>
        <w:rPr>
          <w:rFonts w:hint="eastAsia"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水平排列</w:t>
      </w:r>
      <w:r>
        <w:rPr>
          <w:rFonts w:hint="eastAsia" w:ascii="Times New Roman" w:hAnsi="Times New Roman" w:cs="Times New Roman"/>
          <w:color w:val="auto"/>
          <w:sz w:val="24"/>
          <w:highlight w:val="none"/>
        </w:rPr>
        <w:t>居民区</w:t>
      </w:r>
      <w:r>
        <w:rPr>
          <w:rFonts w:ascii="Times New Roman" w:hAnsi="Times New Roman" w:cs="Times New Roman"/>
          <w:color w:val="auto"/>
          <w:sz w:val="24"/>
          <w:highlight w:val="none"/>
        </w:rPr>
        <w:t>工频电场强度、工频磁感应强度预测结果见表5-</w:t>
      </w:r>
      <w:r>
        <w:rPr>
          <w:rFonts w:hint="eastAsia" w:ascii="Times New Roman" w:hAnsi="Times New Roman" w:cs="Times New Roman"/>
          <w:color w:val="auto"/>
          <w:sz w:val="24"/>
          <w:highlight w:val="none"/>
          <w:lang w:val="en-US" w:eastAsia="zh-CN"/>
        </w:rPr>
        <w:t>5</w:t>
      </w:r>
      <w:r>
        <w:rPr>
          <w:rFonts w:hint="eastAsia" w:ascii="Times New Roman" w:hAnsi="Times New Roman" w:cs="Times New Roman"/>
          <w:color w:val="auto"/>
          <w:sz w:val="24"/>
          <w:highlight w:val="none"/>
        </w:rPr>
        <w:t>、表5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6</w:t>
      </w:r>
      <w:r>
        <w:rPr>
          <w:rFonts w:ascii="Times New Roman" w:hAnsi="Times New Roman" w:cs="Times New Roman"/>
          <w:color w:val="auto"/>
          <w:sz w:val="24"/>
          <w:highlight w:val="none"/>
        </w:rPr>
        <w:t>。</w:t>
      </w:r>
    </w:p>
    <w:p w14:paraId="6AD757BD">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b/>
          <w:bCs/>
          <w:color w:val="auto"/>
          <w:spacing w:val="-6"/>
          <w:sz w:val="24"/>
          <w:highlight w:val="none"/>
        </w:rPr>
      </w:pPr>
      <w:r>
        <w:rPr>
          <w:rFonts w:ascii="Times New Roman" w:hAnsi="Times New Roman" w:cs="Times New Roman"/>
          <w:b/>
          <w:bCs/>
          <w:color w:val="auto"/>
          <w:spacing w:val="-6"/>
          <w:sz w:val="24"/>
          <w:highlight w:val="none"/>
        </w:rPr>
        <w:t>表5-</w:t>
      </w:r>
      <w:r>
        <w:rPr>
          <w:rFonts w:hint="eastAsia" w:cs="Times New Roman"/>
          <w:b/>
          <w:bCs/>
          <w:color w:val="auto"/>
          <w:spacing w:val="-6"/>
          <w:sz w:val="24"/>
          <w:highlight w:val="none"/>
          <w:lang w:val="en-US" w:eastAsia="zh-CN"/>
        </w:rPr>
        <w:t>5</w:t>
      </w:r>
      <w:r>
        <w:rPr>
          <w:rFonts w:ascii="Times New Roman" w:hAnsi="Times New Roman" w:cs="Times New Roman"/>
          <w:b/>
          <w:bCs/>
          <w:color w:val="auto"/>
          <w:spacing w:val="-6"/>
          <w:sz w:val="24"/>
          <w:highlight w:val="none"/>
        </w:rPr>
        <w:t xml:space="preserve">  </w:t>
      </w:r>
      <w:r>
        <w:rPr>
          <w:rFonts w:hint="eastAsia" w:ascii="Times New Roman" w:hAnsi="Times New Roman" w:cs="Times New Roman"/>
          <w:b/>
          <w:bCs/>
          <w:color w:val="auto"/>
          <w:spacing w:val="-6"/>
          <w:sz w:val="24"/>
          <w:highlight w:val="none"/>
        </w:rPr>
        <w:t>220kV单回路</w:t>
      </w:r>
      <w:r>
        <w:rPr>
          <w:rFonts w:hint="eastAsia" w:cs="Times New Roman"/>
          <w:b/>
          <w:bCs/>
          <w:color w:val="auto"/>
          <w:spacing w:val="-6"/>
          <w:sz w:val="24"/>
          <w:highlight w:val="none"/>
          <w:lang w:val="en-US" w:eastAsia="zh-CN"/>
        </w:rPr>
        <w:t>水平排列</w:t>
      </w:r>
      <w:r>
        <w:rPr>
          <w:rFonts w:hint="eastAsia" w:ascii="Times New Roman" w:hAnsi="Times New Roman" w:cs="Times New Roman"/>
          <w:b/>
          <w:bCs/>
          <w:color w:val="auto"/>
          <w:spacing w:val="-6"/>
          <w:sz w:val="24"/>
          <w:highlight w:val="none"/>
        </w:rPr>
        <w:t>架设</w:t>
      </w:r>
      <w:r>
        <w:rPr>
          <w:rFonts w:cs="Times New Roman"/>
          <w:b/>
          <w:color w:val="auto"/>
          <w:sz w:val="24"/>
          <w:highlight w:val="none"/>
        </w:rPr>
        <w:t>工频电场</w:t>
      </w:r>
      <w:r>
        <w:rPr>
          <w:rFonts w:cs="Times New Roman"/>
          <w:b/>
          <w:color w:val="auto"/>
          <w:sz w:val="24"/>
          <w:highlight w:val="none"/>
          <w:lang w:eastAsia="zh-Hans"/>
        </w:rPr>
        <w:t>强度</w:t>
      </w:r>
      <w:r>
        <w:rPr>
          <w:rFonts w:cs="Times New Roman"/>
          <w:b/>
          <w:color w:val="auto"/>
          <w:sz w:val="24"/>
          <w:highlight w:val="none"/>
        </w:rPr>
        <w:t>预测结果</w:t>
      </w:r>
      <w:r>
        <w:rPr>
          <w:rFonts w:hint="eastAsia" w:cs="Times New Roman"/>
          <w:b/>
          <w:color w:val="auto"/>
          <w:sz w:val="24"/>
          <w:highlight w:val="none"/>
        </w:rPr>
        <w:t xml:space="preserve"> </w:t>
      </w:r>
      <w:r>
        <w:rPr>
          <w:rFonts w:cs="Times New Roman"/>
          <w:b/>
          <w:color w:val="auto"/>
          <w:sz w:val="24"/>
          <w:highlight w:val="none"/>
        </w:rPr>
        <w:t xml:space="preserve"> </w:t>
      </w:r>
      <w:r>
        <w:rPr>
          <w:b/>
          <w:color w:val="auto"/>
          <w:sz w:val="24"/>
          <w:highlight w:val="none"/>
        </w:rPr>
        <w:t>单位：</w:t>
      </w:r>
      <w:r>
        <w:rPr>
          <w:rFonts w:hint="eastAsia"/>
          <w:b/>
          <w:color w:val="auto"/>
          <w:sz w:val="24"/>
          <w:highlight w:val="none"/>
        </w:rPr>
        <w:t>k</w:t>
      </w:r>
      <w:r>
        <w:rPr>
          <w:b/>
          <w:color w:val="auto"/>
          <w:sz w:val="24"/>
          <w:highlight w:val="none"/>
        </w:rPr>
        <w:t>V/m</w:t>
      </w:r>
    </w:p>
    <w:tbl>
      <w:tblPr>
        <w:tblStyle w:val="27"/>
        <w:tblW w:w="487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14"/>
        <w:gridCol w:w="1484"/>
        <w:gridCol w:w="1896"/>
        <w:gridCol w:w="2205"/>
        <w:gridCol w:w="1841"/>
      </w:tblGrid>
      <w:tr w14:paraId="76AF6E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restart"/>
            <w:tcBorders>
              <w:tl2br w:val="nil"/>
              <w:tr2bl w:val="nil"/>
            </w:tcBorders>
            <w:vAlign w:val="center"/>
          </w:tcPr>
          <w:p w14:paraId="0DC1B6FC">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距线路中心距离（m）</w:t>
            </w:r>
          </w:p>
        </w:tc>
        <w:tc>
          <w:tcPr>
            <w:tcW w:w="1910" w:type="pct"/>
            <w:gridSpan w:val="2"/>
            <w:vMerge w:val="restart"/>
            <w:tcBorders>
              <w:tl2br w:val="nil"/>
              <w:tr2bl w:val="nil"/>
            </w:tcBorders>
            <w:vAlign w:val="center"/>
          </w:tcPr>
          <w:p w14:paraId="1CC0DC7F">
            <w:pPr>
              <w:adjustRightInd w:val="0"/>
              <w:snapToGrid w:val="0"/>
              <w:jc w:val="center"/>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距边导线距离（m）</w:t>
            </w:r>
          </w:p>
        </w:tc>
        <w:tc>
          <w:tcPr>
            <w:tcW w:w="2288" w:type="pct"/>
            <w:gridSpan w:val="2"/>
            <w:tcBorders>
              <w:tl2br w:val="nil"/>
              <w:tr2bl w:val="nil"/>
            </w:tcBorders>
            <w:vAlign w:val="center"/>
          </w:tcPr>
          <w:p w14:paraId="3AC46765">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导线高度（m），离地1.5m处</w:t>
            </w:r>
          </w:p>
        </w:tc>
      </w:tr>
      <w:tr w14:paraId="175DD2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vMerge w:val="continue"/>
            <w:tcBorders>
              <w:tl2br w:val="nil"/>
              <w:tr2bl w:val="nil"/>
            </w:tcBorders>
            <w:vAlign w:val="center"/>
          </w:tcPr>
          <w:p w14:paraId="302FCA24">
            <w:pPr>
              <w:adjustRightInd w:val="0"/>
              <w:snapToGrid w:val="0"/>
              <w:jc w:val="center"/>
              <w:rPr>
                <w:rFonts w:hint="default" w:ascii="Times New Roman" w:hAnsi="Times New Roman" w:cs="Times New Roman"/>
                <w:b/>
                <w:bCs/>
                <w:color w:val="auto"/>
                <w:szCs w:val="21"/>
                <w:highlight w:val="none"/>
              </w:rPr>
            </w:pPr>
          </w:p>
        </w:tc>
        <w:tc>
          <w:tcPr>
            <w:tcW w:w="1910" w:type="pct"/>
            <w:gridSpan w:val="2"/>
            <w:vMerge w:val="continue"/>
            <w:tcBorders>
              <w:tl2br w:val="nil"/>
              <w:tr2bl w:val="nil"/>
            </w:tcBorders>
            <w:vAlign w:val="center"/>
          </w:tcPr>
          <w:p w14:paraId="6BA180BF">
            <w:pPr>
              <w:adjustRightInd w:val="0"/>
              <w:snapToGrid w:val="0"/>
              <w:jc w:val="center"/>
              <w:rPr>
                <w:rFonts w:hint="default" w:ascii="Times New Roman" w:hAnsi="Times New Roman" w:cs="Times New Roman"/>
                <w:b/>
                <w:bCs/>
                <w:color w:val="auto"/>
                <w:szCs w:val="21"/>
                <w:highlight w:val="none"/>
              </w:rPr>
            </w:pPr>
          </w:p>
        </w:tc>
        <w:tc>
          <w:tcPr>
            <w:tcW w:w="1247" w:type="pct"/>
            <w:tcBorders>
              <w:tl2br w:val="nil"/>
              <w:tr2bl w:val="nil"/>
            </w:tcBorders>
            <w:vAlign w:val="center"/>
          </w:tcPr>
          <w:p w14:paraId="5D5DC8B6">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7.5m</w:t>
            </w:r>
          </w:p>
        </w:tc>
        <w:tc>
          <w:tcPr>
            <w:tcW w:w="1041" w:type="pct"/>
            <w:tcBorders>
              <w:tl2br w:val="nil"/>
              <w:tr2bl w:val="nil"/>
            </w:tcBorders>
            <w:vAlign w:val="center"/>
          </w:tcPr>
          <w:p w14:paraId="4D53C16F">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val="en-US" w:eastAsia="zh-CN"/>
              </w:rPr>
              <w:t>13.</w:t>
            </w:r>
            <w:r>
              <w:rPr>
                <w:rFonts w:hint="eastAsia" w:ascii="Times New Roman" w:hAnsi="Times New Roman" w:cs="Times New Roman"/>
                <w:b/>
                <w:bCs/>
                <w:color w:val="auto"/>
                <w:szCs w:val="21"/>
                <w:highlight w:val="none"/>
                <w:lang w:val="en-US" w:eastAsia="zh-CN"/>
              </w:rPr>
              <w:t>8</w:t>
            </w:r>
            <w:r>
              <w:rPr>
                <w:rFonts w:hint="default" w:ascii="Times New Roman" w:hAnsi="Times New Roman" w:cs="Times New Roman"/>
                <w:b/>
                <w:bCs/>
                <w:color w:val="auto"/>
                <w:szCs w:val="21"/>
                <w:highlight w:val="none"/>
              </w:rPr>
              <w:t>m</w:t>
            </w:r>
          </w:p>
        </w:tc>
      </w:tr>
      <w:tr w14:paraId="07A4D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D35F5E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39" w:type="pct"/>
            <w:vMerge w:val="restart"/>
            <w:tcBorders>
              <w:tl2br w:val="nil"/>
              <w:tr2bl w:val="nil"/>
            </w:tcBorders>
            <w:shd w:val="clear" w:color="auto" w:fill="auto"/>
            <w:vAlign w:val="center"/>
          </w:tcPr>
          <w:p w14:paraId="585B565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1071" w:type="pct"/>
            <w:tcBorders>
              <w:tl2br w:val="nil"/>
              <w:tr2bl w:val="nil"/>
            </w:tcBorders>
            <w:shd w:val="clear" w:color="auto" w:fill="auto"/>
            <w:vAlign w:val="center"/>
          </w:tcPr>
          <w:p w14:paraId="770C6B5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-41.7</w:t>
            </w:r>
          </w:p>
        </w:tc>
        <w:tc>
          <w:tcPr>
            <w:tcW w:w="1247" w:type="pct"/>
            <w:tcBorders>
              <w:tl2br w:val="nil"/>
              <w:tr2bl w:val="nil"/>
            </w:tcBorders>
            <w:shd w:val="clear" w:color="auto" w:fill="auto"/>
            <w:vAlign w:val="center"/>
          </w:tcPr>
          <w:p w14:paraId="38534B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0.1222</w:t>
            </w:r>
          </w:p>
        </w:tc>
        <w:tc>
          <w:tcPr>
            <w:tcW w:w="1041" w:type="pct"/>
            <w:tcBorders>
              <w:tl2br w:val="nil"/>
              <w:tr2bl w:val="nil"/>
            </w:tcBorders>
            <w:vAlign w:val="center"/>
          </w:tcPr>
          <w:p w14:paraId="52CBA6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0.1903</w:t>
            </w:r>
          </w:p>
        </w:tc>
      </w:tr>
      <w:tr w14:paraId="1B28F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07CB89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39" w:type="pct"/>
            <w:vMerge w:val="continue"/>
            <w:tcBorders>
              <w:tl2br w:val="nil"/>
              <w:tr2bl w:val="nil"/>
            </w:tcBorders>
            <w:shd w:val="clear" w:color="auto" w:fill="auto"/>
            <w:vAlign w:val="center"/>
          </w:tcPr>
          <w:p w14:paraId="403B48D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3E7B1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-36.7</w:t>
            </w:r>
          </w:p>
        </w:tc>
        <w:tc>
          <w:tcPr>
            <w:tcW w:w="1247" w:type="pct"/>
            <w:tcBorders>
              <w:tl2br w:val="nil"/>
              <w:tr2bl w:val="nil"/>
            </w:tcBorders>
            <w:shd w:val="clear" w:color="auto" w:fill="auto"/>
            <w:vAlign w:val="center"/>
          </w:tcPr>
          <w:p w14:paraId="6E05F0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0.1691</w:t>
            </w:r>
          </w:p>
        </w:tc>
        <w:tc>
          <w:tcPr>
            <w:tcW w:w="1041" w:type="pct"/>
            <w:tcBorders>
              <w:tl2br w:val="nil"/>
              <w:tr2bl w:val="nil"/>
            </w:tcBorders>
            <w:vAlign w:val="center"/>
          </w:tcPr>
          <w:p w14:paraId="6A501E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0.2559</w:t>
            </w:r>
          </w:p>
        </w:tc>
      </w:tr>
      <w:tr w14:paraId="61F1C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EBF462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39" w:type="pct"/>
            <w:vMerge w:val="continue"/>
            <w:tcBorders>
              <w:tl2br w:val="nil"/>
              <w:tr2bl w:val="nil"/>
            </w:tcBorders>
            <w:shd w:val="clear" w:color="auto" w:fill="auto"/>
            <w:vAlign w:val="center"/>
          </w:tcPr>
          <w:p w14:paraId="111152F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815D7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-31.7</w:t>
            </w:r>
          </w:p>
        </w:tc>
        <w:tc>
          <w:tcPr>
            <w:tcW w:w="1247" w:type="pct"/>
            <w:tcBorders>
              <w:tl2br w:val="nil"/>
              <w:tr2bl w:val="nil"/>
            </w:tcBorders>
            <w:shd w:val="clear" w:color="auto" w:fill="auto"/>
            <w:vAlign w:val="center"/>
          </w:tcPr>
          <w:p w14:paraId="790A249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0.2439</w:t>
            </w:r>
          </w:p>
        </w:tc>
        <w:tc>
          <w:tcPr>
            <w:tcW w:w="1041" w:type="pct"/>
            <w:tcBorders>
              <w:tl2br w:val="nil"/>
              <w:tr2bl w:val="nil"/>
            </w:tcBorders>
            <w:vAlign w:val="center"/>
          </w:tcPr>
          <w:p w14:paraId="4ED5A6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0.3536</w:t>
            </w:r>
          </w:p>
        </w:tc>
      </w:tr>
      <w:tr w14:paraId="4F82A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0E06BE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39" w:type="pct"/>
            <w:vMerge w:val="continue"/>
            <w:tcBorders>
              <w:tl2br w:val="nil"/>
              <w:tr2bl w:val="nil"/>
            </w:tcBorders>
            <w:shd w:val="clear" w:color="auto" w:fill="auto"/>
            <w:vAlign w:val="center"/>
          </w:tcPr>
          <w:p w14:paraId="25D4FBB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6384B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-26.7</w:t>
            </w:r>
          </w:p>
        </w:tc>
        <w:tc>
          <w:tcPr>
            <w:tcW w:w="1247" w:type="pct"/>
            <w:tcBorders>
              <w:tl2br w:val="nil"/>
              <w:tr2bl w:val="nil"/>
            </w:tcBorders>
            <w:shd w:val="clear" w:color="auto" w:fill="auto"/>
            <w:vAlign w:val="center"/>
          </w:tcPr>
          <w:p w14:paraId="7A7E588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0.3701</w:t>
            </w:r>
          </w:p>
        </w:tc>
        <w:tc>
          <w:tcPr>
            <w:tcW w:w="1041" w:type="pct"/>
            <w:tcBorders>
              <w:tl2br w:val="nil"/>
              <w:tr2bl w:val="nil"/>
            </w:tcBorders>
            <w:vAlign w:val="center"/>
          </w:tcPr>
          <w:p w14:paraId="4F7BB3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0.5041</w:t>
            </w:r>
          </w:p>
        </w:tc>
      </w:tr>
      <w:tr w14:paraId="38521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28F8DD9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39" w:type="pct"/>
            <w:vMerge w:val="continue"/>
            <w:tcBorders>
              <w:tl2br w:val="nil"/>
              <w:tr2bl w:val="nil"/>
            </w:tcBorders>
            <w:shd w:val="clear" w:color="auto" w:fill="auto"/>
            <w:vAlign w:val="center"/>
          </w:tcPr>
          <w:p w14:paraId="7EDAC89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F10523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-21.7</w:t>
            </w:r>
          </w:p>
        </w:tc>
        <w:tc>
          <w:tcPr>
            <w:tcW w:w="1247" w:type="pct"/>
            <w:tcBorders>
              <w:tl2br w:val="nil"/>
              <w:tr2bl w:val="nil"/>
            </w:tcBorders>
            <w:shd w:val="clear" w:color="auto" w:fill="auto"/>
            <w:vAlign w:val="center"/>
          </w:tcPr>
          <w:p w14:paraId="105E68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0.6004</w:t>
            </w:r>
          </w:p>
        </w:tc>
        <w:tc>
          <w:tcPr>
            <w:tcW w:w="1041" w:type="pct"/>
            <w:tcBorders>
              <w:tl2br w:val="nil"/>
              <w:tr2bl w:val="nil"/>
            </w:tcBorders>
            <w:vAlign w:val="center"/>
          </w:tcPr>
          <w:p w14:paraId="0E8480F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0.7411</w:t>
            </w:r>
          </w:p>
        </w:tc>
      </w:tr>
      <w:tr w14:paraId="5B9DE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5AA50DA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39" w:type="pct"/>
            <w:vMerge w:val="continue"/>
            <w:tcBorders>
              <w:tl2br w:val="nil"/>
              <w:tr2bl w:val="nil"/>
            </w:tcBorders>
            <w:shd w:val="clear" w:color="auto" w:fill="auto"/>
            <w:vAlign w:val="center"/>
          </w:tcPr>
          <w:p w14:paraId="7E02F76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77889D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-16.7</w:t>
            </w:r>
          </w:p>
        </w:tc>
        <w:tc>
          <w:tcPr>
            <w:tcW w:w="1247" w:type="pct"/>
            <w:tcBorders>
              <w:tl2br w:val="nil"/>
              <w:tr2bl w:val="nil"/>
            </w:tcBorders>
            <w:shd w:val="clear" w:color="auto" w:fill="auto"/>
            <w:vAlign w:val="center"/>
          </w:tcPr>
          <w:p w14:paraId="50425C2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1.0619</w:t>
            </w:r>
          </w:p>
        </w:tc>
        <w:tc>
          <w:tcPr>
            <w:tcW w:w="1041" w:type="pct"/>
            <w:tcBorders>
              <w:tl2br w:val="nil"/>
              <w:tr2bl w:val="nil"/>
            </w:tcBorders>
            <w:vAlign w:val="center"/>
          </w:tcPr>
          <w:p w14:paraId="07654B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1.1139</w:t>
            </w:r>
          </w:p>
        </w:tc>
      </w:tr>
      <w:tr w14:paraId="28E62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A5332C4">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39" w:type="pct"/>
            <w:vMerge w:val="continue"/>
            <w:tcBorders>
              <w:tl2br w:val="nil"/>
              <w:tr2bl w:val="nil"/>
            </w:tcBorders>
            <w:shd w:val="clear" w:color="auto" w:fill="auto"/>
            <w:vAlign w:val="center"/>
          </w:tcPr>
          <w:p w14:paraId="142C0A4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1E2B9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-11.7</w:t>
            </w:r>
          </w:p>
        </w:tc>
        <w:tc>
          <w:tcPr>
            <w:tcW w:w="1247" w:type="pct"/>
            <w:tcBorders>
              <w:tl2br w:val="nil"/>
              <w:tr2bl w:val="nil"/>
            </w:tcBorders>
            <w:shd w:val="clear" w:color="auto" w:fill="auto"/>
            <w:vAlign w:val="center"/>
          </w:tcPr>
          <w:p w14:paraId="3920C8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2.0839</w:t>
            </w:r>
          </w:p>
        </w:tc>
        <w:tc>
          <w:tcPr>
            <w:tcW w:w="1041" w:type="pct"/>
            <w:tcBorders>
              <w:tl2br w:val="nil"/>
              <w:tr2bl w:val="nil"/>
            </w:tcBorders>
            <w:vAlign w:val="center"/>
          </w:tcPr>
          <w:p w14:paraId="43532C9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1.6543</w:t>
            </w:r>
          </w:p>
        </w:tc>
      </w:tr>
      <w:tr w14:paraId="5423B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09D644E">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39" w:type="pct"/>
            <w:vMerge w:val="continue"/>
            <w:tcBorders>
              <w:tl2br w:val="nil"/>
              <w:tr2bl w:val="nil"/>
            </w:tcBorders>
            <w:shd w:val="clear" w:color="auto" w:fill="auto"/>
            <w:vAlign w:val="center"/>
          </w:tcPr>
          <w:p w14:paraId="44CBE1D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92A97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-6.7</w:t>
            </w:r>
          </w:p>
        </w:tc>
        <w:tc>
          <w:tcPr>
            <w:tcW w:w="1247" w:type="pct"/>
            <w:tcBorders>
              <w:tl2br w:val="nil"/>
              <w:tr2bl w:val="nil"/>
            </w:tcBorders>
            <w:shd w:val="clear" w:color="auto" w:fill="auto"/>
            <w:vAlign w:val="center"/>
          </w:tcPr>
          <w:p w14:paraId="51E6EE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4.3154</w:t>
            </w:r>
          </w:p>
        </w:tc>
        <w:tc>
          <w:tcPr>
            <w:tcW w:w="1041" w:type="pct"/>
            <w:tcBorders>
              <w:tl2br w:val="nil"/>
              <w:tr2bl w:val="nil"/>
            </w:tcBorders>
            <w:vAlign w:val="center"/>
          </w:tcPr>
          <w:p w14:paraId="426D3D1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2.2098</w:t>
            </w:r>
          </w:p>
        </w:tc>
      </w:tr>
      <w:tr w14:paraId="1B425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297D8326">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39" w:type="pct"/>
            <w:vMerge w:val="continue"/>
            <w:tcBorders>
              <w:tl2br w:val="nil"/>
              <w:tr2bl w:val="nil"/>
            </w:tcBorders>
            <w:shd w:val="clear" w:color="auto" w:fill="auto"/>
            <w:vAlign w:val="center"/>
          </w:tcPr>
          <w:p w14:paraId="3275C34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28BDFB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-1.7</w:t>
            </w:r>
          </w:p>
        </w:tc>
        <w:tc>
          <w:tcPr>
            <w:tcW w:w="1247" w:type="pct"/>
            <w:tcBorders>
              <w:tl2br w:val="nil"/>
              <w:tr2bl w:val="nil"/>
            </w:tcBorders>
            <w:shd w:val="clear" w:color="auto" w:fill="auto"/>
            <w:vAlign w:val="center"/>
          </w:tcPr>
          <w:p w14:paraId="065F16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6.0746</w:t>
            </w:r>
          </w:p>
        </w:tc>
        <w:tc>
          <w:tcPr>
            <w:tcW w:w="1041" w:type="pct"/>
            <w:tcBorders>
              <w:tl2br w:val="nil"/>
              <w:tr2bl w:val="nil"/>
            </w:tcBorders>
            <w:vAlign w:val="center"/>
          </w:tcPr>
          <w:p w14:paraId="45649BE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2.2301</w:t>
            </w:r>
          </w:p>
        </w:tc>
      </w:tr>
      <w:tr w14:paraId="514B14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21B757F">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2"/>
                <w:sz w:val="20"/>
                <w:szCs w:val="20"/>
                <w:u w:val="none"/>
                <w:lang w:val="en-US" w:eastAsia="zh-CN" w:bidi="ar-SA"/>
              </w:rPr>
            </w:pPr>
            <w:r>
              <w:rPr>
                <w:rFonts w:hint="default" w:ascii="Times New Roman" w:hAnsi="Times New Roman" w:eastAsia="宋体" w:cs="Times New Roman"/>
                <w:b w:val="0"/>
                <w:bCs w:val="0"/>
                <w:i w:val="0"/>
                <w:iCs w:val="0"/>
                <w:color w:val="auto"/>
                <w:kern w:val="0"/>
                <w:sz w:val="20"/>
                <w:szCs w:val="20"/>
                <w:u w:val="none"/>
                <w:lang w:val="en-US" w:eastAsia="zh-CN" w:bidi="ar"/>
              </w:rPr>
              <w:t>-9</w:t>
            </w:r>
          </w:p>
        </w:tc>
        <w:tc>
          <w:tcPr>
            <w:tcW w:w="839" w:type="pct"/>
            <w:vMerge w:val="continue"/>
            <w:tcBorders>
              <w:tl2br w:val="nil"/>
              <w:tr2bl w:val="nil"/>
            </w:tcBorders>
            <w:shd w:val="clear" w:color="auto" w:fill="auto"/>
            <w:vAlign w:val="center"/>
          </w:tcPr>
          <w:p w14:paraId="33DE9F3C">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4BA1E36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-0.7</w:t>
            </w:r>
          </w:p>
        </w:tc>
        <w:tc>
          <w:tcPr>
            <w:tcW w:w="1247" w:type="pct"/>
            <w:tcBorders>
              <w:tl2br w:val="nil"/>
              <w:tr2bl w:val="nil"/>
            </w:tcBorders>
            <w:shd w:val="clear" w:color="auto" w:fill="auto"/>
            <w:vAlign w:val="center"/>
          </w:tcPr>
          <w:p w14:paraId="227345D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5.7437</w:t>
            </w:r>
          </w:p>
        </w:tc>
        <w:tc>
          <w:tcPr>
            <w:tcW w:w="1041" w:type="pct"/>
            <w:tcBorders>
              <w:tl2br w:val="nil"/>
              <w:tr2bl w:val="nil"/>
            </w:tcBorders>
            <w:vAlign w:val="center"/>
          </w:tcPr>
          <w:p w14:paraId="2A93906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2.1316</w:t>
            </w:r>
          </w:p>
        </w:tc>
      </w:tr>
      <w:tr w14:paraId="7CB131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0A0E07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839" w:type="pct"/>
            <w:vMerge w:val="restart"/>
            <w:tcBorders>
              <w:tl2br w:val="nil"/>
              <w:tr2bl w:val="nil"/>
            </w:tcBorders>
            <w:shd w:val="clear" w:color="auto" w:fill="auto"/>
            <w:vAlign w:val="center"/>
          </w:tcPr>
          <w:p w14:paraId="6542CCD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071" w:type="pct"/>
            <w:tcBorders>
              <w:tl2br w:val="nil"/>
              <w:tr2bl w:val="nil"/>
            </w:tcBorders>
            <w:shd w:val="clear" w:color="auto" w:fill="auto"/>
            <w:vAlign w:val="center"/>
          </w:tcPr>
          <w:p w14:paraId="10536B8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16690B3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5.2035</w:t>
            </w:r>
          </w:p>
        </w:tc>
        <w:tc>
          <w:tcPr>
            <w:tcW w:w="1041" w:type="pct"/>
            <w:tcBorders>
              <w:tl2br w:val="nil"/>
              <w:tr2bl w:val="nil"/>
            </w:tcBorders>
            <w:vAlign w:val="center"/>
          </w:tcPr>
          <w:p w14:paraId="197C7C0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2.0084</w:t>
            </w:r>
          </w:p>
        </w:tc>
      </w:tr>
      <w:tr w14:paraId="4867B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5AE8549">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39" w:type="pct"/>
            <w:vMerge w:val="continue"/>
            <w:tcBorders>
              <w:tl2br w:val="nil"/>
              <w:tr2bl w:val="nil"/>
            </w:tcBorders>
            <w:shd w:val="clear" w:color="auto" w:fill="auto"/>
            <w:vAlign w:val="center"/>
          </w:tcPr>
          <w:p w14:paraId="2FFAD04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7B5EED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5738F5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4.5938</w:t>
            </w:r>
          </w:p>
        </w:tc>
        <w:tc>
          <w:tcPr>
            <w:tcW w:w="1041" w:type="pct"/>
            <w:tcBorders>
              <w:tl2br w:val="nil"/>
              <w:tr2bl w:val="nil"/>
            </w:tcBorders>
            <w:vAlign w:val="center"/>
          </w:tcPr>
          <w:p w14:paraId="4F3AEDE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1.8719</w:t>
            </w:r>
          </w:p>
        </w:tc>
      </w:tr>
      <w:tr w14:paraId="73AB3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473EE83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39" w:type="pct"/>
            <w:vMerge w:val="continue"/>
            <w:tcBorders>
              <w:tl2br w:val="nil"/>
              <w:tr2bl w:val="nil"/>
            </w:tcBorders>
            <w:shd w:val="clear" w:color="auto" w:fill="auto"/>
            <w:vAlign w:val="center"/>
          </w:tcPr>
          <w:p w14:paraId="6703514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53533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5A95D4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4.0885</w:t>
            </w:r>
          </w:p>
        </w:tc>
        <w:tc>
          <w:tcPr>
            <w:tcW w:w="1041" w:type="pct"/>
            <w:tcBorders>
              <w:tl2br w:val="nil"/>
              <w:tr2bl w:val="nil"/>
            </w:tcBorders>
            <w:vAlign w:val="center"/>
          </w:tcPr>
          <w:p w14:paraId="20D569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1.7361</w:t>
            </w:r>
          </w:p>
        </w:tc>
      </w:tr>
      <w:tr w14:paraId="5529F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2B4963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39" w:type="pct"/>
            <w:vMerge w:val="continue"/>
            <w:tcBorders>
              <w:tl2br w:val="nil"/>
              <w:tr2bl w:val="nil"/>
            </w:tcBorders>
            <w:shd w:val="clear" w:color="auto" w:fill="auto"/>
            <w:vAlign w:val="center"/>
          </w:tcPr>
          <w:p w14:paraId="51EC9EB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E85A9C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7F376D4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3.8537</w:t>
            </w:r>
          </w:p>
        </w:tc>
        <w:tc>
          <w:tcPr>
            <w:tcW w:w="1041" w:type="pct"/>
            <w:tcBorders>
              <w:tl2br w:val="nil"/>
              <w:tr2bl w:val="nil"/>
            </w:tcBorders>
            <w:vAlign w:val="center"/>
          </w:tcPr>
          <w:p w14:paraId="27CE08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1.6152</w:t>
            </w:r>
          </w:p>
        </w:tc>
      </w:tr>
      <w:tr w14:paraId="3ABEC2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4637E02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39" w:type="pct"/>
            <w:vMerge w:val="continue"/>
            <w:tcBorders>
              <w:tl2br w:val="nil"/>
              <w:tr2bl w:val="nil"/>
            </w:tcBorders>
            <w:shd w:val="clear" w:color="auto" w:fill="auto"/>
            <w:vAlign w:val="center"/>
          </w:tcPr>
          <w:p w14:paraId="63A9BAC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3B3445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C4CC4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3.9651</w:t>
            </w:r>
          </w:p>
        </w:tc>
        <w:tc>
          <w:tcPr>
            <w:tcW w:w="1041" w:type="pct"/>
            <w:tcBorders>
              <w:tl2br w:val="nil"/>
              <w:tr2bl w:val="nil"/>
            </w:tcBorders>
            <w:vAlign w:val="center"/>
          </w:tcPr>
          <w:p w14:paraId="12C8A7C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1.5199</w:t>
            </w:r>
          </w:p>
        </w:tc>
      </w:tr>
      <w:tr w14:paraId="28AD0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07809AAA">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39" w:type="pct"/>
            <w:vMerge w:val="continue"/>
            <w:tcBorders>
              <w:tl2br w:val="nil"/>
              <w:tr2bl w:val="nil"/>
            </w:tcBorders>
            <w:shd w:val="clear" w:color="auto" w:fill="auto"/>
            <w:vAlign w:val="center"/>
          </w:tcPr>
          <w:p w14:paraId="3979DFC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3100A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294C514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4.3443</w:t>
            </w:r>
          </w:p>
        </w:tc>
        <w:tc>
          <w:tcPr>
            <w:tcW w:w="1041" w:type="pct"/>
            <w:tcBorders>
              <w:tl2br w:val="nil"/>
              <w:tr2bl w:val="nil"/>
            </w:tcBorders>
            <w:vAlign w:val="center"/>
          </w:tcPr>
          <w:p w14:paraId="6B7A22B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1.455</w:t>
            </w:r>
          </w:p>
        </w:tc>
      </w:tr>
      <w:tr w14:paraId="639083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205063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39" w:type="pct"/>
            <w:vMerge w:val="continue"/>
            <w:tcBorders>
              <w:tl2br w:val="nil"/>
              <w:tr2bl w:val="nil"/>
            </w:tcBorders>
            <w:shd w:val="clear" w:color="auto" w:fill="auto"/>
            <w:vAlign w:val="center"/>
          </w:tcPr>
          <w:p w14:paraId="5322932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0B5F54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7F48FE6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4.8126</w:t>
            </w:r>
          </w:p>
        </w:tc>
        <w:tc>
          <w:tcPr>
            <w:tcW w:w="1041" w:type="pct"/>
            <w:tcBorders>
              <w:tl2br w:val="nil"/>
              <w:tr2bl w:val="nil"/>
            </w:tcBorders>
            <w:vAlign w:val="center"/>
          </w:tcPr>
          <w:p w14:paraId="07ED8F0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1.4176</w:t>
            </w:r>
          </w:p>
        </w:tc>
      </w:tr>
      <w:tr w14:paraId="1D08A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3C1ADF0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39" w:type="pct"/>
            <w:vMerge w:val="continue"/>
            <w:tcBorders>
              <w:tl2br w:val="nil"/>
              <w:tr2bl w:val="nil"/>
            </w:tcBorders>
            <w:shd w:val="clear" w:color="auto" w:fill="auto"/>
            <w:vAlign w:val="center"/>
          </w:tcPr>
          <w:p w14:paraId="5D2F628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12343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143A0E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5.1849</w:t>
            </w:r>
          </w:p>
        </w:tc>
        <w:tc>
          <w:tcPr>
            <w:tcW w:w="1041" w:type="pct"/>
            <w:tcBorders>
              <w:tl2br w:val="nil"/>
              <w:tr2bl w:val="nil"/>
            </w:tcBorders>
            <w:vAlign w:val="center"/>
          </w:tcPr>
          <w:p w14:paraId="015210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1.4003</w:t>
            </w:r>
          </w:p>
        </w:tc>
      </w:tr>
      <w:tr w14:paraId="60C51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043C30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0</w:t>
            </w:r>
          </w:p>
        </w:tc>
        <w:tc>
          <w:tcPr>
            <w:tcW w:w="839" w:type="pct"/>
            <w:vMerge w:val="continue"/>
            <w:tcBorders>
              <w:tl2br w:val="nil"/>
              <w:tr2bl w:val="nil"/>
            </w:tcBorders>
            <w:shd w:val="clear" w:color="auto" w:fill="auto"/>
            <w:vAlign w:val="center"/>
          </w:tcPr>
          <w:p w14:paraId="26E75E7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C26A2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4EA5147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5.3258</w:t>
            </w:r>
          </w:p>
        </w:tc>
        <w:tc>
          <w:tcPr>
            <w:tcW w:w="1041" w:type="pct"/>
            <w:tcBorders>
              <w:tl2br w:val="nil"/>
              <w:tr2bl w:val="nil"/>
            </w:tcBorders>
            <w:vAlign w:val="center"/>
          </w:tcPr>
          <w:p w14:paraId="4095BE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1.3955</w:t>
            </w:r>
          </w:p>
        </w:tc>
      </w:tr>
      <w:tr w14:paraId="51B3F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7E9E90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w:t>
            </w:r>
          </w:p>
        </w:tc>
        <w:tc>
          <w:tcPr>
            <w:tcW w:w="839" w:type="pct"/>
            <w:vMerge w:val="continue"/>
            <w:tcBorders>
              <w:tl2br w:val="nil"/>
              <w:tr2bl w:val="nil"/>
            </w:tcBorders>
            <w:shd w:val="clear" w:color="auto" w:fill="auto"/>
            <w:vAlign w:val="center"/>
          </w:tcPr>
          <w:p w14:paraId="5FE3B9A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79F93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115AB2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5.1849</w:t>
            </w:r>
          </w:p>
        </w:tc>
        <w:tc>
          <w:tcPr>
            <w:tcW w:w="1041" w:type="pct"/>
            <w:tcBorders>
              <w:tl2br w:val="nil"/>
              <w:tr2bl w:val="nil"/>
            </w:tcBorders>
            <w:vAlign w:val="center"/>
          </w:tcPr>
          <w:p w14:paraId="4B7DBE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1.4003</w:t>
            </w:r>
          </w:p>
        </w:tc>
      </w:tr>
      <w:tr w14:paraId="74FA1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421AF43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w:t>
            </w:r>
          </w:p>
        </w:tc>
        <w:tc>
          <w:tcPr>
            <w:tcW w:w="839" w:type="pct"/>
            <w:vMerge w:val="continue"/>
            <w:tcBorders>
              <w:tl2br w:val="nil"/>
              <w:tr2bl w:val="nil"/>
            </w:tcBorders>
            <w:shd w:val="clear" w:color="auto" w:fill="auto"/>
            <w:vAlign w:val="center"/>
          </w:tcPr>
          <w:p w14:paraId="23541B7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2C0EF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623215E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4.8126</w:t>
            </w:r>
          </w:p>
        </w:tc>
        <w:tc>
          <w:tcPr>
            <w:tcW w:w="1041" w:type="pct"/>
            <w:tcBorders>
              <w:tl2br w:val="nil"/>
              <w:tr2bl w:val="nil"/>
            </w:tcBorders>
            <w:vAlign w:val="center"/>
          </w:tcPr>
          <w:p w14:paraId="70D1F3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1.4176</w:t>
            </w:r>
          </w:p>
        </w:tc>
      </w:tr>
      <w:tr w14:paraId="62CF5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0F5DC08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w:t>
            </w:r>
          </w:p>
        </w:tc>
        <w:tc>
          <w:tcPr>
            <w:tcW w:w="839" w:type="pct"/>
            <w:vMerge w:val="continue"/>
            <w:tcBorders>
              <w:tl2br w:val="nil"/>
              <w:tr2bl w:val="nil"/>
            </w:tcBorders>
            <w:shd w:val="clear" w:color="auto" w:fill="auto"/>
            <w:vAlign w:val="center"/>
          </w:tcPr>
          <w:p w14:paraId="6004AE0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435811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072A17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4.3443</w:t>
            </w:r>
          </w:p>
        </w:tc>
        <w:tc>
          <w:tcPr>
            <w:tcW w:w="1041" w:type="pct"/>
            <w:tcBorders>
              <w:tl2br w:val="nil"/>
              <w:tr2bl w:val="nil"/>
            </w:tcBorders>
            <w:vAlign w:val="center"/>
          </w:tcPr>
          <w:p w14:paraId="4A8039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1.455</w:t>
            </w:r>
          </w:p>
        </w:tc>
      </w:tr>
      <w:tr w14:paraId="276F6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F2C053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w:t>
            </w:r>
          </w:p>
        </w:tc>
        <w:tc>
          <w:tcPr>
            <w:tcW w:w="839" w:type="pct"/>
            <w:vMerge w:val="continue"/>
            <w:tcBorders>
              <w:tl2br w:val="nil"/>
              <w:tr2bl w:val="nil"/>
            </w:tcBorders>
            <w:shd w:val="clear" w:color="auto" w:fill="auto"/>
            <w:vAlign w:val="center"/>
          </w:tcPr>
          <w:p w14:paraId="4475E04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0F72CD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79E82A6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3.9651</w:t>
            </w:r>
          </w:p>
        </w:tc>
        <w:tc>
          <w:tcPr>
            <w:tcW w:w="1041" w:type="pct"/>
            <w:tcBorders>
              <w:tl2br w:val="nil"/>
              <w:tr2bl w:val="nil"/>
            </w:tcBorders>
            <w:vAlign w:val="center"/>
          </w:tcPr>
          <w:p w14:paraId="0BB9CEA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1.5199</w:t>
            </w:r>
          </w:p>
        </w:tc>
      </w:tr>
      <w:tr w14:paraId="3E88A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2C2C728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w:t>
            </w:r>
          </w:p>
        </w:tc>
        <w:tc>
          <w:tcPr>
            <w:tcW w:w="839" w:type="pct"/>
            <w:vMerge w:val="continue"/>
            <w:tcBorders>
              <w:tl2br w:val="nil"/>
              <w:tr2bl w:val="nil"/>
            </w:tcBorders>
            <w:shd w:val="clear" w:color="auto" w:fill="auto"/>
            <w:vAlign w:val="center"/>
          </w:tcPr>
          <w:p w14:paraId="77EBD6E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EB524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697527A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3.8537</w:t>
            </w:r>
          </w:p>
        </w:tc>
        <w:tc>
          <w:tcPr>
            <w:tcW w:w="1041" w:type="pct"/>
            <w:tcBorders>
              <w:tl2br w:val="nil"/>
              <w:tr2bl w:val="nil"/>
            </w:tcBorders>
            <w:vAlign w:val="center"/>
          </w:tcPr>
          <w:p w14:paraId="0EAC88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1.6152</w:t>
            </w:r>
          </w:p>
        </w:tc>
      </w:tr>
      <w:tr w14:paraId="0F690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1453C74">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6</w:t>
            </w:r>
          </w:p>
        </w:tc>
        <w:tc>
          <w:tcPr>
            <w:tcW w:w="839" w:type="pct"/>
            <w:vMerge w:val="continue"/>
            <w:tcBorders>
              <w:tl2br w:val="nil"/>
              <w:tr2bl w:val="nil"/>
            </w:tcBorders>
            <w:shd w:val="clear" w:color="auto" w:fill="auto"/>
            <w:vAlign w:val="center"/>
          </w:tcPr>
          <w:p w14:paraId="465AADC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35ACDD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边导线内</w:t>
            </w:r>
          </w:p>
        </w:tc>
        <w:tc>
          <w:tcPr>
            <w:tcW w:w="1247" w:type="pct"/>
            <w:tcBorders>
              <w:tl2br w:val="nil"/>
              <w:tr2bl w:val="nil"/>
            </w:tcBorders>
            <w:shd w:val="clear" w:color="auto" w:fill="auto"/>
            <w:vAlign w:val="center"/>
          </w:tcPr>
          <w:p w14:paraId="3920323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4.0885</w:t>
            </w:r>
          </w:p>
        </w:tc>
        <w:tc>
          <w:tcPr>
            <w:tcW w:w="1041" w:type="pct"/>
            <w:tcBorders>
              <w:tl2br w:val="nil"/>
              <w:tr2bl w:val="nil"/>
            </w:tcBorders>
            <w:vAlign w:val="center"/>
          </w:tcPr>
          <w:p w14:paraId="0B8D27C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1.7361</w:t>
            </w:r>
          </w:p>
        </w:tc>
      </w:tr>
      <w:tr w14:paraId="5646CB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315E15B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7</w:t>
            </w:r>
          </w:p>
        </w:tc>
        <w:tc>
          <w:tcPr>
            <w:tcW w:w="839" w:type="pct"/>
            <w:vMerge w:val="restart"/>
            <w:tcBorders>
              <w:tl2br w:val="nil"/>
              <w:tr2bl w:val="nil"/>
            </w:tcBorders>
            <w:shd w:val="clear" w:color="auto" w:fill="auto"/>
            <w:vAlign w:val="center"/>
          </w:tcPr>
          <w:p w14:paraId="7B63F7C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边导线外</w:t>
            </w:r>
          </w:p>
        </w:tc>
        <w:tc>
          <w:tcPr>
            <w:tcW w:w="1071" w:type="pct"/>
            <w:tcBorders>
              <w:tl2br w:val="nil"/>
              <w:tr2bl w:val="nil"/>
            </w:tcBorders>
            <w:shd w:val="clear" w:color="auto" w:fill="auto"/>
            <w:vAlign w:val="center"/>
          </w:tcPr>
          <w:p w14:paraId="0BEC35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0.2</w:t>
            </w:r>
          </w:p>
        </w:tc>
        <w:tc>
          <w:tcPr>
            <w:tcW w:w="1247" w:type="pct"/>
            <w:tcBorders>
              <w:tl2br w:val="nil"/>
              <w:tr2bl w:val="nil"/>
            </w:tcBorders>
            <w:shd w:val="clear" w:color="auto" w:fill="auto"/>
            <w:vAlign w:val="center"/>
          </w:tcPr>
          <w:p w14:paraId="58F592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4.5938</w:t>
            </w:r>
          </w:p>
        </w:tc>
        <w:tc>
          <w:tcPr>
            <w:tcW w:w="1041" w:type="pct"/>
            <w:tcBorders>
              <w:tl2br w:val="nil"/>
              <w:tr2bl w:val="nil"/>
            </w:tcBorders>
            <w:vAlign w:val="center"/>
          </w:tcPr>
          <w:p w14:paraId="23EE7EA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1.8719</w:t>
            </w:r>
          </w:p>
        </w:tc>
      </w:tr>
      <w:tr w14:paraId="5EF4A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E0D13F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8</w:t>
            </w:r>
          </w:p>
        </w:tc>
        <w:tc>
          <w:tcPr>
            <w:tcW w:w="839" w:type="pct"/>
            <w:vMerge w:val="continue"/>
            <w:tcBorders>
              <w:tl2br w:val="nil"/>
              <w:tr2bl w:val="nil"/>
            </w:tcBorders>
            <w:shd w:val="clear" w:color="auto" w:fill="auto"/>
            <w:vAlign w:val="center"/>
          </w:tcPr>
          <w:p w14:paraId="2BB5246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48D95C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1.2</w:t>
            </w:r>
          </w:p>
        </w:tc>
        <w:tc>
          <w:tcPr>
            <w:tcW w:w="1247" w:type="pct"/>
            <w:tcBorders>
              <w:tl2br w:val="nil"/>
              <w:tr2bl w:val="nil"/>
            </w:tcBorders>
            <w:shd w:val="clear" w:color="auto" w:fill="auto"/>
            <w:vAlign w:val="center"/>
          </w:tcPr>
          <w:p w14:paraId="5246DF0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5.2035</w:t>
            </w:r>
          </w:p>
        </w:tc>
        <w:tc>
          <w:tcPr>
            <w:tcW w:w="1041" w:type="pct"/>
            <w:tcBorders>
              <w:tl2br w:val="nil"/>
              <w:tr2bl w:val="nil"/>
            </w:tcBorders>
            <w:vAlign w:val="center"/>
          </w:tcPr>
          <w:p w14:paraId="4F07D18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2.0084</w:t>
            </w:r>
          </w:p>
        </w:tc>
      </w:tr>
      <w:tr w14:paraId="44ED89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DA61978">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9</w:t>
            </w:r>
          </w:p>
        </w:tc>
        <w:tc>
          <w:tcPr>
            <w:tcW w:w="839" w:type="pct"/>
            <w:vMerge w:val="continue"/>
            <w:tcBorders>
              <w:tl2br w:val="nil"/>
              <w:tr2bl w:val="nil"/>
            </w:tcBorders>
            <w:shd w:val="clear" w:color="auto" w:fill="auto"/>
            <w:vAlign w:val="center"/>
          </w:tcPr>
          <w:p w14:paraId="755693A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62CDBE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2.2</w:t>
            </w:r>
          </w:p>
        </w:tc>
        <w:tc>
          <w:tcPr>
            <w:tcW w:w="1247" w:type="pct"/>
            <w:tcBorders>
              <w:tl2br w:val="nil"/>
              <w:tr2bl w:val="nil"/>
            </w:tcBorders>
            <w:shd w:val="clear" w:color="auto" w:fill="auto"/>
            <w:vAlign w:val="center"/>
          </w:tcPr>
          <w:p w14:paraId="584183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5.7437</w:t>
            </w:r>
          </w:p>
        </w:tc>
        <w:tc>
          <w:tcPr>
            <w:tcW w:w="1041" w:type="pct"/>
            <w:tcBorders>
              <w:tl2br w:val="nil"/>
              <w:tr2bl w:val="nil"/>
            </w:tcBorders>
            <w:vAlign w:val="center"/>
          </w:tcPr>
          <w:p w14:paraId="151A087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2.1316</w:t>
            </w:r>
          </w:p>
        </w:tc>
      </w:tr>
      <w:tr w14:paraId="4B346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1626B25">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10</w:t>
            </w:r>
          </w:p>
        </w:tc>
        <w:tc>
          <w:tcPr>
            <w:tcW w:w="839" w:type="pct"/>
            <w:vMerge w:val="continue"/>
            <w:tcBorders>
              <w:tl2br w:val="nil"/>
              <w:tr2bl w:val="nil"/>
            </w:tcBorders>
            <w:shd w:val="clear" w:color="auto" w:fill="auto"/>
            <w:vAlign w:val="center"/>
          </w:tcPr>
          <w:p w14:paraId="7FF3DA8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04356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3.2</w:t>
            </w:r>
          </w:p>
        </w:tc>
        <w:tc>
          <w:tcPr>
            <w:tcW w:w="1247" w:type="pct"/>
            <w:tcBorders>
              <w:tl2br w:val="nil"/>
              <w:tr2bl w:val="nil"/>
            </w:tcBorders>
            <w:shd w:val="clear" w:color="auto" w:fill="auto"/>
            <w:vAlign w:val="center"/>
          </w:tcPr>
          <w:p w14:paraId="7199DC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6.0746</w:t>
            </w:r>
          </w:p>
        </w:tc>
        <w:tc>
          <w:tcPr>
            <w:tcW w:w="1041" w:type="pct"/>
            <w:tcBorders>
              <w:tl2br w:val="nil"/>
              <w:tr2bl w:val="nil"/>
            </w:tcBorders>
            <w:vAlign w:val="center"/>
          </w:tcPr>
          <w:p w14:paraId="157287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2.2301</w:t>
            </w:r>
          </w:p>
        </w:tc>
      </w:tr>
      <w:tr w14:paraId="32EA3B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DA75707">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15</w:t>
            </w:r>
          </w:p>
        </w:tc>
        <w:tc>
          <w:tcPr>
            <w:tcW w:w="839" w:type="pct"/>
            <w:vMerge w:val="continue"/>
            <w:tcBorders>
              <w:tl2br w:val="nil"/>
              <w:tr2bl w:val="nil"/>
            </w:tcBorders>
            <w:shd w:val="clear" w:color="auto" w:fill="auto"/>
            <w:vAlign w:val="center"/>
          </w:tcPr>
          <w:p w14:paraId="275710B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341E3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8.2</w:t>
            </w:r>
          </w:p>
        </w:tc>
        <w:tc>
          <w:tcPr>
            <w:tcW w:w="1247" w:type="pct"/>
            <w:tcBorders>
              <w:tl2br w:val="nil"/>
              <w:tr2bl w:val="nil"/>
            </w:tcBorders>
            <w:shd w:val="clear" w:color="auto" w:fill="auto"/>
            <w:vAlign w:val="center"/>
          </w:tcPr>
          <w:p w14:paraId="540F5D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4.3154</w:t>
            </w:r>
          </w:p>
        </w:tc>
        <w:tc>
          <w:tcPr>
            <w:tcW w:w="1041" w:type="pct"/>
            <w:tcBorders>
              <w:tl2br w:val="nil"/>
              <w:tr2bl w:val="nil"/>
            </w:tcBorders>
            <w:vAlign w:val="center"/>
          </w:tcPr>
          <w:p w14:paraId="70B9080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2.2098</w:t>
            </w:r>
          </w:p>
        </w:tc>
      </w:tr>
      <w:tr w14:paraId="798B8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5B78E35D">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20</w:t>
            </w:r>
          </w:p>
        </w:tc>
        <w:tc>
          <w:tcPr>
            <w:tcW w:w="839" w:type="pct"/>
            <w:vMerge w:val="continue"/>
            <w:tcBorders>
              <w:tl2br w:val="nil"/>
              <w:tr2bl w:val="nil"/>
            </w:tcBorders>
            <w:shd w:val="clear" w:color="auto" w:fill="auto"/>
            <w:vAlign w:val="center"/>
          </w:tcPr>
          <w:p w14:paraId="25F5BA2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82771C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13.2</w:t>
            </w:r>
          </w:p>
        </w:tc>
        <w:tc>
          <w:tcPr>
            <w:tcW w:w="1247" w:type="pct"/>
            <w:tcBorders>
              <w:tl2br w:val="nil"/>
              <w:tr2bl w:val="nil"/>
            </w:tcBorders>
            <w:shd w:val="clear" w:color="auto" w:fill="auto"/>
            <w:vAlign w:val="center"/>
          </w:tcPr>
          <w:p w14:paraId="491E387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2.0839</w:t>
            </w:r>
          </w:p>
        </w:tc>
        <w:tc>
          <w:tcPr>
            <w:tcW w:w="1041" w:type="pct"/>
            <w:tcBorders>
              <w:tl2br w:val="nil"/>
              <w:tr2bl w:val="nil"/>
            </w:tcBorders>
            <w:vAlign w:val="center"/>
          </w:tcPr>
          <w:p w14:paraId="44657E5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1.6543</w:t>
            </w:r>
          </w:p>
        </w:tc>
      </w:tr>
      <w:tr w14:paraId="1EF46C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3446BCE2">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25</w:t>
            </w:r>
          </w:p>
        </w:tc>
        <w:tc>
          <w:tcPr>
            <w:tcW w:w="839" w:type="pct"/>
            <w:vMerge w:val="continue"/>
            <w:tcBorders>
              <w:tl2br w:val="nil"/>
              <w:tr2bl w:val="nil"/>
            </w:tcBorders>
            <w:shd w:val="clear" w:color="auto" w:fill="auto"/>
            <w:vAlign w:val="center"/>
          </w:tcPr>
          <w:p w14:paraId="473BFBB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5A6CFEC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18.2</w:t>
            </w:r>
          </w:p>
        </w:tc>
        <w:tc>
          <w:tcPr>
            <w:tcW w:w="1247" w:type="pct"/>
            <w:tcBorders>
              <w:tl2br w:val="nil"/>
              <w:tr2bl w:val="nil"/>
            </w:tcBorders>
            <w:shd w:val="clear" w:color="auto" w:fill="auto"/>
            <w:vAlign w:val="center"/>
          </w:tcPr>
          <w:p w14:paraId="3E1017C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1.0619</w:t>
            </w:r>
          </w:p>
        </w:tc>
        <w:tc>
          <w:tcPr>
            <w:tcW w:w="1041" w:type="pct"/>
            <w:tcBorders>
              <w:tl2br w:val="nil"/>
              <w:tr2bl w:val="nil"/>
            </w:tcBorders>
            <w:vAlign w:val="center"/>
          </w:tcPr>
          <w:p w14:paraId="225357C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1.1139</w:t>
            </w:r>
          </w:p>
        </w:tc>
      </w:tr>
      <w:tr w14:paraId="015567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601DD13C">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30</w:t>
            </w:r>
          </w:p>
        </w:tc>
        <w:tc>
          <w:tcPr>
            <w:tcW w:w="839" w:type="pct"/>
            <w:vMerge w:val="continue"/>
            <w:tcBorders>
              <w:tl2br w:val="nil"/>
              <w:tr2bl w:val="nil"/>
            </w:tcBorders>
            <w:shd w:val="clear" w:color="auto" w:fill="auto"/>
            <w:vAlign w:val="center"/>
          </w:tcPr>
          <w:p w14:paraId="4C8D6F6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76560C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23.2</w:t>
            </w:r>
          </w:p>
        </w:tc>
        <w:tc>
          <w:tcPr>
            <w:tcW w:w="1247" w:type="pct"/>
            <w:tcBorders>
              <w:tl2br w:val="nil"/>
              <w:tr2bl w:val="nil"/>
            </w:tcBorders>
            <w:shd w:val="clear" w:color="auto" w:fill="auto"/>
            <w:vAlign w:val="center"/>
          </w:tcPr>
          <w:p w14:paraId="119FAA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0.6004</w:t>
            </w:r>
          </w:p>
        </w:tc>
        <w:tc>
          <w:tcPr>
            <w:tcW w:w="1041" w:type="pct"/>
            <w:tcBorders>
              <w:tl2br w:val="nil"/>
              <w:tr2bl w:val="nil"/>
            </w:tcBorders>
            <w:vAlign w:val="center"/>
          </w:tcPr>
          <w:p w14:paraId="5C6784E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0.7411</w:t>
            </w:r>
          </w:p>
        </w:tc>
      </w:tr>
      <w:tr w14:paraId="42D41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10552000">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35</w:t>
            </w:r>
          </w:p>
        </w:tc>
        <w:tc>
          <w:tcPr>
            <w:tcW w:w="839" w:type="pct"/>
            <w:vMerge w:val="continue"/>
            <w:tcBorders>
              <w:tl2br w:val="nil"/>
              <w:tr2bl w:val="nil"/>
            </w:tcBorders>
            <w:shd w:val="clear" w:color="auto" w:fill="auto"/>
            <w:vAlign w:val="center"/>
          </w:tcPr>
          <w:p w14:paraId="22183F7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279D02E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28.2</w:t>
            </w:r>
          </w:p>
        </w:tc>
        <w:tc>
          <w:tcPr>
            <w:tcW w:w="1247" w:type="pct"/>
            <w:tcBorders>
              <w:tl2br w:val="nil"/>
              <w:tr2bl w:val="nil"/>
            </w:tcBorders>
            <w:shd w:val="clear" w:color="auto" w:fill="auto"/>
            <w:vAlign w:val="center"/>
          </w:tcPr>
          <w:p w14:paraId="08FE65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0.3701</w:t>
            </w:r>
          </w:p>
        </w:tc>
        <w:tc>
          <w:tcPr>
            <w:tcW w:w="1041" w:type="pct"/>
            <w:tcBorders>
              <w:tl2br w:val="nil"/>
              <w:tr2bl w:val="nil"/>
            </w:tcBorders>
            <w:vAlign w:val="center"/>
          </w:tcPr>
          <w:p w14:paraId="3022CA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0.5041</w:t>
            </w:r>
          </w:p>
        </w:tc>
      </w:tr>
      <w:tr w14:paraId="093D0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F7414C3">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40</w:t>
            </w:r>
          </w:p>
        </w:tc>
        <w:tc>
          <w:tcPr>
            <w:tcW w:w="839" w:type="pct"/>
            <w:vMerge w:val="continue"/>
            <w:tcBorders>
              <w:tl2br w:val="nil"/>
              <w:tr2bl w:val="nil"/>
            </w:tcBorders>
            <w:shd w:val="clear" w:color="auto" w:fill="auto"/>
            <w:vAlign w:val="center"/>
          </w:tcPr>
          <w:p w14:paraId="48BB8ED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4FAE1CB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33.2</w:t>
            </w:r>
          </w:p>
        </w:tc>
        <w:tc>
          <w:tcPr>
            <w:tcW w:w="1247" w:type="pct"/>
            <w:tcBorders>
              <w:tl2br w:val="nil"/>
              <w:tr2bl w:val="nil"/>
            </w:tcBorders>
            <w:shd w:val="clear" w:color="auto" w:fill="auto"/>
            <w:vAlign w:val="center"/>
          </w:tcPr>
          <w:p w14:paraId="2F1CEF2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0.2439</w:t>
            </w:r>
          </w:p>
        </w:tc>
        <w:tc>
          <w:tcPr>
            <w:tcW w:w="1041" w:type="pct"/>
            <w:tcBorders>
              <w:tl2br w:val="nil"/>
              <w:tr2bl w:val="nil"/>
            </w:tcBorders>
            <w:vAlign w:val="center"/>
          </w:tcPr>
          <w:p w14:paraId="654794C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0.3536</w:t>
            </w:r>
          </w:p>
        </w:tc>
      </w:tr>
      <w:tr w14:paraId="36F7C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7BEAB571">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45</w:t>
            </w:r>
          </w:p>
        </w:tc>
        <w:tc>
          <w:tcPr>
            <w:tcW w:w="839" w:type="pct"/>
            <w:vMerge w:val="continue"/>
            <w:tcBorders>
              <w:tl2br w:val="nil"/>
              <w:tr2bl w:val="nil"/>
            </w:tcBorders>
            <w:shd w:val="clear" w:color="auto" w:fill="auto"/>
            <w:vAlign w:val="center"/>
          </w:tcPr>
          <w:p w14:paraId="414DD6E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17CBF00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38.2</w:t>
            </w:r>
          </w:p>
        </w:tc>
        <w:tc>
          <w:tcPr>
            <w:tcW w:w="1247" w:type="pct"/>
            <w:tcBorders>
              <w:tl2br w:val="nil"/>
              <w:tr2bl w:val="nil"/>
            </w:tcBorders>
            <w:shd w:val="clear" w:color="auto" w:fill="auto"/>
            <w:vAlign w:val="center"/>
          </w:tcPr>
          <w:p w14:paraId="5DB5715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0.1691</w:t>
            </w:r>
          </w:p>
        </w:tc>
        <w:tc>
          <w:tcPr>
            <w:tcW w:w="1041" w:type="pct"/>
            <w:tcBorders>
              <w:tl2br w:val="nil"/>
              <w:tr2bl w:val="nil"/>
            </w:tcBorders>
            <w:vAlign w:val="center"/>
          </w:tcPr>
          <w:p w14:paraId="1A98D2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0.2559</w:t>
            </w:r>
          </w:p>
        </w:tc>
      </w:tr>
      <w:tr w14:paraId="76188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0" w:type="pct"/>
            <w:tcBorders>
              <w:tl2br w:val="nil"/>
              <w:tr2bl w:val="nil"/>
            </w:tcBorders>
            <w:shd w:val="clear" w:color="auto" w:fill="auto"/>
            <w:vAlign w:val="center"/>
          </w:tcPr>
          <w:p w14:paraId="0B8D7E3B">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50</w:t>
            </w:r>
          </w:p>
        </w:tc>
        <w:tc>
          <w:tcPr>
            <w:tcW w:w="839" w:type="pct"/>
            <w:vMerge w:val="continue"/>
            <w:tcBorders>
              <w:tl2br w:val="nil"/>
              <w:tr2bl w:val="nil"/>
            </w:tcBorders>
            <w:shd w:val="clear" w:color="auto" w:fill="auto"/>
            <w:vAlign w:val="center"/>
          </w:tcPr>
          <w:p w14:paraId="4AAC4DE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p>
        </w:tc>
        <w:tc>
          <w:tcPr>
            <w:tcW w:w="1071" w:type="pct"/>
            <w:tcBorders>
              <w:tl2br w:val="nil"/>
              <w:tr2bl w:val="nil"/>
            </w:tcBorders>
            <w:shd w:val="clear" w:color="auto" w:fill="auto"/>
            <w:vAlign w:val="center"/>
          </w:tcPr>
          <w:p w14:paraId="036DE19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cs="Times New Roman"/>
                <w:i w:val="0"/>
                <w:iCs w:val="0"/>
                <w:color w:val="auto"/>
                <w:kern w:val="0"/>
                <w:sz w:val="20"/>
                <w:szCs w:val="20"/>
                <w:u w:val="none"/>
                <w:lang w:val="en-US" w:eastAsia="zh-CN" w:bidi="ar"/>
              </w:rPr>
              <w:t>43.2</w:t>
            </w:r>
          </w:p>
        </w:tc>
        <w:tc>
          <w:tcPr>
            <w:tcW w:w="1247" w:type="pct"/>
            <w:tcBorders>
              <w:tl2br w:val="nil"/>
              <w:tr2bl w:val="nil"/>
            </w:tcBorders>
            <w:shd w:val="clear" w:color="auto" w:fill="auto"/>
            <w:vAlign w:val="center"/>
          </w:tcPr>
          <w:p w14:paraId="7A60E78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0.1222</w:t>
            </w:r>
          </w:p>
        </w:tc>
        <w:tc>
          <w:tcPr>
            <w:tcW w:w="1041" w:type="pct"/>
            <w:tcBorders>
              <w:tl2br w:val="nil"/>
              <w:tr2bl w:val="nil"/>
            </w:tcBorders>
            <w:vAlign w:val="center"/>
          </w:tcPr>
          <w:p w14:paraId="4EFDCD9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i w:val="0"/>
                <w:iCs w:val="0"/>
                <w:color w:val="auto"/>
                <w:kern w:val="0"/>
                <w:sz w:val="20"/>
                <w:szCs w:val="20"/>
                <w:u w:val="none"/>
                <w:lang w:val="en-US" w:eastAsia="zh-CN" w:bidi="ar"/>
              </w:rPr>
              <w:t>0.1903</w:t>
            </w:r>
          </w:p>
        </w:tc>
      </w:tr>
      <w:tr w14:paraId="38CC5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1" w:type="pct"/>
            <w:gridSpan w:val="3"/>
            <w:tcBorders>
              <w:tl2br w:val="nil"/>
              <w:tr2bl w:val="nil"/>
            </w:tcBorders>
            <w:shd w:val="clear" w:color="auto" w:fill="auto"/>
            <w:vAlign w:val="center"/>
          </w:tcPr>
          <w:p w14:paraId="76184F7D">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工频电场强度</w:t>
            </w:r>
            <w:r>
              <w:rPr>
                <w:rFonts w:hint="eastAsia" w:ascii="Times New Roman" w:hAnsi="Times New Roman" w:cs="Times New Roman"/>
                <w:b/>
                <w:bCs/>
                <w:i w:val="0"/>
                <w:iCs w:val="0"/>
                <w:color w:val="auto"/>
                <w:kern w:val="0"/>
                <w:sz w:val="20"/>
                <w:szCs w:val="20"/>
                <w:u w:val="none"/>
                <w:lang w:val="en-US" w:eastAsia="zh-CN" w:bidi="ar"/>
              </w:rPr>
              <w:t>最大值</w:t>
            </w:r>
          </w:p>
        </w:tc>
        <w:tc>
          <w:tcPr>
            <w:tcW w:w="1247" w:type="pct"/>
            <w:tcBorders>
              <w:tl2br w:val="nil"/>
              <w:tr2bl w:val="nil"/>
            </w:tcBorders>
            <w:shd w:val="clear" w:color="auto" w:fill="auto"/>
            <w:vAlign w:val="center"/>
          </w:tcPr>
          <w:p w14:paraId="7CB18CE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6.0746</w:t>
            </w:r>
          </w:p>
        </w:tc>
        <w:tc>
          <w:tcPr>
            <w:tcW w:w="1041" w:type="pct"/>
            <w:tcBorders>
              <w:tl2br w:val="nil"/>
              <w:tr2bl w:val="nil"/>
            </w:tcBorders>
            <w:shd w:val="clear" w:color="auto" w:fill="auto"/>
            <w:vAlign w:val="center"/>
          </w:tcPr>
          <w:p w14:paraId="135FF9C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0"/>
                <w:szCs w:val="20"/>
                <w:u w:val="none"/>
                <w:lang w:val="en-US" w:eastAsia="zh-CN" w:bidi="ar"/>
              </w:rPr>
            </w:pPr>
            <w:r>
              <w:rPr>
                <w:rFonts w:hint="eastAsia" w:ascii="Times New Roman" w:hAnsi="Times New Roman" w:eastAsia="宋体" w:cs="Times New Roman"/>
                <w:b/>
                <w:bCs/>
                <w:i w:val="0"/>
                <w:iCs w:val="0"/>
                <w:color w:val="auto"/>
                <w:kern w:val="0"/>
                <w:sz w:val="20"/>
                <w:szCs w:val="20"/>
                <w:u w:val="none"/>
                <w:lang w:val="en-US" w:eastAsia="zh-CN" w:bidi="ar"/>
              </w:rPr>
              <w:t>2.2301</w:t>
            </w:r>
          </w:p>
        </w:tc>
      </w:tr>
    </w:tbl>
    <w:p w14:paraId="2E90A350">
      <w:pPr>
        <w:adjustRightInd w:val="0"/>
        <w:snapToGrid w:val="0"/>
        <w:rPr>
          <w:color w:val="auto"/>
          <w:highlight w:val="none"/>
        </w:rPr>
      </w:pPr>
    </w:p>
    <w:p w14:paraId="2801E493">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06415" cy="2725420"/>
            <wp:effectExtent l="0" t="0" r="13335" b="17780"/>
            <wp:docPr id="14" name="图片 14" descr="工频电场图 单回水平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工频电场图 单回水平排列 7.5m"/>
                    <pic:cNvPicPr>
                      <a:picLocks noChangeAspect="1"/>
                    </pic:cNvPicPr>
                  </pic:nvPicPr>
                  <pic:blipFill>
                    <a:blip r:embed="rId89"/>
                    <a:stretch>
                      <a:fillRect/>
                    </a:stretch>
                  </pic:blipFill>
                  <pic:spPr>
                    <a:xfrm>
                      <a:off x="0" y="0"/>
                      <a:ext cx="5606415" cy="2725420"/>
                    </a:xfrm>
                    <a:prstGeom prst="rect">
                      <a:avLst/>
                    </a:prstGeom>
                  </pic:spPr>
                </pic:pic>
              </a:graphicData>
            </a:graphic>
          </wp:inline>
        </w:drawing>
      </w:r>
    </w:p>
    <w:p w14:paraId="7E6F493A">
      <w:pPr>
        <w:pStyle w:val="2"/>
        <w:adjustRightInd w:val="0"/>
        <w:snapToGrid w:val="0"/>
        <w:spacing w:after="0"/>
        <w:jc w:val="center"/>
        <w:rPr>
          <w:rFonts w:cs="Times New Roman"/>
          <w:b/>
          <w:color w:val="auto"/>
          <w:sz w:val="24"/>
          <w:highlight w:val="none"/>
        </w:rPr>
      </w:pPr>
      <w:r>
        <w:rPr>
          <w:rFonts w:cs="Times New Roman"/>
          <w:b/>
          <w:color w:val="auto"/>
          <w:sz w:val="24"/>
          <w:highlight w:val="none"/>
        </w:rPr>
        <w:t>图5-</w:t>
      </w:r>
      <w:r>
        <w:rPr>
          <w:rFonts w:hint="eastAsia" w:cs="Times New Roman"/>
          <w:b/>
          <w:color w:val="auto"/>
          <w:sz w:val="24"/>
          <w:highlight w:val="none"/>
          <w:lang w:val="en-US" w:eastAsia="zh-CN"/>
        </w:rPr>
        <w:t>17</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w:t>
      </w:r>
      <w:r>
        <w:rPr>
          <w:rFonts w:hint="eastAsia" w:cs="Times New Roman"/>
          <w:b/>
          <w:color w:val="auto"/>
          <w:sz w:val="24"/>
          <w:highlight w:val="none"/>
          <w:lang w:val="en-US" w:eastAsia="zh-CN"/>
        </w:rPr>
        <w:t>水平排列</w:t>
      </w:r>
      <w:r>
        <w:rPr>
          <w:rFonts w:cs="Times New Roman"/>
          <w:b/>
          <w:color w:val="auto"/>
          <w:sz w:val="24"/>
          <w:highlight w:val="none"/>
        </w:rPr>
        <w:t>路</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cs="Times New Roman"/>
          <w:b/>
          <w:color w:val="auto"/>
          <w:sz w:val="24"/>
          <w:highlight w:val="none"/>
        </w:rPr>
        <w:t>工频电场强度分布图</w:t>
      </w:r>
    </w:p>
    <w:p w14:paraId="7A599A98">
      <w:pPr>
        <w:pStyle w:val="2"/>
        <w:adjustRightInd w:val="0"/>
        <w:snapToGrid w:val="0"/>
        <w:spacing w:after="0"/>
        <w:jc w:val="center"/>
        <w:rPr>
          <w:rFonts w:hint="eastAsia" w:eastAsia="宋体" w:cs="Times New Roman"/>
          <w:b/>
          <w:color w:val="auto"/>
          <w:sz w:val="24"/>
          <w:highlight w:val="none"/>
          <w:lang w:eastAsia="zh-CN"/>
        </w:rPr>
      </w:pPr>
      <w:r>
        <w:rPr>
          <w:rFonts w:hint="eastAsia" w:eastAsia="宋体" w:cs="Times New Roman"/>
          <w:b/>
          <w:color w:val="auto"/>
          <w:sz w:val="24"/>
          <w:highlight w:val="none"/>
          <w:lang w:eastAsia="zh-CN"/>
        </w:rPr>
        <w:drawing>
          <wp:inline distT="0" distB="0" distL="114300" distR="114300">
            <wp:extent cx="5611495" cy="3350260"/>
            <wp:effectExtent l="0" t="0" r="8255" b="2540"/>
            <wp:docPr id="16" name="图片 16" descr="电场等值线图 单回水平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电场等值线图 单回水平排列 7.5m"/>
                    <pic:cNvPicPr>
                      <a:picLocks noChangeAspect="1"/>
                    </pic:cNvPicPr>
                  </pic:nvPicPr>
                  <pic:blipFill>
                    <a:blip r:embed="rId90"/>
                    <a:stretch>
                      <a:fillRect/>
                    </a:stretch>
                  </pic:blipFill>
                  <pic:spPr>
                    <a:xfrm>
                      <a:off x="0" y="0"/>
                      <a:ext cx="5611495" cy="3350260"/>
                    </a:xfrm>
                    <a:prstGeom prst="rect">
                      <a:avLst/>
                    </a:prstGeom>
                  </pic:spPr>
                </pic:pic>
              </a:graphicData>
            </a:graphic>
          </wp:inline>
        </w:drawing>
      </w:r>
    </w:p>
    <w:p w14:paraId="1A668982">
      <w:pPr>
        <w:pStyle w:val="2"/>
        <w:adjustRightInd w:val="0"/>
        <w:snapToGrid w:val="0"/>
        <w:spacing w:after="0"/>
        <w:jc w:val="center"/>
        <w:rPr>
          <w:rFonts w:hint="eastAsia" w:eastAsia="宋体"/>
          <w:bCs/>
          <w:color w:val="auto"/>
          <w:spacing w:val="-6"/>
          <w:sz w:val="24"/>
          <w:highlight w:val="none"/>
          <w:lang w:eastAsia="zh-CN"/>
        </w:rPr>
      </w:pPr>
      <w:r>
        <w:rPr>
          <w:rFonts w:cs="Times New Roman"/>
          <w:b/>
          <w:color w:val="auto"/>
          <w:sz w:val="24"/>
          <w:highlight w:val="none"/>
        </w:rPr>
        <w:t>图5-</w:t>
      </w:r>
      <w:r>
        <w:rPr>
          <w:rFonts w:hint="eastAsia" w:cs="Times New Roman"/>
          <w:b/>
          <w:color w:val="auto"/>
          <w:sz w:val="24"/>
          <w:highlight w:val="none"/>
          <w:lang w:val="en-US" w:eastAsia="zh-CN"/>
        </w:rPr>
        <w:t>18</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cs="Times New Roman"/>
          <w:b/>
          <w:color w:val="auto"/>
          <w:sz w:val="24"/>
          <w:highlight w:val="none"/>
        </w:rPr>
        <w:t>工频电场强度</w:t>
      </w:r>
      <w:r>
        <w:rPr>
          <w:rFonts w:hint="eastAsia"/>
          <w:b/>
          <w:color w:val="auto"/>
          <w:sz w:val="24"/>
          <w:highlight w:val="none"/>
          <w:lang w:val="en-US" w:eastAsia="zh-CN"/>
        </w:rPr>
        <w:t>等值线图</w:t>
      </w:r>
    </w:p>
    <w:p w14:paraId="0F3CF1E5">
      <w:pPr>
        <w:pStyle w:val="2"/>
        <w:adjustRightInd w:val="0"/>
        <w:snapToGrid w:val="0"/>
        <w:spacing w:after="0"/>
        <w:jc w:val="center"/>
        <w:rPr>
          <w:rFonts w:hint="eastAsia" w:eastAsia="宋体" w:cs="Times New Roman"/>
          <w:b/>
          <w:color w:val="auto"/>
          <w:sz w:val="24"/>
          <w:highlight w:val="none"/>
          <w:lang w:eastAsia="zh-CN"/>
        </w:rPr>
      </w:pPr>
      <w:r>
        <w:rPr>
          <w:rFonts w:hint="eastAsia" w:eastAsia="宋体" w:cs="Times New Roman"/>
          <w:b/>
          <w:color w:val="auto"/>
          <w:sz w:val="24"/>
          <w:highlight w:val="none"/>
          <w:lang w:eastAsia="zh-CN"/>
        </w:rPr>
        <w:drawing>
          <wp:inline distT="0" distB="0" distL="114300" distR="114300">
            <wp:extent cx="5606415" cy="2725420"/>
            <wp:effectExtent l="0" t="0" r="13335" b="17780"/>
            <wp:docPr id="36" name="图片 36" descr="工频电场图 单回水平排列 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工频电场图 单回水平排列 13.8m"/>
                    <pic:cNvPicPr>
                      <a:picLocks noChangeAspect="1"/>
                    </pic:cNvPicPr>
                  </pic:nvPicPr>
                  <pic:blipFill>
                    <a:blip r:embed="rId91"/>
                    <a:stretch>
                      <a:fillRect/>
                    </a:stretch>
                  </pic:blipFill>
                  <pic:spPr>
                    <a:xfrm>
                      <a:off x="0" y="0"/>
                      <a:ext cx="5606415" cy="2725420"/>
                    </a:xfrm>
                    <a:prstGeom prst="rect">
                      <a:avLst/>
                    </a:prstGeom>
                  </pic:spPr>
                </pic:pic>
              </a:graphicData>
            </a:graphic>
          </wp:inline>
        </w:drawing>
      </w:r>
    </w:p>
    <w:p w14:paraId="0A47D628">
      <w:pPr>
        <w:pStyle w:val="2"/>
        <w:adjustRightInd w:val="0"/>
        <w:snapToGrid w:val="0"/>
        <w:spacing w:after="0"/>
        <w:jc w:val="center"/>
        <w:rPr>
          <w:rFonts w:cs="Times New Roman"/>
          <w:b/>
          <w:color w:val="auto"/>
          <w:sz w:val="24"/>
          <w:highlight w:val="none"/>
        </w:rPr>
      </w:pPr>
      <w:r>
        <w:rPr>
          <w:rFonts w:cs="Times New Roman"/>
          <w:b/>
          <w:color w:val="auto"/>
          <w:sz w:val="24"/>
          <w:highlight w:val="none"/>
        </w:rPr>
        <w:t>图5-</w:t>
      </w:r>
      <w:r>
        <w:rPr>
          <w:rFonts w:hint="eastAsia" w:cs="Times New Roman"/>
          <w:b/>
          <w:color w:val="auto"/>
          <w:sz w:val="24"/>
          <w:highlight w:val="none"/>
          <w:lang w:val="en-US" w:eastAsia="zh-CN"/>
        </w:rPr>
        <w:t>19</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cs="Times New Roman"/>
          <w:b/>
          <w:color w:val="auto"/>
          <w:sz w:val="24"/>
          <w:highlight w:val="none"/>
        </w:rPr>
        <w:t>工频电场强度分布图</w:t>
      </w:r>
    </w:p>
    <w:p w14:paraId="5E446D62">
      <w:pPr>
        <w:pStyle w:val="2"/>
        <w:adjustRightInd w:val="0"/>
        <w:snapToGrid w:val="0"/>
        <w:spacing w:after="0"/>
        <w:jc w:val="center"/>
        <w:rPr>
          <w:rFonts w:hint="eastAsia"/>
          <w:b/>
          <w:color w:val="auto"/>
          <w:sz w:val="24"/>
          <w:highlight w:val="none"/>
          <w:lang w:val="en-US" w:eastAsia="zh-CN"/>
        </w:rPr>
      </w:pPr>
      <w:r>
        <w:rPr>
          <w:rFonts w:hint="eastAsia"/>
          <w:b/>
          <w:color w:val="auto"/>
          <w:sz w:val="24"/>
          <w:highlight w:val="none"/>
          <w:lang w:val="en-US" w:eastAsia="zh-CN"/>
        </w:rPr>
        <w:drawing>
          <wp:inline distT="0" distB="0" distL="114300" distR="114300">
            <wp:extent cx="5611495" cy="3350260"/>
            <wp:effectExtent l="0" t="0" r="8255" b="2540"/>
            <wp:docPr id="37" name="图片 37" descr="电场等值线图 单回水平排列 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电场等值线图 单回水平排列 13.8m"/>
                    <pic:cNvPicPr>
                      <a:picLocks noChangeAspect="1"/>
                    </pic:cNvPicPr>
                  </pic:nvPicPr>
                  <pic:blipFill>
                    <a:blip r:embed="rId92"/>
                    <a:stretch>
                      <a:fillRect/>
                    </a:stretch>
                  </pic:blipFill>
                  <pic:spPr>
                    <a:xfrm>
                      <a:off x="0" y="0"/>
                      <a:ext cx="5611495" cy="3350260"/>
                    </a:xfrm>
                    <a:prstGeom prst="rect">
                      <a:avLst/>
                    </a:prstGeom>
                  </pic:spPr>
                </pic:pic>
              </a:graphicData>
            </a:graphic>
          </wp:inline>
        </w:drawing>
      </w:r>
    </w:p>
    <w:p w14:paraId="471A54DE">
      <w:pPr>
        <w:pStyle w:val="2"/>
        <w:adjustRightInd w:val="0"/>
        <w:snapToGrid w:val="0"/>
        <w:spacing w:after="0"/>
        <w:jc w:val="center"/>
        <w:rPr>
          <w:rFonts w:hint="eastAsia" w:eastAsia="宋体"/>
          <w:bCs/>
          <w:color w:val="auto"/>
          <w:spacing w:val="-6"/>
          <w:sz w:val="24"/>
          <w:highlight w:val="none"/>
          <w:lang w:eastAsia="zh-CN"/>
        </w:rPr>
      </w:pPr>
      <w:r>
        <w:rPr>
          <w:rFonts w:cs="Times New Roman"/>
          <w:b/>
          <w:color w:val="auto"/>
          <w:sz w:val="24"/>
          <w:highlight w:val="none"/>
        </w:rPr>
        <w:t>图5-</w:t>
      </w:r>
      <w:r>
        <w:rPr>
          <w:rFonts w:hint="eastAsia" w:cs="Times New Roman"/>
          <w:b/>
          <w:color w:val="auto"/>
          <w:sz w:val="24"/>
          <w:highlight w:val="none"/>
          <w:lang w:val="en-US" w:eastAsia="zh-CN"/>
        </w:rPr>
        <w:t>20</w:t>
      </w:r>
      <w:r>
        <w:rPr>
          <w:rFonts w:cs="Times New Roman"/>
          <w:b/>
          <w:color w:val="auto"/>
          <w:sz w:val="24"/>
          <w:highlight w:val="none"/>
        </w:rPr>
        <w:t xml:space="preserve">  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cs="Times New Roman"/>
          <w:b/>
          <w:color w:val="auto"/>
          <w:sz w:val="24"/>
          <w:highlight w:val="none"/>
        </w:rPr>
        <w:t>工频电场强度</w:t>
      </w:r>
      <w:r>
        <w:rPr>
          <w:rFonts w:hint="eastAsia"/>
          <w:b/>
          <w:color w:val="auto"/>
          <w:sz w:val="24"/>
          <w:highlight w:val="none"/>
          <w:lang w:val="en-US" w:eastAsia="zh-CN"/>
        </w:rPr>
        <w:t>等值线图</w:t>
      </w:r>
    </w:p>
    <w:p w14:paraId="4D173434">
      <w:pPr>
        <w:pStyle w:val="2"/>
        <w:adjustRightInd w:val="0"/>
        <w:spacing w:before="156" w:beforeLines="50" w:after="0"/>
        <w:jc w:val="center"/>
        <w:rPr>
          <w:rFonts w:hint="eastAsia" w:ascii="Times New Roman" w:hAnsi="Times New Roman" w:cs="Times New Roman"/>
          <w:b/>
          <w:bCs/>
          <w:color w:val="auto"/>
          <w:spacing w:val="-6"/>
          <w:sz w:val="24"/>
          <w:highlight w:val="none"/>
        </w:rPr>
      </w:pPr>
      <w:r>
        <w:rPr>
          <w:rFonts w:ascii="Times New Roman" w:hAnsi="Times New Roman" w:cs="Times New Roman"/>
          <w:b/>
          <w:bCs/>
          <w:color w:val="auto"/>
          <w:spacing w:val="-6"/>
          <w:sz w:val="24"/>
          <w:highlight w:val="none"/>
        </w:rPr>
        <w:t>表5-</w:t>
      </w:r>
      <w:r>
        <w:rPr>
          <w:rFonts w:hint="eastAsia" w:cs="Times New Roman"/>
          <w:b/>
          <w:bCs/>
          <w:color w:val="auto"/>
          <w:spacing w:val="-6"/>
          <w:sz w:val="24"/>
          <w:highlight w:val="none"/>
          <w:lang w:val="en-US" w:eastAsia="zh-CN"/>
        </w:rPr>
        <w:t>6</w:t>
      </w:r>
      <w:r>
        <w:rPr>
          <w:rFonts w:ascii="Times New Roman" w:hAnsi="Times New Roman" w:cs="Times New Roman"/>
          <w:b/>
          <w:bCs/>
          <w:color w:val="auto"/>
          <w:spacing w:val="-6"/>
          <w:sz w:val="24"/>
          <w:highlight w:val="none"/>
        </w:rPr>
        <w:t xml:space="preserve"> </w:t>
      </w:r>
      <w:r>
        <w:rPr>
          <w:rFonts w:hint="eastAsia" w:ascii="Times New Roman" w:hAnsi="Times New Roman" w:cs="Times New Roman"/>
          <w:b/>
          <w:bCs/>
          <w:color w:val="auto"/>
          <w:spacing w:val="-6"/>
          <w:sz w:val="24"/>
          <w:highlight w:val="none"/>
        </w:rPr>
        <w:t xml:space="preserve"> 220kV</w:t>
      </w:r>
      <w:r>
        <w:rPr>
          <w:rFonts w:ascii="Times New Roman" w:hAnsi="Times New Roman" w:cs="Times New Roman"/>
          <w:b/>
          <w:bCs/>
          <w:color w:val="auto"/>
          <w:spacing w:val="-6"/>
          <w:sz w:val="24"/>
          <w:highlight w:val="none"/>
        </w:rPr>
        <w:t>单回路</w:t>
      </w:r>
      <w:r>
        <w:rPr>
          <w:rFonts w:hint="eastAsia" w:cs="Times New Roman"/>
          <w:b/>
          <w:color w:val="auto"/>
          <w:sz w:val="24"/>
          <w:highlight w:val="none"/>
          <w:lang w:val="en-US" w:eastAsia="zh-CN"/>
        </w:rPr>
        <w:t>水平排列</w:t>
      </w:r>
      <w:r>
        <w:rPr>
          <w:rFonts w:hint="eastAsia" w:ascii="Times New Roman" w:hAnsi="Times New Roman" w:cs="Times New Roman"/>
          <w:b/>
          <w:bCs/>
          <w:color w:val="auto"/>
          <w:spacing w:val="-6"/>
          <w:sz w:val="24"/>
          <w:highlight w:val="none"/>
        </w:rPr>
        <w:t>架设</w:t>
      </w:r>
      <w:r>
        <w:rPr>
          <w:rFonts w:cs="Times New Roman"/>
          <w:b/>
          <w:color w:val="auto"/>
          <w:sz w:val="24"/>
          <w:highlight w:val="none"/>
        </w:rPr>
        <w:t>工频</w:t>
      </w:r>
      <w:r>
        <w:rPr>
          <w:rFonts w:hint="eastAsia" w:cs="Times New Roman"/>
          <w:b/>
          <w:color w:val="auto"/>
          <w:sz w:val="24"/>
          <w:highlight w:val="none"/>
        </w:rPr>
        <w:t>磁感应</w:t>
      </w:r>
      <w:r>
        <w:rPr>
          <w:rFonts w:cs="Times New Roman"/>
          <w:b/>
          <w:color w:val="auto"/>
          <w:sz w:val="24"/>
          <w:highlight w:val="none"/>
          <w:lang w:eastAsia="zh-Hans"/>
        </w:rPr>
        <w:t>强度</w:t>
      </w:r>
      <w:r>
        <w:rPr>
          <w:rFonts w:cs="Times New Roman"/>
          <w:b/>
          <w:color w:val="auto"/>
          <w:sz w:val="24"/>
          <w:highlight w:val="none"/>
        </w:rPr>
        <w:t>预测结果</w:t>
      </w:r>
      <w:r>
        <w:rPr>
          <w:rFonts w:hint="eastAsia" w:cs="Times New Roman"/>
          <w:b/>
          <w:color w:val="auto"/>
          <w:sz w:val="24"/>
          <w:highlight w:val="none"/>
        </w:rPr>
        <w:t xml:space="preserve"> </w:t>
      </w:r>
      <w:r>
        <w:rPr>
          <w:rFonts w:cs="Times New Roman"/>
          <w:b/>
          <w:color w:val="auto"/>
          <w:sz w:val="24"/>
          <w:highlight w:val="none"/>
        </w:rPr>
        <w:t xml:space="preserve"> 单位：μT</w:t>
      </w:r>
    </w:p>
    <w:tbl>
      <w:tblPr>
        <w:tblStyle w:val="27"/>
        <w:tblW w:w="464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00"/>
        <w:gridCol w:w="1375"/>
        <w:gridCol w:w="1383"/>
        <w:gridCol w:w="2813"/>
        <w:gridCol w:w="1250"/>
      </w:tblGrid>
      <w:tr w14:paraId="3F1BD6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vMerge w:val="restart"/>
            <w:tcBorders>
              <w:tl2br w:val="nil"/>
              <w:tr2bl w:val="nil"/>
            </w:tcBorders>
            <w:vAlign w:val="center"/>
          </w:tcPr>
          <w:p w14:paraId="0D27466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距线路中心距离（m）</w:t>
            </w:r>
          </w:p>
        </w:tc>
        <w:tc>
          <w:tcPr>
            <w:tcW w:w="1636" w:type="pct"/>
            <w:gridSpan w:val="2"/>
            <w:vMerge w:val="restart"/>
            <w:tcBorders>
              <w:tl2br w:val="nil"/>
              <w:tr2bl w:val="nil"/>
            </w:tcBorders>
            <w:vAlign w:val="center"/>
          </w:tcPr>
          <w:p w14:paraId="43DE1AF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距边导线距离（m）</w:t>
            </w:r>
          </w:p>
        </w:tc>
        <w:tc>
          <w:tcPr>
            <w:tcW w:w="2412" w:type="pct"/>
            <w:gridSpan w:val="2"/>
            <w:tcBorders>
              <w:tl2br w:val="nil"/>
              <w:tr2bl w:val="nil"/>
            </w:tcBorders>
            <w:vAlign w:val="center"/>
          </w:tcPr>
          <w:p w14:paraId="0131D9F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导线高度（m），离地1.5m处</w:t>
            </w:r>
          </w:p>
        </w:tc>
      </w:tr>
      <w:tr w14:paraId="32CA9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vMerge w:val="continue"/>
            <w:tcBorders>
              <w:tl2br w:val="nil"/>
              <w:tr2bl w:val="nil"/>
            </w:tcBorders>
            <w:vAlign w:val="center"/>
          </w:tcPr>
          <w:p w14:paraId="5992189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p>
        </w:tc>
        <w:tc>
          <w:tcPr>
            <w:tcW w:w="1636" w:type="pct"/>
            <w:gridSpan w:val="2"/>
            <w:vMerge w:val="continue"/>
            <w:tcBorders>
              <w:tl2br w:val="nil"/>
              <w:tr2bl w:val="nil"/>
            </w:tcBorders>
            <w:vAlign w:val="center"/>
          </w:tcPr>
          <w:p w14:paraId="09F62CB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p>
        </w:tc>
        <w:tc>
          <w:tcPr>
            <w:tcW w:w="1670" w:type="pct"/>
            <w:tcBorders>
              <w:tl2br w:val="nil"/>
              <w:tr2bl w:val="nil"/>
            </w:tcBorders>
            <w:vAlign w:val="center"/>
          </w:tcPr>
          <w:p w14:paraId="56B158C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7.5m</w:t>
            </w:r>
          </w:p>
        </w:tc>
        <w:tc>
          <w:tcPr>
            <w:tcW w:w="742" w:type="pct"/>
            <w:tcBorders>
              <w:tl2br w:val="nil"/>
              <w:tr2bl w:val="nil"/>
            </w:tcBorders>
            <w:vAlign w:val="center"/>
          </w:tcPr>
          <w:p w14:paraId="38D11B2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13.</w:t>
            </w:r>
            <w:r>
              <w:rPr>
                <w:rFonts w:hint="eastAsia" w:ascii="Times New Roman" w:hAnsi="Times New Roman" w:cs="Times New Roman"/>
                <w:b/>
                <w:bCs/>
                <w:color w:val="auto"/>
                <w:sz w:val="21"/>
                <w:szCs w:val="21"/>
                <w:highlight w:val="none"/>
                <w:lang w:val="en-US" w:eastAsia="zh-CN"/>
              </w:rPr>
              <w:t>8</w:t>
            </w:r>
            <w:r>
              <w:rPr>
                <w:rFonts w:hint="default" w:ascii="Times New Roman" w:hAnsi="Times New Roman" w:cs="Times New Roman"/>
                <w:b/>
                <w:bCs/>
                <w:color w:val="auto"/>
                <w:sz w:val="21"/>
                <w:szCs w:val="21"/>
                <w:highlight w:val="none"/>
              </w:rPr>
              <w:t>m</w:t>
            </w:r>
          </w:p>
        </w:tc>
      </w:tr>
      <w:tr w14:paraId="582850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572A0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16" w:type="pct"/>
            <w:vMerge w:val="restart"/>
            <w:tcBorders>
              <w:tl2br w:val="nil"/>
              <w:tr2bl w:val="nil"/>
            </w:tcBorders>
            <w:shd w:val="clear" w:color="auto" w:fill="auto"/>
            <w:vAlign w:val="center"/>
          </w:tcPr>
          <w:p w14:paraId="07EED1F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边导线外</w:t>
            </w:r>
          </w:p>
        </w:tc>
        <w:tc>
          <w:tcPr>
            <w:tcW w:w="820" w:type="pct"/>
            <w:tcBorders>
              <w:tl2br w:val="nil"/>
              <w:tr2bl w:val="nil"/>
            </w:tcBorders>
            <w:shd w:val="clear" w:color="auto" w:fill="auto"/>
            <w:vAlign w:val="center"/>
          </w:tcPr>
          <w:p w14:paraId="46F425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-41.7</w:t>
            </w:r>
          </w:p>
        </w:tc>
        <w:tc>
          <w:tcPr>
            <w:tcW w:w="1670" w:type="pct"/>
            <w:tcBorders>
              <w:tl2br w:val="nil"/>
              <w:tr2bl w:val="nil"/>
            </w:tcBorders>
            <w:shd w:val="clear" w:color="auto" w:fill="auto"/>
            <w:vAlign w:val="center"/>
          </w:tcPr>
          <w:p w14:paraId="193453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1.9316</w:t>
            </w:r>
          </w:p>
        </w:tc>
        <w:tc>
          <w:tcPr>
            <w:tcW w:w="742" w:type="pct"/>
            <w:tcBorders>
              <w:tl2br w:val="nil"/>
              <w:tr2bl w:val="nil"/>
            </w:tcBorders>
            <w:shd w:val="clear" w:color="auto" w:fill="auto"/>
            <w:vAlign w:val="center"/>
          </w:tcPr>
          <w:p w14:paraId="6F638E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1.837</w:t>
            </w:r>
          </w:p>
        </w:tc>
      </w:tr>
      <w:tr w14:paraId="4A6E2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4830BC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w:t>
            </w:r>
          </w:p>
        </w:tc>
        <w:tc>
          <w:tcPr>
            <w:tcW w:w="816" w:type="pct"/>
            <w:vMerge w:val="continue"/>
            <w:tcBorders>
              <w:tl2br w:val="nil"/>
              <w:tr2bl w:val="nil"/>
            </w:tcBorders>
            <w:shd w:val="clear" w:color="auto" w:fill="auto"/>
            <w:vAlign w:val="center"/>
          </w:tcPr>
          <w:p w14:paraId="19EDBB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1F1B45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-36.7</w:t>
            </w:r>
          </w:p>
        </w:tc>
        <w:tc>
          <w:tcPr>
            <w:tcW w:w="1670" w:type="pct"/>
            <w:tcBorders>
              <w:tl2br w:val="nil"/>
              <w:tr2bl w:val="nil"/>
            </w:tcBorders>
            <w:shd w:val="clear" w:color="auto" w:fill="auto"/>
            <w:vAlign w:val="center"/>
          </w:tcPr>
          <w:p w14:paraId="69BFA84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2.4025</w:t>
            </w:r>
          </w:p>
        </w:tc>
        <w:tc>
          <w:tcPr>
            <w:tcW w:w="742" w:type="pct"/>
            <w:tcBorders>
              <w:tl2br w:val="nil"/>
              <w:tr2bl w:val="nil"/>
            </w:tcBorders>
            <w:shd w:val="clear" w:color="auto" w:fill="auto"/>
            <w:vAlign w:val="center"/>
          </w:tcPr>
          <w:p w14:paraId="1D8D881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2.2558</w:t>
            </w:r>
          </w:p>
        </w:tc>
      </w:tr>
      <w:tr w14:paraId="6FBFD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5688D1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-40</w:t>
            </w:r>
          </w:p>
        </w:tc>
        <w:tc>
          <w:tcPr>
            <w:tcW w:w="816" w:type="pct"/>
            <w:vMerge w:val="continue"/>
            <w:tcBorders>
              <w:tl2br w:val="nil"/>
              <w:tr2bl w:val="nil"/>
            </w:tcBorders>
            <w:shd w:val="clear" w:color="auto" w:fill="auto"/>
            <w:vAlign w:val="center"/>
          </w:tcPr>
          <w:p w14:paraId="41CE56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A4853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-31.7</w:t>
            </w:r>
          </w:p>
        </w:tc>
        <w:tc>
          <w:tcPr>
            <w:tcW w:w="1670" w:type="pct"/>
            <w:tcBorders>
              <w:tl2br w:val="nil"/>
              <w:tr2bl w:val="nil"/>
            </w:tcBorders>
            <w:shd w:val="clear" w:color="auto" w:fill="auto"/>
            <w:vAlign w:val="center"/>
          </w:tcPr>
          <w:p w14:paraId="14DCA5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3.072</w:t>
            </w:r>
          </w:p>
        </w:tc>
        <w:tc>
          <w:tcPr>
            <w:tcW w:w="742" w:type="pct"/>
            <w:tcBorders>
              <w:tl2br w:val="nil"/>
              <w:tr2bl w:val="nil"/>
            </w:tcBorders>
            <w:shd w:val="clear" w:color="auto" w:fill="auto"/>
            <w:vAlign w:val="center"/>
          </w:tcPr>
          <w:p w14:paraId="5F2A24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2.8314</w:t>
            </w:r>
          </w:p>
        </w:tc>
      </w:tr>
      <w:tr w14:paraId="0690C7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11A08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816" w:type="pct"/>
            <w:vMerge w:val="continue"/>
            <w:tcBorders>
              <w:tl2br w:val="nil"/>
              <w:tr2bl w:val="nil"/>
            </w:tcBorders>
            <w:shd w:val="clear" w:color="auto" w:fill="auto"/>
            <w:vAlign w:val="center"/>
          </w:tcPr>
          <w:p w14:paraId="261DAA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50C772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-26.7</w:t>
            </w:r>
          </w:p>
        </w:tc>
        <w:tc>
          <w:tcPr>
            <w:tcW w:w="1670" w:type="pct"/>
            <w:tcBorders>
              <w:tl2br w:val="nil"/>
              <w:tr2bl w:val="nil"/>
            </w:tcBorders>
            <w:shd w:val="clear" w:color="auto" w:fill="auto"/>
            <w:vAlign w:val="center"/>
          </w:tcPr>
          <w:p w14:paraId="31B7D5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4.0708</w:t>
            </w:r>
          </w:p>
        </w:tc>
        <w:tc>
          <w:tcPr>
            <w:tcW w:w="742" w:type="pct"/>
            <w:tcBorders>
              <w:tl2br w:val="nil"/>
              <w:tr2bl w:val="nil"/>
            </w:tcBorders>
            <w:shd w:val="clear" w:color="auto" w:fill="auto"/>
            <w:vAlign w:val="center"/>
          </w:tcPr>
          <w:p w14:paraId="499060B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3.6479</w:t>
            </w:r>
          </w:p>
        </w:tc>
      </w:tr>
      <w:tr w14:paraId="6E3E99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CA25BF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w:t>
            </w:r>
          </w:p>
        </w:tc>
        <w:tc>
          <w:tcPr>
            <w:tcW w:w="816" w:type="pct"/>
            <w:vMerge w:val="continue"/>
            <w:tcBorders>
              <w:tl2br w:val="nil"/>
              <w:tr2bl w:val="nil"/>
            </w:tcBorders>
            <w:shd w:val="clear" w:color="auto" w:fill="auto"/>
            <w:vAlign w:val="center"/>
          </w:tcPr>
          <w:p w14:paraId="5D89CC4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3D9E8C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-21.7</w:t>
            </w:r>
          </w:p>
        </w:tc>
        <w:tc>
          <w:tcPr>
            <w:tcW w:w="1670" w:type="pct"/>
            <w:tcBorders>
              <w:tl2br w:val="nil"/>
              <w:tr2bl w:val="nil"/>
            </w:tcBorders>
            <w:shd w:val="clear" w:color="auto" w:fill="auto"/>
            <w:vAlign w:val="center"/>
          </w:tcPr>
          <w:p w14:paraId="78A976E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5.6587</w:t>
            </w:r>
          </w:p>
        </w:tc>
        <w:tc>
          <w:tcPr>
            <w:tcW w:w="742" w:type="pct"/>
            <w:tcBorders>
              <w:tl2br w:val="nil"/>
              <w:tr2bl w:val="nil"/>
            </w:tcBorders>
            <w:shd w:val="clear" w:color="auto" w:fill="auto"/>
            <w:vAlign w:val="center"/>
          </w:tcPr>
          <w:p w14:paraId="0B004EF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4.8458</w:t>
            </w:r>
          </w:p>
        </w:tc>
      </w:tr>
      <w:tr w14:paraId="34F27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2FFFD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16" w:type="pct"/>
            <w:vMerge w:val="continue"/>
            <w:tcBorders>
              <w:tl2br w:val="nil"/>
              <w:tr2bl w:val="nil"/>
            </w:tcBorders>
            <w:shd w:val="clear" w:color="auto" w:fill="auto"/>
            <w:vAlign w:val="center"/>
          </w:tcPr>
          <w:p w14:paraId="37DBC06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2DB2F7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-16.7</w:t>
            </w:r>
          </w:p>
        </w:tc>
        <w:tc>
          <w:tcPr>
            <w:tcW w:w="1670" w:type="pct"/>
            <w:tcBorders>
              <w:tl2br w:val="nil"/>
              <w:tr2bl w:val="nil"/>
            </w:tcBorders>
            <w:shd w:val="clear" w:color="auto" w:fill="auto"/>
            <w:vAlign w:val="center"/>
          </w:tcPr>
          <w:p w14:paraId="375FC0E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8.4076</w:t>
            </w:r>
          </w:p>
        </w:tc>
        <w:tc>
          <w:tcPr>
            <w:tcW w:w="742" w:type="pct"/>
            <w:tcBorders>
              <w:tl2br w:val="nil"/>
              <w:tr2bl w:val="nil"/>
            </w:tcBorders>
            <w:shd w:val="clear" w:color="auto" w:fill="auto"/>
            <w:vAlign w:val="center"/>
          </w:tcPr>
          <w:p w14:paraId="6A4896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6.6552</w:t>
            </w:r>
          </w:p>
        </w:tc>
      </w:tr>
      <w:tr w14:paraId="1AEFE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5CE5DB9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16" w:type="pct"/>
            <w:vMerge w:val="continue"/>
            <w:tcBorders>
              <w:tl2br w:val="nil"/>
              <w:tr2bl w:val="nil"/>
            </w:tcBorders>
            <w:shd w:val="clear" w:color="auto" w:fill="auto"/>
            <w:vAlign w:val="center"/>
          </w:tcPr>
          <w:p w14:paraId="14DFFE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6361C06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-11.7</w:t>
            </w:r>
          </w:p>
        </w:tc>
        <w:tc>
          <w:tcPr>
            <w:tcW w:w="1670" w:type="pct"/>
            <w:tcBorders>
              <w:tl2br w:val="nil"/>
              <w:tr2bl w:val="nil"/>
            </w:tcBorders>
            <w:shd w:val="clear" w:color="auto" w:fill="auto"/>
            <w:vAlign w:val="center"/>
          </w:tcPr>
          <w:p w14:paraId="12459E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13.7271</w:t>
            </w:r>
          </w:p>
        </w:tc>
        <w:tc>
          <w:tcPr>
            <w:tcW w:w="742" w:type="pct"/>
            <w:tcBorders>
              <w:tl2br w:val="nil"/>
              <w:tr2bl w:val="nil"/>
            </w:tcBorders>
            <w:shd w:val="clear" w:color="auto" w:fill="auto"/>
            <w:vAlign w:val="center"/>
          </w:tcPr>
          <w:p w14:paraId="3843447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9.3927</w:t>
            </w:r>
          </w:p>
        </w:tc>
      </w:tr>
      <w:tr w14:paraId="0B50A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0" w:type="pct"/>
            <w:tcBorders>
              <w:tl2br w:val="nil"/>
              <w:tr2bl w:val="nil"/>
            </w:tcBorders>
            <w:shd w:val="clear" w:color="auto" w:fill="auto"/>
            <w:vAlign w:val="center"/>
          </w:tcPr>
          <w:p w14:paraId="477D77C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816" w:type="pct"/>
            <w:vMerge w:val="continue"/>
            <w:tcBorders>
              <w:tl2br w:val="nil"/>
              <w:tr2bl w:val="nil"/>
            </w:tcBorders>
            <w:shd w:val="clear" w:color="auto" w:fill="auto"/>
            <w:vAlign w:val="center"/>
          </w:tcPr>
          <w:p w14:paraId="4700E58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3C76D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-6.7</w:t>
            </w:r>
          </w:p>
        </w:tc>
        <w:tc>
          <w:tcPr>
            <w:tcW w:w="1670" w:type="pct"/>
            <w:tcBorders>
              <w:tl2br w:val="nil"/>
              <w:tr2bl w:val="nil"/>
            </w:tcBorders>
            <w:shd w:val="clear" w:color="auto" w:fill="auto"/>
            <w:vAlign w:val="center"/>
          </w:tcPr>
          <w:p w14:paraId="603BB84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24.998</w:t>
            </w:r>
          </w:p>
        </w:tc>
        <w:tc>
          <w:tcPr>
            <w:tcW w:w="742" w:type="pct"/>
            <w:tcBorders>
              <w:tl2br w:val="nil"/>
              <w:tr2bl w:val="nil"/>
            </w:tcBorders>
            <w:shd w:val="clear" w:color="auto" w:fill="auto"/>
            <w:vAlign w:val="center"/>
          </w:tcPr>
          <w:p w14:paraId="0EF85D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13.1851</w:t>
            </w:r>
          </w:p>
        </w:tc>
      </w:tr>
      <w:tr w14:paraId="7FA410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01C027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16" w:type="pct"/>
            <w:vMerge w:val="continue"/>
            <w:tcBorders>
              <w:tl2br w:val="nil"/>
              <w:tr2bl w:val="nil"/>
            </w:tcBorders>
            <w:shd w:val="clear" w:color="auto" w:fill="auto"/>
            <w:vAlign w:val="center"/>
          </w:tcPr>
          <w:p w14:paraId="2A46D26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1A9D42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-31.7</w:t>
            </w:r>
          </w:p>
        </w:tc>
        <w:tc>
          <w:tcPr>
            <w:tcW w:w="1670" w:type="pct"/>
            <w:tcBorders>
              <w:tl2br w:val="nil"/>
              <w:tr2bl w:val="nil"/>
            </w:tcBorders>
            <w:shd w:val="clear" w:color="auto" w:fill="auto"/>
            <w:vAlign w:val="center"/>
          </w:tcPr>
          <w:p w14:paraId="714D35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41.3445</w:t>
            </w:r>
          </w:p>
        </w:tc>
        <w:tc>
          <w:tcPr>
            <w:tcW w:w="742" w:type="pct"/>
            <w:tcBorders>
              <w:tl2br w:val="nil"/>
              <w:tr2bl w:val="nil"/>
            </w:tcBorders>
            <w:shd w:val="clear" w:color="auto" w:fill="auto"/>
            <w:vAlign w:val="center"/>
          </w:tcPr>
          <w:p w14:paraId="69AE8F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17.1203</w:t>
            </w:r>
          </w:p>
        </w:tc>
      </w:tr>
      <w:tr w14:paraId="59C70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5FD784A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w:t>
            </w:r>
          </w:p>
        </w:tc>
        <w:tc>
          <w:tcPr>
            <w:tcW w:w="816" w:type="pct"/>
            <w:vMerge w:val="continue"/>
            <w:tcBorders>
              <w:tl2br w:val="nil"/>
              <w:tr2bl w:val="nil"/>
            </w:tcBorders>
            <w:shd w:val="clear" w:color="auto" w:fill="auto"/>
            <w:vAlign w:val="center"/>
          </w:tcPr>
          <w:p w14:paraId="1FB6AFE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101625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-26.7</w:t>
            </w:r>
          </w:p>
        </w:tc>
        <w:tc>
          <w:tcPr>
            <w:tcW w:w="1670" w:type="pct"/>
            <w:tcBorders>
              <w:tl2br w:val="nil"/>
              <w:tr2bl w:val="nil"/>
            </w:tcBorders>
            <w:shd w:val="clear" w:color="auto" w:fill="auto"/>
            <w:vAlign w:val="center"/>
          </w:tcPr>
          <w:p w14:paraId="22E0370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43.1717</w:t>
            </w:r>
          </w:p>
        </w:tc>
        <w:tc>
          <w:tcPr>
            <w:tcW w:w="742" w:type="pct"/>
            <w:tcBorders>
              <w:tl2br w:val="nil"/>
              <w:tr2bl w:val="nil"/>
            </w:tcBorders>
            <w:shd w:val="clear" w:color="auto" w:fill="auto"/>
            <w:vAlign w:val="center"/>
          </w:tcPr>
          <w:p w14:paraId="3E4DAC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17.7613</w:t>
            </w:r>
          </w:p>
        </w:tc>
      </w:tr>
      <w:tr w14:paraId="15D6D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3FDA619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816" w:type="pct"/>
            <w:vMerge w:val="restart"/>
            <w:tcBorders>
              <w:tl2br w:val="nil"/>
              <w:tr2bl w:val="nil"/>
            </w:tcBorders>
            <w:shd w:val="clear" w:color="auto" w:fill="auto"/>
            <w:vAlign w:val="center"/>
          </w:tcPr>
          <w:p w14:paraId="69658F7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820" w:type="pct"/>
            <w:tcBorders>
              <w:tl2br w:val="nil"/>
              <w:tr2bl w:val="nil"/>
            </w:tcBorders>
            <w:shd w:val="clear" w:color="auto" w:fill="auto"/>
            <w:vAlign w:val="center"/>
          </w:tcPr>
          <w:p w14:paraId="6566331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2FE7E6D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44.2106</w:t>
            </w:r>
          </w:p>
        </w:tc>
        <w:tc>
          <w:tcPr>
            <w:tcW w:w="742" w:type="pct"/>
            <w:tcBorders>
              <w:tl2br w:val="nil"/>
              <w:tr2bl w:val="nil"/>
            </w:tcBorders>
            <w:shd w:val="clear" w:color="auto" w:fill="auto"/>
            <w:vAlign w:val="center"/>
          </w:tcPr>
          <w:p w14:paraId="207592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18.3265</w:t>
            </w:r>
          </w:p>
        </w:tc>
      </w:tr>
      <w:tr w14:paraId="43A7C7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69F7B65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816" w:type="pct"/>
            <w:vMerge w:val="continue"/>
            <w:tcBorders>
              <w:tl2br w:val="nil"/>
              <w:tr2bl w:val="nil"/>
            </w:tcBorders>
            <w:shd w:val="clear" w:color="auto" w:fill="auto"/>
            <w:vAlign w:val="center"/>
          </w:tcPr>
          <w:p w14:paraId="35C570F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43102A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08BC8F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44.6814</w:t>
            </w:r>
          </w:p>
        </w:tc>
        <w:tc>
          <w:tcPr>
            <w:tcW w:w="742" w:type="pct"/>
            <w:tcBorders>
              <w:tl2br w:val="nil"/>
              <w:tr2bl w:val="nil"/>
            </w:tcBorders>
            <w:shd w:val="clear" w:color="auto" w:fill="auto"/>
            <w:vAlign w:val="center"/>
          </w:tcPr>
          <w:p w14:paraId="47B8CAC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18.8127</w:t>
            </w:r>
          </w:p>
        </w:tc>
      </w:tr>
      <w:tr w14:paraId="0CD1C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76D5D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816" w:type="pct"/>
            <w:vMerge w:val="continue"/>
            <w:tcBorders>
              <w:tl2br w:val="nil"/>
              <w:tr2bl w:val="nil"/>
            </w:tcBorders>
            <w:shd w:val="clear" w:color="auto" w:fill="auto"/>
            <w:vAlign w:val="center"/>
          </w:tcPr>
          <w:p w14:paraId="3181243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6671A50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52F570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44.8693</w:t>
            </w:r>
          </w:p>
        </w:tc>
        <w:tc>
          <w:tcPr>
            <w:tcW w:w="742" w:type="pct"/>
            <w:tcBorders>
              <w:tl2br w:val="nil"/>
              <w:tr2bl w:val="nil"/>
            </w:tcBorders>
            <w:shd w:val="clear" w:color="auto" w:fill="auto"/>
            <w:vAlign w:val="center"/>
          </w:tcPr>
          <w:p w14:paraId="5D8A89C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19.2204</w:t>
            </w:r>
          </w:p>
        </w:tc>
      </w:tr>
      <w:tr w14:paraId="2FAEA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41F7E30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816" w:type="pct"/>
            <w:vMerge w:val="continue"/>
            <w:tcBorders>
              <w:tl2br w:val="nil"/>
              <w:tr2bl w:val="nil"/>
            </w:tcBorders>
            <w:shd w:val="clear" w:color="auto" w:fill="auto"/>
            <w:vAlign w:val="center"/>
          </w:tcPr>
          <w:p w14:paraId="6B1DBC4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37390D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7BBECD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45.0169</w:t>
            </w:r>
          </w:p>
        </w:tc>
        <w:tc>
          <w:tcPr>
            <w:tcW w:w="742" w:type="pct"/>
            <w:tcBorders>
              <w:tl2br w:val="nil"/>
              <w:tr2bl w:val="nil"/>
            </w:tcBorders>
            <w:shd w:val="clear" w:color="auto" w:fill="auto"/>
            <w:vAlign w:val="center"/>
          </w:tcPr>
          <w:p w14:paraId="0FF6052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19.5535</w:t>
            </w:r>
          </w:p>
        </w:tc>
      </w:tr>
      <w:tr w14:paraId="28620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3082398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816" w:type="pct"/>
            <w:vMerge w:val="continue"/>
            <w:tcBorders>
              <w:tl2br w:val="nil"/>
              <w:tr2bl w:val="nil"/>
            </w:tcBorders>
            <w:shd w:val="clear" w:color="auto" w:fill="auto"/>
            <w:vAlign w:val="center"/>
          </w:tcPr>
          <w:p w14:paraId="4C9A1E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369780B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1E4AD62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45.2712</w:t>
            </w:r>
          </w:p>
        </w:tc>
        <w:tc>
          <w:tcPr>
            <w:tcW w:w="742" w:type="pct"/>
            <w:tcBorders>
              <w:tl2br w:val="nil"/>
              <w:tr2bl w:val="nil"/>
            </w:tcBorders>
            <w:shd w:val="clear" w:color="auto" w:fill="auto"/>
            <w:vAlign w:val="center"/>
          </w:tcPr>
          <w:p w14:paraId="50902AE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19.8168</w:t>
            </w:r>
          </w:p>
        </w:tc>
      </w:tr>
      <w:tr w14:paraId="2D6869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57E8623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816" w:type="pct"/>
            <w:vMerge w:val="continue"/>
            <w:tcBorders>
              <w:tl2br w:val="nil"/>
              <w:tr2bl w:val="nil"/>
            </w:tcBorders>
            <w:shd w:val="clear" w:color="auto" w:fill="auto"/>
            <w:vAlign w:val="center"/>
          </w:tcPr>
          <w:p w14:paraId="2C9E971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1F0A258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070062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45.667</w:t>
            </w:r>
          </w:p>
        </w:tc>
        <w:tc>
          <w:tcPr>
            <w:tcW w:w="742" w:type="pct"/>
            <w:tcBorders>
              <w:tl2br w:val="nil"/>
              <w:tr2bl w:val="nil"/>
            </w:tcBorders>
            <w:shd w:val="clear" w:color="auto" w:fill="auto"/>
            <w:vAlign w:val="center"/>
          </w:tcPr>
          <w:p w14:paraId="325FBD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20.0156</w:t>
            </w:r>
          </w:p>
        </w:tc>
      </w:tr>
      <w:tr w14:paraId="014EC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52809A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816" w:type="pct"/>
            <w:vMerge w:val="continue"/>
            <w:tcBorders>
              <w:tl2br w:val="nil"/>
              <w:tr2bl w:val="nil"/>
            </w:tcBorders>
            <w:shd w:val="clear" w:color="auto" w:fill="auto"/>
            <w:vAlign w:val="center"/>
          </w:tcPr>
          <w:p w14:paraId="7C6A7D8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9E8F2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6742F24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46.132</w:t>
            </w:r>
          </w:p>
        </w:tc>
        <w:tc>
          <w:tcPr>
            <w:tcW w:w="742" w:type="pct"/>
            <w:tcBorders>
              <w:tl2br w:val="nil"/>
              <w:tr2bl w:val="nil"/>
            </w:tcBorders>
            <w:shd w:val="clear" w:color="auto" w:fill="auto"/>
            <w:vAlign w:val="center"/>
          </w:tcPr>
          <w:p w14:paraId="14D3DF2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20.1544</w:t>
            </w:r>
          </w:p>
        </w:tc>
      </w:tr>
      <w:tr w14:paraId="658E6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256FE97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816" w:type="pct"/>
            <w:vMerge w:val="continue"/>
            <w:tcBorders>
              <w:tl2br w:val="nil"/>
              <w:tr2bl w:val="nil"/>
            </w:tcBorders>
            <w:shd w:val="clear" w:color="auto" w:fill="auto"/>
            <w:vAlign w:val="center"/>
          </w:tcPr>
          <w:p w14:paraId="4BABB81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1CE4F78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4014DF3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46.5169</w:t>
            </w:r>
          </w:p>
        </w:tc>
        <w:tc>
          <w:tcPr>
            <w:tcW w:w="742" w:type="pct"/>
            <w:tcBorders>
              <w:tl2br w:val="nil"/>
              <w:tr2bl w:val="nil"/>
            </w:tcBorders>
            <w:shd w:val="clear" w:color="auto" w:fill="auto"/>
            <w:vAlign w:val="center"/>
          </w:tcPr>
          <w:p w14:paraId="28CFC6C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20.2364</w:t>
            </w:r>
          </w:p>
        </w:tc>
      </w:tr>
      <w:tr w14:paraId="78256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677B3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w:t>
            </w:r>
          </w:p>
        </w:tc>
        <w:tc>
          <w:tcPr>
            <w:tcW w:w="816" w:type="pct"/>
            <w:vMerge w:val="continue"/>
            <w:tcBorders>
              <w:tl2br w:val="nil"/>
              <w:tr2bl w:val="nil"/>
            </w:tcBorders>
            <w:shd w:val="clear" w:color="auto" w:fill="auto"/>
            <w:vAlign w:val="center"/>
          </w:tcPr>
          <w:p w14:paraId="6C9F6DB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5A4A61A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4571BB1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46.6673</w:t>
            </w:r>
          </w:p>
        </w:tc>
        <w:tc>
          <w:tcPr>
            <w:tcW w:w="742" w:type="pct"/>
            <w:tcBorders>
              <w:tl2br w:val="nil"/>
              <w:tr2bl w:val="nil"/>
            </w:tcBorders>
            <w:shd w:val="clear" w:color="auto" w:fill="auto"/>
            <w:vAlign w:val="center"/>
          </w:tcPr>
          <w:p w14:paraId="1B920BD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20.2636</w:t>
            </w:r>
          </w:p>
        </w:tc>
      </w:tr>
      <w:tr w14:paraId="6C8CE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5C39A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816" w:type="pct"/>
            <w:vMerge w:val="continue"/>
            <w:tcBorders>
              <w:tl2br w:val="nil"/>
              <w:tr2bl w:val="nil"/>
            </w:tcBorders>
            <w:shd w:val="clear" w:color="auto" w:fill="auto"/>
            <w:vAlign w:val="center"/>
          </w:tcPr>
          <w:p w14:paraId="3C9CEE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0ECCA01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0C6A66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46.5169</w:t>
            </w:r>
          </w:p>
        </w:tc>
        <w:tc>
          <w:tcPr>
            <w:tcW w:w="742" w:type="pct"/>
            <w:tcBorders>
              <w:tl2br w:val="nil"/>
              <w:tr2bl w:val="nil"/>
            </w:tcBorders>
            <w:shd w:val="clear" w:color="auto" w:fill="auto"/>
            <w:vAlign w:val="center"/>
          </w:tcPr>
          <w:p w14:paraId="08F37C3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20.2364</w:t>
            </w:r>
          </w:p>
        </w:tc>
      </w:tr>
      <w:tr w14:paraId="2508E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26A4F48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816" w:type="pct"/>
            <w:vMerge w:val="continue"/>
            <w:tcBorders>
              <w:tl2br w:val="nil"/>
              <w:tr2bl w:val="nil"/>
            </w:tcBorders>
            <w:shd w:val="clear" w:color="auto" w:fill="auto"/>
            <w:vAlign w:val="center"/>
          </w:tcPr>
          <w:p w14:paraId="669D311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36565B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3D03BCC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46.132</w:t>
            </w:r>
          </w:p>
        </w:tc>
        <w:tc>
          <w:tcPr>
            <w:tcW w:w="742" w:type="pct"/>
            <w:tcBorders>
              <w:tl2br w:val="nil"/>
              <w:tr2bl w:val="nil"/>
            </w:tcBorders>
            <w:shd w:val="clear" w:color="auto" w:fill="auto"/>
            <w:vAlign w:val="center"/>
          </w:tcPr>
          <w:p w14:paraId="0CCF84D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20.1544</w:t>
            </w:r>
          </w:p>
        </w:tc>
      </w:tr>
      <w:tr w14:paraId="629D2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1531F6B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816" w:type="pct"/>
            <w:vMerge w:val="continue"/>
            <w:tcBorders>
              <w:tl2br w:val="nil"/>
              <w:tr2bl w:val="nil"/>
            </w:tcBorders>
            <w:shd w:val="clear" w:color="auto" w:fill="auto"/>
            <w:vAlign w:val="center"/>
          </w:tcPr>
          <w:p w14:paraId="3AF2AF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B50A4D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01C0A2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45.667</w:t>
            </w:r>
          </w:p>
        </w:tc>
        <w:tc>
          <w:tcPr>
            <w:tcW w:w="742" w:type="pct"/>
            <w:tcBorders>
              <w:tl2br w:val="nil"/>
              <w:tr2bl w:val="nil"/>
            </w:tcBorders>
            <w:shd w:val="clear" w:color="auto" w:fill="auto"/>
            <w:vAlign w:val="center"/>
          </w:tcPr>
          <w:p w14:paraId="2C3101A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20.0156</w:t>
            </w:r>
          </w:p>
        </w:tc>
      </w:tr>
      <w:tr w14:paraId="19B17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01DB634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816" w:type="pct"/>
            <w:vMerge w:val="continue"/>
            <w:tcBorders>
              <w:tl2br w:val="nil"/>
              <w:tr2bl w:val="nil"/>
            </w:tcBorders>
            <w:shd w:val="clear" w:color="auto" w:fill="auto"/>
            <w:vAlign w:val="center"/>
          </w:tcPr>
          <w:p w14:paraId="0F3B9C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0CEB67F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4DDD6DB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45.2712</w:t>
            </w:r>
          </w:p>
        </w:tc>
        <w:tc>
          <w:tcPr>
            <w:tcW w:w="742" w:type="pct"/>
            <w:tcBorders>
              <w:tl2br w:val="nil"/>
              <w:tr2bl w:val="nil"/>
            </w:tcBorders>
            <w:shd w:val="clear" w:color="auto" w:fill="auto"/>
            <w:vAlign w:val="center"/>
          </w:tcPr>
          <w:p w14:paraId="62AA20E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19.8168</w:t>
            </w:r>
          </w:p>
        </w:tc>
      </w:tr>
      <w:tr w14:paraId="5F32C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3A114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816" w:type="pct"/>
            <w:vMerge w:val="continue"/>
            <w:tcBorders>
              <w:tl2br w:val="nil"/>
              <w:tr2bl w:val="nil"/>
            </w:tcBorders>
            <w:shd w:val="clear" w:color="auto" w:fill="auto"/>
            <w:vAlign w:val="center"/>
          </w:tcPr>
          <w:p w14:paraId="7B661EA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865C13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297A186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45.0169</w:t>
            </w:r>
          </w:p>
        </w:tc>
        <w:tc>
          <w:tcPr>
            <w:tcW w:w="742" w:type="pct"/>
            <w:tcBorders>
              <w:tl2br w:val="nil"/>
              <w:tr2bl w:val="nil"/>
            </w:tcBorders>
            <w:shd w:val="clear" w:color="auto" w:fill="auto"/>
            <w:vAlign w:val="center"/>
          </w:tcPr>
          <w:p w14:paraId="09CC23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19.5535</w:t>
            </w:r>
          </w:p>
        </w:tc>
      </w:tr>
      <w:tr w14:paraId="02183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2EF593E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816" w:type="pct"/>
            <w:vMerge w:val="continue"/>
            <w:tcBorders>
              <w:tl2br w:val="nil"/>
              <w:tr2bl w:val="nil"/>
            </w:tcBorders>
            <w:shd w:val="clear" w:color="auto" w:fill="auto"/>
            <w:vAlign w:val="center"/>
          </w:tcPr>
          <w:p w14:paraId="4791A75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22AB2FA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边导线内</w:t>
            </w:r>
          </w:p>
        </w:tc>
        <w:tc>
          <w:tcPr>
            <w:tcW w:w="1670" w:type="pct"/>
            <w:tcBorders>
              <w:tl2br w:val="nil"/>
              <w:tr2bl w:val="nil"/>
            </w:tcBorders>
            <w:shd w:val="clear" w:color="auto" w:fill="auto"/>
            <w:vAlign w:val="center"/>
          </w:tcPr>
          <w:p w14:paraId="54F99F1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44.8693</w:t>
            </w:r>
          </w:p>
        </w:tc>
        <w:tc>
          <w:tcPr>
            <w:tcW w:w="742" w:type="pct"/>
            <w:tcBorders>
              <w:tl2br w:val="nil"/>
              <w:tr2bl w:val="nil"/>
            </w:tcBorders>
            <w:shd w:val="clear" w:color="auto" w:fill="auto"/>
            <w:vAlign w:val="center"/>
          </w:tcPr>
          <w:p w14:paraId="166B9E3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19.2204</w:t>
            </w:r>
          </w:p>
        </w:tc>
      </w:tr>
      <w:tr w14:paraId="7EF36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3358811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816" w:type="pct"/>
            <w:vMerge w:val="restart"/>
            <w:tcBorders>
              <w:tl2br w:val="nil"/>
              <w:tr2bl w:val="nil"/>
            </w:tcBorders>
            <w:shd w:val="clear" w:color="auto" w:fill="auto"/>
            <w:vAlign w:val="center"/>
          </w:tcPr>
          <w:p w14:paraId="5695942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边导线外</w:t>
            </w:r>
          </w:p>
        </w:tc>
        <w:tc>
          <w:tcPr>
            <w:tcW w:w="820" w:type="pct"/>
            <w:tcBorders>
              <w:tl2br w:val="nil"/>
              <w:tr2bl w:val="nil"/>
            </w:tcBorders>
            <w:shd w:val="clear" w:color="auto" w:fill="auto"/>
            <w:vAlign w:val="center"/>
          </w:tcPr>
          <w:p w14:paraId="2F659DF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0.2</w:t>
            </w:r>
          </w:p>
        </w:tc>
        <w:tc>
          <w:tcPr>
            <w:tcW w:w="1670" w:type="pct"/>
            <w:tcBorders>
              <w:tl2br w:val="nil"/>
              <w:tr2bl w:val="nil"/>
            </w:tcBorders>
            <w:shd w:val="clear" w:color="auto" w:fill="auto"/>
            <w:vAlign w:val="center"/>
          </w:tcPr>
          <w:p w14:paraId="2C36B62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44.6814</w:t>
            </w:r>
          </w:p>
        </w:tc>
        <w:tc>
          <w:tcPr>
            <w:tcW w:w="742" w:type="pct"/>
            <w:tcBorders>
              <w:tl2br w:val="nil"/>
              <w:tr2bl w:val="nil"/>
            </w:tcBorders>
            <w:shd w:val="clear" w:color="auto" w:fill="auto"/>
            <w:vAlign w:val="center"/>
          </w:tcPr>
          <w:p w14:paraId="0852135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18.8127</w:t>
            </w:r>
          </w:p>
        </w:tc>
      </w:tr>
      <w:tr w14:paraId="3DE7E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4C4B5F2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816" w:type="pct"/>
            <w:vMerge w:val="continue"/>
            <w:tcBorders>
              <w:tl2br w:val="nil"/>
              <w:tr2bl w:val="nil"/>
            </w:tcBorders>
            <w:shd w:val="clear" w:color="auto" w:fill="auto"/>
            <w:vAlign w:val="center"/>
          </w:tcPr>
          <w:p w14:paraId="419384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A31F4B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1.2</w:t>
            </w:r>
          </w:p>
        </w:tc>
        <w:tc>
          <w:tcPr>
            <w:tcW w:w="1670" w:type="pct"/>
            <w:tcBorders>
              <w:tl2br w:val="nil"/>
              <w:tr2bl w:val="nil"/>
            </w:tcBorders>
            <w:shd w:val="clear" w:color="auto" w:fill="auto"/>
            <w:vAlign w:val="center"/>
          </w:tcPr>
          <w:p w14:paraId="29842F1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44.2106</w:t>
            </w:r>
          </w:p>
        </w:tc>
        <w:tc>
          <w:tcPr>
            <w:tcW w:w="742" w:type="pct"/>
            <w:tcBorders>
              <w:tl2br w:val="nil"/>
              <w:tr2bl w:val="nil"/>
            </w:tcBorders>
            <w:shd w:val="clear" w:color="auto" w:fill="auto"/>
            <w:vAlign w:val="center"/>
          </w:tcPr>
          <w:p w14:paraId="7D00BBF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18.3265</w:t>
            </w:r>
          </w:p>
        </w:tc>
      </w:tr>
      <w:tr w14:paraId="3ECD2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240B1B5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w:t>
            </w:r>
          </w:p>
        </w:tc>
        <w:tc>
          <w:tcPr>
            <w:tcW w:w="816" w:type="pct"/>
            <w:vMerge w:val="continue"/>
            <w:tcBorders>
              <w:tl2br w:val="nil"/>
              <w:tr2bl w:val="nil"/>
            </w:tcBorders>
            <w:shd w:val="clear" w:color="auto" w:fill="auto"/>
            <w:vAlign w:val="center"/>
          </w:tcPr>
          <w:p w14:paraId="0911E66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82C64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2.2</w:t>
            </w:r>
          </w:p>
        </w:tc>
        <w:tc>
          <w:tcPr>
            <w:tcW w:w="1670" w:type="pct"/>
            <w:tcBorders>
              <w:tl2br w:val="nil"/>
              <w:tr2bl w:val="nil"/>
            </w:tcBorders>
            <w:shd w:val="clear" w:color="auto" w:fill="auto"/>
            <w:vAlign w:val="center"/>
          </w:tcPr>
          <w:p w14:paraId="5663941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43.1717</w:t>
            </w:r>
          </w:p>
        </w:tc>
        <w:tc>
          <w:tcPr>
            <w:tcW w:w="742" w:type="pct"/>
            <w:tcBorders>
              <w:tl2br w:val="nil"/>
              <w:tr2bl w:val="nil"/>
            </w:tcBorders>
            <w:shd w:val="clear" w:color="auto" w:fill="auto"/>
            <w:vAlign w:val="center"/>
          </w:tcPr>
          <w:p w14:paraId="49BD6A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17.7613</w:t>
            </w:r>
          </w:p>
        </w:tc>
      </w:tr>
      <w:tr w14:paraId="3B8C9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4031E0D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16" w:type="pct"/>
            <w:vMerge w:val="continue"/>
            <w:tcBorders>
              <w:tl2br w:val="nil"/>
              <w:tr2bl w:val="nil"/>
            </w:tcBorders>
            <w:shd w:val="clear" w:color="auto" w:fill="auto"/>
            <w:vAlign w:val="center"/>
          </w:tcPr>
          <w:p w14:paraId="461D4F1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DF540B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3.2</w:t>
            </w:r>
          </w:p>
        </w:tc>
        <w:tc>
          <w:tcPr>
            <w:tcW w:w="1670" w:type="pct"/>
            <w:tcBorders>
              <w:tl2br w:val="nil"/>
              <w:tr2bl w:val="nil"/>
            </w:tcBorders>
            <w:shd w:val="clear" w:color="auto" w:fill="auto"/>
            <w:vAlign w:val="center"/>
          </w:tcPr>
          <w:p w14:paraId="7969AA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41.3445</w:t>
            </w:r>
          </w:p>
        </w:tc>
        <w:tc>
          <w:tcPr>
            <w:tcW w:w="742" w:type="pct"/>
            <w:tcBorders>
              <w:tl2br w:val="nil"/>
              <w:tr2bl w:val="nil"/>
            </w:tcBorders>
            <w:shd w:val="clear" w:color="auto" w:fill="auto"/>
            <w:vAlign w:val="center"/>
          </w:tcPr>
          <w:p w14:paraId="56FE2B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17.1203</w:t>
            </w:r>
          </w:p>
        </w:tc>
      </w:tr>
      <w:tr w14:paraId="08A1B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6FB8CB7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816" w:type="pct"/>
            <w:vMerge w:val="continue"/>
            <w:tcBorders>
              <w:tl2br w:val="nil"/>
              <w:tr2bl w:val="nil"/>
            </w:tcBorders>
            <w:shd w:val="clear" w:color="auto" w:fill="auto"/>
            <w:vAlign w:val="center"/>
          </w:tcPr>
          <w:p w14:paraId="6B7855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0AEAD66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8.2</w:t>
            </w:r>
          </w:p>
        </w:tc>
        <w:tc>
          <w:tcPr>
            <w:tcW w:w="1670" w:type="pct"/>
            <w:tcBorders>
              <w:tl2br w:val="nil"/>
              <w:tr2bl w:val="nil"/>
            </w:tcBorders>
            <w:shd w:val="clear" w:color="auto" w:fill="auto"/>
            <w:vAlign w:val="center"/>
          </w:tcPr>
          <w:p w14:paraId="08450A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24.998</w:t>
            </w:r>
          </w:p>
        </w:tc>
        <w:tc>
          <w:tcPr>
            <w:tcW w:w="742" w:type="pct"/>
            <w:tcBorders>
              <w:tl2br w:val="nil"/>
              <w:tr2bl w:val="nil"/>
            </w:tcBorders>
            <w:shd w:val="clear" w:color="auto" w:fill="auto"/>
            <w:vAlign w:val="center"/>
          </w:tcPr>
          <w:p w14:paraId="57C8529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13.1851</w:t>
            </w:r>
          </w:p>
        </w:tc>
      </w:tr>
      <w:tr w14:paraId="42F89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4DCC9F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16" w:type="pct"/>
            <w:vMerge w:val="continue"/>
            <w:tcBorders>
              <w:tl2br w:val="nil"/>
              <w:tr2bl w:val="nil"/>
            </w:tcBorders>
            <w:shd w:val="clear" w:color="auto" w:fill="auto"/>
            <w:vAlign w:val="center"/>
          </w:tcPr>
          <w:p w14:paraId="6DF3B2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826A62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13.2</w:t>
            </w:r>
          </w:p>
        </w:tc>
        <w:tc>
          <w:tcPr>
            <w:tcW w:w="1670" w:type="pct"/>
            <w:tcBorders>
              <w:tl2br w:val="nil"/>
              <w:tr2bl w:val="nil"/>
            </w:tcBorders>
            <w:shd w:val="clear" w:color="auto" w:fill="auto"/>
            <w:vAlign w:val="center"/>
          </w:tcPr>
          <w:p w14:paraId="7611AB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13.7271</w:t>
            </w:r>
          </w:p>
        </w:tc>
        <w:tc>
          <w:tcPr>
            <w:tcW w:w="742" w:type="pct"/>
            <w:tcBorders>
              <w:tl2br w:val="nil"/>
              <w:tr2bl w:val="nil"/>
            </w:tcBorders>
            <w:shd w:val="clear" w:color="auto" w:fill="auto"/>
            <w:vAlign w:val="center"/>
          </w:tcPr>
          <w:p w14:paraId="2879E2C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9.3927</w:t>
            </w:r>
          </w:p>
        </w:tc>
      </w:tr>
      <w:tr w14:paraId="19689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22E41C1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16" w:type="pct"/>
            <w:vMerge w:val="continue"/>
            <w:tcBorders>
              <w:tl2br w:val="nil"/>
              <w:tr2bl w:val="nil"/>
            </w:tcBorders>
            <w:shd w:val="clear" w:color="auto" w:fill="auto"/>
            <w:vAlign w:val="center"/>
          </w:tcPr>
          <w:p w14:paraId="25ADFBC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31392DA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18.2</w:t>
            </w:r>
          </w:p>
        </w:tc>
        <w:tc>
          <w:tcPr>
            <w:tcW w:w="1670" w:type="pct"/>
            <w:tcBorders>
              <w:tl2br w:val="nil"/>
              <w:tr2bl w:val="nil"/>
            </w:tcBorders>
            <w:shd w:val="clear" w:color="auto" w:fill="auto"/>
            <w:vAlign w:val="center"/>
          </w:tcPr>
          <w:p w14:paraId="579B16B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8.4076</w:t>
            </w:r>
          </w:p>
        </w:tc>
        <w:tc>
          <w:tcPr>
            <w:tcW w:w="742" w:type="pct"/>
            <w:tcBorders>
              <w:tl2br w:val="nil"/>
              <w:tr2bl w:val="nil"/>
            </w:tcBorders>
            <w:shd w:val="clear" w:color="auto" w:fill="auto"/>
            <w:vAlign w:val="center"/>
          </w:tcPr>
          <w:p w14:paraId="55AD74B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6.6552</w:t>
            </w:r>
          </w:p>
        </w:tc>
      </w:tr>
      <w:tr w14:paraId="4D81E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69996D3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w:t>
            </w:r>
          </w:p>
        </w:tc>
        <w:tc>
          <w:tcPr>
            <w:tcW w:w="816" w:type="pct"/>
            <w:vMerge w:val="continue"/>
            <w:tcBorders>
              <w:tl2br w:val="nil"/>
              <w:tr2bl w:val="nil"/>
            </w:tcBorders>
            <w:shd w:val="clear" w:color="auto" w:fill="auto"/>
            <w:vAlign w:val="center"/>
          </w:tcPr>
          <w:p w14:paraId="0A80370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4BAFF39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23.2</w:t>
            </w:r>
          </w:p>
        </w:tc>
        <w:tc>
          <w:tcPr>
            <w:tcW w:w="1670" w:type="pct"/>
            <w:tcBorders>
              <w:tl2br w:val="nil"/>
              <w:tr2bl w:val="nil"/>
            </w:tcBorders>
            <w:shd w:val="clear" w:color="auto" w:fill="auto"/>
            <w:vAlign w:val="center"/>
          </w:tcPr>
          <w:p w14:paraId="0904020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5.6587</w:t>
            </w:r>
          </w:p>
        </w:tc>
        <w:tc>
          <w:tcPr>
            <w:tcW w:w="742" w:type="pct"/>
            <w:tcBorders>
              <w:tl2br w:val="nil"/>
              <w:tr2bl w:val="nil"/>
            </w:tcBorders>
            <w:shd w:val="clear" w:color="auto" w:fill="auto"/>
            <w:vAlign w:val="center"/>
          </w:tcPr>
          <w:p w14:paraId="5EC167B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4.8458</w:t>
            </w:r>
          </w:p>
        </w:tc>
      </w:tr>
      <w:tr w14:paraId="18EA2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03C70D2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816" w:type="pct"/>
            <w:vMerge w:val="continue"/>
            <w:tcBorders>
              <w:tl2br w:val="nil"/>
              <w:tr2bl w:val="nil"/>
            </w:tcBorders>
            <w:shd w:val="clear" w:color="auto" w:fill="auto"/>
            <w:vAlign w:val="center"/>
          </w:tcPr>
          <w:p w14:paraId="6BF26D6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24906B6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28.2</w:t>
            </w:r>
          </w:p>
        </w:tc>
        <w:tc>
          <w:tcPr>
            <w:tcW w:w="1670" w:type="pct"/>
            <w:tcBorders>
              <w:tl2br w:val="nil"/>
              <w:tr2bl w:val="nil"/>
            </w:tcBorders>
            <w:shd w:val="clear" w:color="auto" w:fill="auto"/>
            <w:vAlign w:val="center"/>
          </w:tcPr>
          <w:p w14:paraId="15B2CB3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4.0708</w:t>
            </w:r>
          </w:p>
        </w:tc>
        <w:tc>
          <w:tcPr>
            <w:tcW w:w="742" w:type="pct"/>
            <w:tcBorders>
              <w:tl2br w:val="nil"/>
              <w:tr2bl w:val="nil"/>
            </w:tcBorders>
            <w:shd w:val="clear" w:color="auto" w:fill="auto"/>
            <w:vAlign w:val="center"/>
          </w:tcPr>
          <w:p w14:paraId="1737DF0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3.6479</w:t>
            </w:r>
          </w:p>
        </w:tc>
      </w:tr>
      <w:tr w14:paraId="1B1556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59E62EB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40</w:t>
            </w:r>
          </w:p>
        </w:tc>
        <w:tc>
          <w:tcPr>
            <w:tcW w:w="816" w:type="pct"/>
            <w:vMerge w:val="continue"/>
            <w:tcBorders>
              <w:tl2br w:val="nil"/>
              <w:tr2bl w:val="nil"/>
            </w:tcBorders>
            <w:shd w:val="clear" w:color="auto" w:fill="auto"/>
            <w:vAlign w:val="center"/>
          </w:tcPr>
          <w:p w14:paraId="10ADFA2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5B80325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33.2</w:t>
            </w:r>
          </w:p>
        </w:tc>
        <w:tc>
          <w:tcPr>
            <w:tcW w:w="1670" w:type="pct"/>
            <w:tcBorders>
              <w:tl2br w:val="nil"/>
              <w:tr2bl w:val="nil"/>
            </w:tcBorders>
            <w:shd w:val="clear" w:color="auto" w:fill="auto"/>
            <w:vAlign w:val="center"/>
          </w:tcPr>
          <w:p w14:paraId="0C19533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3.072</w:t>
            </w:r>
          </w:p>
        </w:tc>
        <w:tc>
          <w:tcPr>
            <w:tcW w:w="742" w:type="pct"/>
            <w:tcBorders>
              <w:tl2br w:val="nil"/>
              <w:tr2bl w:val="nil"/>
            </w:tcBorders>
            <w:shd w:val="clear" w:color="auto" w:fill="auto"/>
            <w:vAlign w:val="center"/>
          </w:tcPr>
          <w:p w14:paraId="55D9E19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2.8314</w:t>
            </w:r>
          </w:p>
        </w:tc>
      </w:tr>
      <w:tr w14:paraId="395AD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2086D7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w:t>
            </w:r>
          </w:p>
        </w:tc>
        <w:tc>
          <w:tcPr>
            <w:tcW w:w="816" w:type="pct"/>
            <w:vMerge w:val="continue"/>
            <w:tcBorders>
              <w:tl2br w:val="nil"/>
              <w:tr2bl w:val="nil"/>
            </w:tcBorders>
            <w:shd w:val="clear" w:color="auto" w:fill="auto"/>
            <w:vAlign w:val="center"/>
          </w:tcPr>
          <w:p w14:paraId="1D436ED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7304D2A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38.2</w:t>
            </w:r>
          </w:p>
        </w:tc>
        <w:tc>
          <w:tcPr>
            <w:tcW w:w="1670" w:type="pct"/>
            <w:tcBorders>
              <w:tl2br w:val="nil"/>
              <w:tr2bl w:val="nil"/>
            </w:tcBorders>
            <w:shd w:val="clear" w:color="auto" w:fill="auto"/>
            <w:vAlign w:val="center"/>
          </w:tcPr>
          <w:p w14:paraId="284CAFA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2.4025</w:t>
            </w:r>
          </w:p>
        </w:tc>
        <w:tc>
          <w:tcPr>
            <w:tcW w:w="742" w:type="pct"/>
            <w:tcBorders>
              <w:tl2br w:val="nil"/>
              <w:tr2bl w:val="nil"/>
            </w:tcBorders>
            <w:shd w:val="clear" w:color="auto" w:fill="auto"/>
            <w:vAlign w:val="center"/>
          </w:tcPr>
          <w:p w14:paraId="5AFDE7A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2.2558</w:t>
            </w:r>
          </w:p>
        </w:tc>
      </w:tr>
      <w:tr w14:paraId="406AF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0" w:type="pct"/>
            <w:tcBorders>
              <w:tl2br w:val="nil"/>
              <w:tr2bl w:val="nil"/>
            </w:tcBorders>
            <w:shd w:val="clear" w:color="auto" w:fill="auto"/>
            <w:vAlign w:val="center"/>
          </w:tcPr>
          <w:p w14:paraId="7A56808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16" w:type="pct"/>
            <w:vMerge w:val="continue"/>
            <w:tcBorders>
              <w:tl2br w:val="nil"/>
              <w:tr2bl w:val="nil"/>
            </w:tcBorders>
            <w:shd w:val="clear" w:color="auto" w:fill="auto"/>
            <w:vAlign w:val="center"/>
          </w:tcPr>
          <w:p w14:paraId="3DCB3E2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820" w:type="pct"/>
            <w:tcBorders>
              <w:tl2br w:val="nil"/>
              <w:tr2bl w:val="nil"/>
            </w:tcBorders>
            <w:shd w:val="clear" w:color="auto" w:fill="auto"/>
            <w:vAlign w:val="center"/>
          </w:tcPr>
          <w:p w14:paraId="5D2EA5F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43.2</w:t>
            </w:r>
          </w:p>
        </w:tc>
        <w:tc>
          <w:tcPr>
            <w:tcW w:w="1670" w:type="pct"/>
            <w:tcBorders>
              <w:tl2br w:val="nil"/>
              <w:tr2bl w:val="nil"/>
            </w:tcBorders>
            <w:shd w:val="clear" w:color="auto" w:fill="auto"/>
            <w:vAlign w:val="center"/>
          </w:tcPr>
          <w:p w14:paraId="7501B3F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1.9316</w:t>
            </w:r>
          </w:p>
        </w:tc>
        <w:tc>
          <w:tcPr>
            <w:tcW w:w="742" w:type="pct"/>
            <w:tcBorders>
              <w:tl2br w:val="nil"/>
              <w:tr2bl w:val="nil"/>
            </w:tcBorders>
            <w:shd w:val="clear" w:color="auto" w:fill="auto"/>
            <w:vAlign w:val="center"/>
          </w:tcPr>
          <w:p w14:paraId="68C50B47">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1.837</w:t>
            </w:r>
          </w:p>
        </w:tc>
      </w:tr>
      <w:tr w14:paraId="1359A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87" w:type="pct"/>
            <w:gridSpan w:val="3"/>
            <w:tcBorders>
              <w:tl2br w:val="nil"/>
              <w:tr2bl w:val="nil"/>
            </w:tcBorders>
            <w:shd w:val="clear" w:color="auto" w:fill="auto"/>
            <w:vAlign w:val="center"/>
          </w:tcPr>
          <w:p w14:paraId="2D3D056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工频磁感应强度</w:t>
            </w:r>
          </w:p>
        </w:tc>
        <w:tc>
          <w:tcPr>
            <w:tcW w:w="1670" w:type="pct"/>
            <w:tcBorders>
              <w:tl2br w:val="nil"/>
              <w:tr2bl w:val="nil"/>
            </w:tcBorders>
            <w:shd w:val="clear" w:color="auto" w:fill="auto"/>
            <w:vAlign w:val="center"/>
          </w:tcPr>
          <w:p w14:paraId="0A86792A">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46.6673</w:t>
            </w:r>
          </w:p>
        </w:tc>
        <w:tc>
          <w:tcPr>
            <w:tcW w:w="742" w:type="pct"/>
            <w:tcBorders>
              <w:tl2br w:val="nil"/>
              <w:tr2bl w:val="nil"/>
            </w:tcBorders>
            <w:shd w:val="clear" w:color="auto" w:fill="auto"/>
            <w:vAlign w:val="center"/>
          </w:tcPr>
          <w:p w14:paraId="12A1DFB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20.2636</w:t>
            </w:r>
          </w:p>
        </w:tc>
      </w:tr>
    </w:tbl>
    <w:p w14:paraId="1E8FD675">
      <w:pPr>
        <w:adjustRightInd w:val="0"/>
        <w:snapToGrid w:val="0"/>
        <w:rPr>
          <w:color w:val="auto"/>
          <w:highlight w:val="none"/>
        </w:rPr>
      </w:pPr>
    </w:p>
    <w:p w14:paraId="7718390B">
      <w:pPr>
        <w:pStyle w:val="35"/>
        <w:adjustRightInd w:val="0"/>
        <w:snapToGrid w:val="0"/>
        <w:spacing w:before="0" w:after="0"/>
        <w:ind w:left="0" w:right="0"/>
        <w:rPr>
          <w:rFonts w:hint="eastAsia" w:eastAsia="宋体"/>
          <w:i w:val="0"/>
          <w:iCs/>
          <w:color w:val="auto"/>
          <w:highlight w:val="none"/>
          <w:lang w:eastAsia="zh-CN"/>
        </w:rPr>
      </w:pPr>
      <w:r>
        <w:rPr>
          <w:rFonts w:hint="eastAsia" w:eastAsia="宋体"/>
          <w:i w:val="0"/>
          <w:iCs/>
          <w:color w:val="auto"/>
          <w:highlight w:val="none"/>
          <w:lang w:eastAsia="zh-CN"/>
        </w:rPr>
        <w:drawing>
          <wp:inline distT="0" distB="0" distL="114300" distR="114300">
            <wp:extent cx="5615305" cy="3191510"/>
            <wp:effectExtent l="0" t="0" r="4445" b="8890"/>
            <wp:docPr id="38" name="图片 38" descr="工频磁场图 单回水平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工频磁场图 单回水平排列 7.5m"/>
                    <pic:cNvPicPr>
                      <a:picLocks noChangeAspect="1"/>
                    </pic:cNvPicPr>
                  </pic:nvPicPr>
                  <pic:blipFill>
                    <a:blip r:embed="rId93"/>
                    <a:stretch>
                      <a:fillRect/>
                    </a:stretch>
                  </pic:blipFill>
                  <pic:spPr>
                    <a:xfrm>
                      <a:off x="0" y="0"/>
                      <a:ext cx="5615305" cy="3191510"/>
                    </a:xfrm>
                    <a:prstGeom prst="rect">
                      <a:avLst/>
                    </a:prstGeom>
                  </pic:spPr>
                </pic:pic>
              </a:graphicData>
            </a:graphic>
          </wp:inline>
        </w:drawing>
      </w:r>
    </w:p>
    <w:p w14:paraId="53895FEE">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21</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工频磁感应强度分布图</w:t>
      </w:r>
    </w:p>
    <w:p w14:paraId="13898012">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350260"/>
            <wp:effectExtent l="0" t="0" r="8255" b="2540"/>
            <wp:docPr id="39" name="图片 39" descr="磁场等值线图 单回水平排列 7.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磁场等值线图 单回水平排列 7.5m"/>
                    <pic:cNvPicPr>
                      <a:picLocks noChangeAspect="1"/>
                    </pic:cNvPicPr>
                  </pic:nvPicPr>
                  <pic:blipFill>
                    <a:blip r:embed="rId94"/>
                    <a:stretch>
                      <a:fillRect/>
                    </a:stretch>
                  </pic:blipFill>
                  <pic:spPr>
                    <a:xfrm>
                      <a:off x="0" y="0"/>
                      <a:ext cx="5611495" cy="3350260"/>
                    </a:xfrm>
                    <a:prstGeom prst="rect">
                      <a:avLst/>
                    </a:prstGeom>
                  </pic:spPr>
                </pic:pic>
              </a:graphicData>
            </a:graphic>
          </wp:inline>
        </w:drawing>
      </w:r>
    </w:p>
    <w:p w14:paraId="40278639">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22</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7.5m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w:t>
      </w:r>
      <w:r>
        <w:rPr>
          <w:rFonts w:hint="eastAsia" w:cs="Times New Roman"/>
          <w:b/>
          <w:color w:val="auto"/>
          <w:sz w:val="24"/>
          <w:highlight w:val="none"/>
          <w:lang w:val="en-US" w:eastAsia="zh-CN"/>
        </w:rPr>
        <w:t>等值线</w:t>
      </w:r>
      <w:r>
        <w:rPr>
          <w:rFonts w:ascii="Times New Roman" w:hAnsi="Times New Roman" w:cs="Times New Roman"/>
          <w:b/>
          <w:color w:val="auto"/>
          <w:sz w:val="24"/>
          <w:highlight w:val="none"/>
        </w:rPr>
        <w:t>图</w:t>
      </w:r>
    </w:p>
    <w:p w14:paraId="6B4A825B">
      <w:pPr>
        <w:rPr>
          <w:color w:val="auto"/>
        </w:rPr>
      </w:pPr>
    </w:p>
    <w:p w14:paraId="1E6954F2">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5305" cy="3191510"/>
            <wp:effectExtent l="0" t="0" r="4445" b="8890"/>
            <wp:docPr id="40" name="图片 40" descr="工频磁场图 单回水平排列 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工频磁场图 单回水平排列 13.8m"/>
                    <pic:cNvPicPr>
                      <a:picLocks noChangeAspect="1"/>
                    </pic:cNvPicPr>
                  </pic:nvPicPr>
                  <pic:blipFill>
                    <a:blip r:embed="rId95"/>
                    <a:stretch>
                      <a:fillRect/>
                    </a:stretch>
                  </pic:blipFill>
                  <pic:spPr>
                    <a:xfrm>
                      <a:off x="0" y="0"/>
                      <a:ext cx="5615305" cy="3191510"/>
                    </a:xfrm>
                    <a:prstGeom prst="rect">
                      <a:avLst/>
                    </a:prstGeom>
                  </pic:spPr>
                </pic:pic>
              </a:graphicData>
            </a:graphic>
          </wp:inline>
        </w:drawing>
      </w:r>
    </w:p>
    <w:p w14:paraId="7E0C1A31">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23</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工频磁感应强度分布图</w:t>
      </w:r>
    </w:p>
    <w:p w14:paraId="6F0AE4F0">
      <w:pPr>
        <w:pStyle w:val="2"/>
        <w:adjustRightInd w:val="0"/>
        <w:snapToGrid w:val="0"/>
        <w:spacing w:after="0"/>
        <w:jc w:val="center"/>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drawing>
          <wp:inline distT="0" distB="0" distL="114300" distR="114300">
            <wp:extent cx="5611495" cy="3228975"/>
            <wp:effectExtent l="0" t="0" r="8255" b="9525"/>
            <wp:docPr id="41" name="图片 41" descr="磁场等值线图 单回水平排列 13.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磁场等值线图 单回水平排列 13.8m"/>
                    <pic:cNvPicPr>
                      <a:picLocks noChangeAspect="1"/>
                    </pic:cNvPicPr>
                  </pic:nvPicPr>
                  <pic:blipFill>
                    <a:blip r:embed="rId96"/>
                    <a:srcRect b="3620"/>
                    <a:stretch>
                      <a:fillRect/>
                    </a:stretch>
                  </pic:blipFill>
                  <pic:spPr>
                    <a:xfrm>
                      <a:off x="0" y="0"/>
                      <a:ext cx="5611495" cy="3228975"/>
                    </a:xfrm>
                    <a:prstGeom prst="rect">
                      <a:avLst/>
                    </a:prstGeom>
                  </pic:spPr>
                </pic:pic>
              </a:graphicData>
            </a:graphic>
          </wp:inline>
        </w:drawing>
      </w:r>
    </w:p>
    <w:p w14:paraId="5F4302EA">
      <w:pPr>
        <w:pStyle w:val="2"/>
        <w:adjustRightInd w:val="0"/>
        <w:snapToGrid w:val="0"/>
        <w:spacing w:after="0"/>
        <w:jc w:val="center"/>
        <w:rPr>
          <w:rFonts w:ascii="Times New Roman" w:hAnsi="Times New Roman" w:cs="Times New Roman"/>
          <w:b/>
          <w:color w:val="auto"/>
          <w:sz w:val="24"/>
          <w:highlight w:val="none"/>
        </w:rPr>
      </w:pPr>
      <w:r>
        <w:rPr>
          <w:rFonts w:ascii="Times New Roman" w:hAnsi="Times New Roman" w:cs="Times New Roman"/>
          <w:b/>
          <w:color w:val="auto"/>
          <w:sz w:val="24"/>
          <w:highlight w:val="none"/>
        </w:rPr>
        <w:t>图5-</w:t>
      </w:r>
      <w:r>
        <w:rPr>
          <w:rFonts w:hint="eastAsia" w:cs="Times New Roman"/>
          <w:b/>
          <w:color w:val="auto"/>
          <w:sz w:val="24"/>
          <w:highlight w:val="none"/>
          <w:lang w:val="en-US" w:eastAsia="zh-CN"/>
        </w:rPr>
        <w:t>24</w:t>
      </w:r>
      <w:r>
        <w:rPr>
          <w:rFonts w:ascii="Times New Roman" w:hAnsi="Times New Roman" w:cs="Times New Roman"/>
          <w:b/>
          <w:color w:val="auto"/>
          <w:sz w:val="24"/>
          <w:highlight w:val="none"/>
        </w:rPr>
        <w:t xml:space="preserve">  </w:t>
      </w:r>
      <w:r>
        <w:rPr>
          <w:rFonts w:cs="Times New Roman"/>
          <w:b/>
          <w:color w:val="auto"/>
          <w:sz w:val="24"/>
          <w:highlight w:val="none"/>
        </w:rPr>
        <w:t>220</w:t>
      </w:r>
      <w:r>
        <w:rPr>
          <w:rFonts w:hint="eastAsia" w:cs="Times New Roman"/>
          <w:b/>
          <w:color w:val="auto"/>
          <w:sz w:val="24"/>
          <w:highlight w:val="none"/>
        </w:rPr>
        <w:t>k</w:t>
      </w:r>
      <w:r>
        <w:rPr>
          <w:rFonts w:cs="Times New Roman"/>
          <w:b/>
          <w:color w:val="auto"/>
          <w:sz w:val="24"/>
          <w:highlight w:val="none"/>
        </w:rPr>
        <w:t>V单回路</w:t>
      </w:r>
      <w:r>
        <w:rPr>
          <w:rFonts w:hint="eastAsia" w:cs="Times New Roman"/>
          <w:b/>
          <w:color w:val="auto"/>
          <w:sz w:val="24"/>
          <w:highlight w:val="none"/>
          <w:lang w:val="en-US" w:eastAsia="zh-CN"/>
        </w:rPr>
        <w:t>水平排列</w:t>
      </w:r>
      <w:r>
        <w:rPr>
          <w:rFonts w:hint="eastAsia" w:cs="Times New Roman"/>
          <w:b/>
          <w:color w:val="auto"/>
          <w:sz w:val="24"/>
          <w:highlight w:val="none"/>
        </w:rPr>
        <w:t>架设</w:t>
      </w:r>
      <w:r>
        <w:rPr>
          <w:rFonts w:hint="eastAsia" w:cs="Times New Roman"/>
          <w:b/>
          <w:color w:val="auto"/>
          <w:sz w:val="24"/>
          <w:highlight w:val="none"/>
          <w:lang w:eastAsia="zh-CN"/>
        </w:rPr>
        <w:t>（</w:t>
      </w:r>
      <w:r>
        <w:rPr>
          <w:rFonts w:hint="eastAsia" w:cs="Times New Roman"/>
          <w:b/>
          <w:color w:val="auto"/>
          <w:sz w:val="24"/>
          <w:highlight w:val="none"/>
          <w:lang w:val="en-US" w:eastAsia="zh-CN"/>
        </w:rPr>
        <w:t>13.8m</w:t>
      </w:r>
      <w:r>
        <w:rPr>
          <w:rFonts w:hint="eastAsia" w:cs="Times New Roman"/>
          <w:b/>
          <w:color w:val="auto"/>
          <w:sz w:val="24"/>
          <w:highlight w:val="none"/>
          <w:lang w:eastAsia="zh-CN"/>
        </w:rPr>
        <w:t>）</w:t>
      </w:r>
      <w:r>
        <w:rPr>
          <w:rFonts w:ascii="Times New Roman" w:hAnsi="Times New Roman" w:cs="Times New Roman"/>
          <w:b/>
          <w:color w:val="auto"/>
          <w:sz w:val="24"/>
          <w:highlight w:val="none"/>
        </w:rPr>
        <w:t>工频磁感应强度</w:t>
      </w:r>
      <w:r>
        <w:rPr>
          <w:rFonts w:hint="eastAsia" w:cs="Times New Roman"/>
          <w:b/>
          <w:color w:val="auto"/>
          <w:sz w:val="24"/>
          <w:highlight w:val="none"/>
          <w:lang w:val="en-US" w:eastAsia="zh-CN"/>
        </w:rPr>
        <w:t>等值线</w:t>
      </w:r>
      <w:r>
        <w:rPr>
          <w:rFonts w:ascii="Times New Roman" w:hAnsi="Times New Roman" w:cs="Times New Roman"/>
          <w:b/>
          <w:color w:val="auto"/>
          <w:sz w:val="24"/>
          <w:highlight w:val="none"/>
        </w:rPr>
        <w:t>图</w:t>
      </w:r>
    </w:p>
    <w:p w14:paraId="64C40982">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根据预测计算结果，220kV单回路</w:t>
      </w:r>
      <w:r>
        <w:rPr>
          <w:rFonts w:hint="default" w:ascii="Times New Roman" w:hAnsi="Times New Roman" w:cs="Times New Roman"/>
          <w:color w:val="auto"/>
          <w:sz w:val="24"/>
          <w:highlight w:val="none"/>
          <w:lang w:val="en-US" w:eastAsia="zh-CN"/>
        </w:rPr>
        <w:t>水平排列</w:t>
      </w:r>
      <w:r>
        <w:rPr>
          <w:rFonts w:hint="default"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按照居民区导线最小对地高度为</w:t>
      </w:r>
      <w:r>
        <w:rPr>
          <w:rFonts w:hint="eastAsia"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.5m、距地面1.5m的设计要求架设线路时，项目220kV</w:t>
      </w:r>
      <w:r>
        <w:rPr>
          <w:rFonts w:hint="eastAsia" w:ascii="Times New Roman" w:hAnsi="Times New Roman" w:cs="Times New Roman"/>
          <w:color w:val="auto"/>
          <w:sz w:val="24"/>
          <w:highlight w:val="none"/>
          <w:lang w:val="en-US" w:eastAsia="zh-CN"/>
        </w:rPr>
        <w:t>单回路</w:t>
      </w:r>
      <w:r>
        <w:rPr>
          <w:rFonts w:hint="default" w:ascii="Times New Roman" w:hAnsi="Times New Roman" w:cs="Times New Roman"/>
          <w:color w:val="auto"/>
          <w:sz w:val="24"/>
          <w:highlight w:val="none"/>
        </w:rPr>
        <w:t>架设线路产生的工频电场强度最大值出现在距离线路中心-</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6.0746</w:t>
      </w:r>
      <w:r>
        <w:rPr>
          <w:rFonts w:hint="default" w:ascii="Times New Roman" w:hAnsi="Times New Roman" w:cs="Times New Roman"/>
          <w:color w:val="auto"/>
          <w:sz w:val="24"/>
          <w:highlight w:val="none"/>
        </w:rPr>
        <w:t>kV/m；工频磁感应强度最大值出现在线路中心</w:t>
      </w:r>
      <w:r>
        <w:rPr>
          <w:rFonts w:hint="eastAsia" w:ascii="Times New Roman" w:hAnsi="Times New Roman" w:cs="Times New Roman"/>
          <w:color w:val="auto"/>
          <w:sz w:val="24"/>
          <w:highlight w:val="none"/>
          <w:lang w:val="en-US" w:eastAsia="zh-CN"/>
        </w:rPr>
        <w:t>正下方</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46.6673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预测结果</w:t>
      </w:r>
      <w:r>
        <w:rPr>
          <w:rFonts w:hint="eastAsia" w:ascii="Times New Roman" w:hAnsi="Times New Roman" w:cs="Times New Roman"/>
          <w:color w:val="auto"/>
          <w:sz w:val="24"/>
          <w:highlight w:val="none"/>
          <w:lang w:val="en-US" w:eastAsia="zh-CN"/>
        </w:rPr>
        <w:t>不</w:t>
      </w:r>
      <w:r>
        <w:rPr>
          <w:rFonts w:hint="default" w:ascii="Times New Roman" w:hAnsi="Times New Roman" w:cs="Times New Roman"/>
          <w:color w:val="auto"/>
          <w:sz w:val="24"/>
          <w:highlight w:val="none"/>
        </w:rPr>
        <w:t>满足《电磁环境控制限值》（GB8702-2014）中工频电场4000V/m、工频磁场100μT公众曝露限值要求。</w:t>
      </w:r>
    </w:p>
    <w:p w14:paraId="2FC2A75D">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因此，本项目要求按照设计导线最低高度进行架设，</w:t>
      </w:r>
      <w:r>
        <w:rPr>
          <w:rFonts w:hint="default" w:ascii="Times New Roman" w:hAnsi="Times New Roman" w:cs="Times New Roman"/>
          <w:color w:val="auto"/>
          <w:sz w:val="24"/>
          <w:highlight w:val="none"/>
        </w:rPr>
        <w:t>项目220kV架空线路采用单回架设时，</w:t>
      </w:r>
      <w:r>
        <w:rPr>
          <w:rFonts w:hint="default" w:ascii="Times New Roman" w:hAnsi="Times New Roman" w:cs="Times New Roman"/>
          <w:color w:val="auto"/>
          <w:sz w:val="24"/>
          <w:highlight w:val="none"/>
          <w:lang w:val="en-US" w:eastAsia="zh-CN"/>
        </w:rPr>
        <w:t>设计导线最低高度13.</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，线路下方距地面1.5m处的工频电场强度最大值出现在距离线路中心-</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2.2301</w:t>
      </w:r>
      <w:r>
        <w:rPr>
          <w:rFonts w:hint="default" w:ascii="Times New Roman" w:hAnsi="Times New Roman" w:cs="Times New Roman"/>
          <w:color w:val="auto"/>
          <w:sz w:val="24"/>
          <w:highlight w:val="none"/>
        </w:rPr>
        <w:t>kV/m；工频磁感应强度最大值出现在线路中心</w:t>
      </w:r>
      <w:r>
        <w:rPr>
          <w:rFonts w:hint="eastAsia" w:ascii="Times New Roman" w:hAnsi="Times New Roman" w:cs="Times New Roman"/>
          <w:color w:val="auto"/>
          <w:sz w:val="24"/>
          <w:highlight w:val="none"/>
          <w:lang w:val="en-US" w:eastAsia="zh-CN"/>
        </w:rPr>
        <w:t>正下方</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20.2636</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工频电场、工频磁场能同时满足《电磁环境控制限值》（GB8702-2014）表1中工频电场4000V/m、工频磁场100μT公众曝露限值要求。</w:t>
      </w:r>
    </w:p>
    <w:p w14:paraId="3030BE89">
      <w:pPr>
        <w:pStyle w:val="5"/>
        <w:adjustRightInd w:val="0"/>
        <w:snapToGrid w:val="0"/>
        <w:spacing w:line="440" w:lineRule="exact"/>
        <w:ind w:firstLine="482" w:firstLineChars="200"/>
        <w:rPr>
          <w:rFonts w:hint="eastAsia" w:ascii="Times New Roman" w:hAnsi="Times New Roman" w:eastAsia="宋体" w:cs="Times New Roman"/>
          <w:color w:val="auto"/>
        </w:rPr>
      </w:pPr>
      <w:bookmarkStart w:id="174" w:name="_Toc23937"/>
      <w:r>
        <w:rPr>
          <w:rFonts w:hint="eastAsia" w:ascii="Times New Roman" w:hAnsi="Times New Roman" w:eastAsia="宋体" w:cs="Times New Roman"/>
          <w:color w:val="auto"/>
        </w:rPr>
        <w:t>5.1.5对敏感点的电磁环境影响分析</w:t>
      </w:r>
      <w:bookmarkEnd w:id="174"/>
    </w:p>
    <w:p w14:paraId="48AA8300">
      <w:pPr>
        <w:pStyle w:val="51"/>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rPr>
        <w:t>根据调查，本项目输电线路评价范围内有</w:t>
      </w: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处电磁环境敏感目标，本次根据敏感点附近的杆塔形式、敏感点距离边导线的距离以及导线对地高度等参数，给出敏感点不同高度处预测出的工频电场强度和工频磁感应强度</w:t>
      </w:r>
      <w:r>
        <w:rPr>
          <w:rFonts w:hint="eastAsia" w:ascii="Times New Roman" w:hAnsi="Times New Roman" w:cs="Times New Roman"/>
          <w:color w:val="auto"/>
          <w:sz w:val="24"/>
          <w:szCs w:val="24"/>
          <w:lang w:eastAsia="zh-CN"/>
        </w:rPr>
        <w:t>。见</w:t>
      </w:r>
      <w:r>
        <w:rPr>
          <w:rFonts w:hint="eastAsia" w:ascii="Times New Roman" w:hAnsi="Times New Roman" w:cs="Times New Roman"/>
          <w:color w:val="auto"/>
          <w:sz w:val="24"/>
          <w:szCs w:val="24"/>
          <w:lang w:val="en-US" w:eastAsia="zh-CN"/>
        </w:rPr>
        <w:t>下</w:t>
      </w:r>
      <w:r>
        <w:rPr>
          <w:rFonts w:hint="eastAsia" w:ascii="Times New Roman" w:hAnsi="Times New Roman" w:cs="Times New Roman"/>
          <w:color w:val="auto"/>
          <w:sz w:val="24"/>
          <w:szCs w:val="24"/>
          <w:lang w:eastAsia="zh-CN"/>
        </w:rPr>
        <w:t>表。</w:t>
      </w:r>
    </w:p>
    <w:p w14:paraId="644EB253">
      <w:pPr>
        <w:pStyle w:val="51"/>
        <w:adjustRightInd w:val="0"/>
        <w:snapToGrid w:val="0"/>
        <w:spacing w:line="240" w:lineRule="auto"/>
        <w:ind w:firstLine="482" w:firstLineChars="200"/>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表5-</w:t>
      </w:r>
      <w:r>
        <w:rPr>
          <w:rFonts w:hint="default"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 xml:space="preserve">  工程输电线路对环境保护目标工频电磁场强度理论计算结果</w:t>
      </w:r>
    </w:p>
    <w:tbl>
      <w:tblPr>
        <w:tblStyle w:val="27"/>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38"/>
        <w:gridCol w:w="674"/>
        <w:gridCol w:w="2500"/>
        <w:gridCol w:w="1519"/>
        <w:gridCol w:w="1089"/>
        <w:gridCol w:w="1207"/>
        <w:gridCol w:w="1129"/>
      </w:tblGrid>
      <w:tr w14:paraId="62292C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0F1B10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保护目标名称</w:t>
            </w:r>
          </w:p>
        </w:tc>
        <w:tc>
          <w:tcPr>
            <w:tcW w:w="372" w:type="pct"/>
            <w:vMerge w:val="restart"/>
            <w:tcBorders>
              <w:tl2br w:val="nil"/>
              <w:tr2bl w:val="nil"/>
            </w:tcBorders>
            <w:shd w:val="clear" w:color="auto" w:fill="auto"/>
            <w:vAlign w:val="center"/>
          </w:tcPr>
          <w:p w14:paraId="3FC7717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性质</w:t>
            </w:r>
          </w:p>
        </w:tc>
        <w:tc>
          <w:tcPr>
            <w:tcW w:w="1380" w:type="pct"/>
            <w:vMerge w:val="restart"/>
            <w:tcBorders>
              <w:tl2br w:val="nil"/>
              <w:tr2bl w:val="nil"/>
            </w:tcBorders>
            <w:shd w:val="clear" w:color="auto" w:fill="auto"/>
            <w:vAlign w:val="center"/>
          </w:tcPr>
          <w:p w14:paraId="09C0A3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位置及距离（</w:t>
            </w:r>
            <w:r>
              <w:rPr>
                <w:rStyle w:val="100"/>
                <w:rFonts w:hint="default" w:ascii="Times New Roman" w:hAnsi="Times New Roman" w:eastAsia="宋体" w:cs="Times New Roman"/>
                <w:color w:val="auto"/>
                <w:sz w:val="21"/>
                <w:szCs w:val="21"/>
                <w:lang w:val="en-US" w:eastAsia="zh-CN" w:bidi="ar"/>
              </w:rPr>
              <w:t>m</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1440" w:type="pct"/>
            <w:gridSpan w:val="2"/>
            <w:vMerge w:val="restart"/>
            <w:tcBorders>
              <w:tl2br w:val="nil"/>
              <w:tr2bl w:val="nil"/>
            </w:tcBorders>
            <w:shd w:val="clear" w:color="auto" w:fill="auto"/>
            <w:vAlign w:val="center"/>
          </w:tcPr>
          <w:p w14:paraId="21F41F0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类别</w:t>
            </w:r>
          </w:p>
        </w:tc>
        <w:tc>
          <w:tcPr>
            <w:tcW w:w="1289" w:type="pct"/>
            <w:gridSpan w:val="2"/>
            <w:tcBorders>
              <w:tl2br w:val="nil"/>
              <w:tr2bl w:val="nil"/>
            </w:tcBorders>
            <w:shd w:val="clear" w:color="auto" w:fill="auto"/>
            <w:vAlign w:val="center"/>
          </w:tcPr>
          <w:p w14:paraId="3BF8D3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电磁环境理论预测</w:t>
            </w:r>
          </w:p>
        </w:tc>
      </w:tr>
      <w:tr w14:paraId="4CAFA2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4ABF82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bCs/>
                <w:i w:val="0"/>
                <w:iCs w:val="0"/>
                <w:color w:val="auto"/>
                <w:sz w:val="21"/>
                <w:szCs w:val="21"/>
                <w:u w:val="none"/>
              </w:rPr>
            </w:pPr>
          </w:p>
        </w:tc>
        <w:tc>
          <w:tcPr>
            <w:tcW w:w="372" w:type="pct"/>
            <w:vMerge w:val="continue"/>
            <w:tcBorders>
              <w:tl2br w:val="nil"/>
              <w:tr2bl w:val="nil"/>
            </w:tcBorders>
            <w:shd w:val="clear" w:color="auto" w:fill="auto"/>
            <w:vAlign w:val="center"/>
          </w:tcPr>
          <w:p w14:paraId="2A18C6D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bCs/>
                <w:i w:val="0"/>
                <w:iCs w:val="0"/>
                <w:color w:val="auto"/>
                <w:sz w:val="21"/>
                <w:szCs w:val="21"/>
                <w:u w:val="none"/>
              </w:rPr>
            </w:pPr>
          </w:p>
        </w:tc>
        <w:tc>
          <w:tcPr>
            <w:tcW w:w="1380" w:type="pct"/>
            <w:vMerge w:val="continue"/>
            <w:tcBorders>
              <w:tl2br w:val="nil"/>
              <w:tr2bl w:val="nil"/>
            </w:tcBorders>
            <w:shd w:val="clear" w:color="auto" w:fill="auto"/>
            <w:vAlign w:val="center"/>
          </w:tcPr>
          <w:p w14:paraId="3F82E79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bCs/>
                <w:i w:val="0"/>
                <w:iCs w:val="0"/>
                <w:color w:val="auto"/>
                <w:sz w:val="21"/>
                <w:szCs w:val="21"/>
                <w:u w:val="none"/>
              </w:rPr>
            </w:pPr>
          </w:p>
        </w:tc>
        <w:tc>
          <w:tcPr>
            <w:tcW w:w="1440" w:type="pct"/>
            <w:gridSpan w:val="2"/>
            <w:vMerge w:val="continue"/>
            <w:tcBorders>
              <w:tl2br w:val="nil"/>
              <w:tr2bl w:val="nil"/>
            </w:tcBorders>
            <w:shd w:val="clear" w:color="auto" w:fill="auto"/>
            <w:vAlign w:val="center"/>
          </w:tcPr>
          <w:p w14:paraId="23A556B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bCs/>
                <w:i w:val="0"/>
                <w:iCs w:val="0"/>
                <w:color w:val="auto"/>
                <w:sz w:val="21"/>
                <w:szCs w:val="21"/>
                <w:u w:val="none"/>
              </w:rPr>
            </w:pPr>
          </w:p>
        </w:tc>
        <w:tc>
          <w:tcPr>
            <w:tcW w:w="666" w:type="pct"/>
            <w:tcBorders>
              <w:tl2br w:val="nil"/>
              <w:tr2bl w:val="nil"/>
            </w:tcBorders>
            <w:shd w:val="clear" w:color="auto" w:fill="auto"/>
            <w:vAlign w:val="center"/>
          </w:tcPr>
          <w:p w14:paraId="5EFBAE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工频电场强度（</w:t>
            </w:r>
            <w:r>
              <w:rPr>
                <w:rStyle w:val="100"/>
                <w:rFonts w:hint="default" w:ascii="Times New Roman" w:hAnsi="Times New Roman" w:eastAsia="宋体" w:cs="Times New Roman"/>
                <w:color w:val="auto"/>
                <w:sz w:val="21"/>
                <w:szCs w:val="21"/>
                <w:lang w:val="en-US" w:eastAsia="zh-CN" w:bidi="ar"/>
              </w:rPr>
              <w:t>V/m</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623" w:type="pct"/>
            <w:tcBorders>
              <w:tl2br w:val="nil"/>
              <w:tr2bl w:val="nil"/>
            </w:tcBorders>
            <w:shd w:val="clear" w:color="auto" w:fill="auto"/>
            <w:vAlign w:val="center"/>
          </w:tcPr>
          <w:p w14:paraId="5449827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工频磁感应强度（</w:t>
            </w:r>
            <w:r>
              <w:rPr>
                <w:rStyle w:val="100"/>
                <w:rFonts w:hint="default" w:ascii="Times New Roman" w:hAnsi="Times New Roman" w:eastAsia="宋体" w:cs="Times New Roman"/>
                <w:color w:val="auto"/>
                <w:sz w:val="21"/>
                <w:szCs w:val="21"/>
                <w:lang w:val="en-US" w:eastAsia="zh-CN" w:bidi="ar"/>
              </w:rPr>
              <w:t>μT</w:t>
            </w:r>
            <w:r>
              <w:rPr>
                <w:rFonts w:hint="default" w:ascii="Times New Roman" w:hAnsi="Times New Roman" w:eastAsia="宋体" w:cs="Times New Roman"/>
                <w:b/>
                <w:bCs/>
                <w:i w:val="0"/>
                <w:iCs w:val="0"/>
                <w:color w:val="auto"/>
                <w:kern w:val="0"/>
                <w:sz w:val="21"/>
                <w:szCs w:val="21"/>
                <w:u w:val="none"/>
                <w:lang w:val="en-US" w:eastAsia="zh-CN" w:bidi="ar"/>
              </w:rPr>
              <w:t>）</w:t>
            </w:r>
          </w:p>
        </w:tc>
      </w:tr>
      <w:tr w14:paraId="577CC5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28FCEC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六合村居民点</w:t>
            </w:r>
          </w:p>
        </w:tc>
        <w:tc>
          <w:tcPr>
            <w:tcW w:w="372" w:type="pct"/>
            <w:vMerge w:val="restart"/>
            <w:tcBorders>
              <w:tl2br w:val="nil"/>
              <w:tr2bl w:val="nil"/>
            </w:tcBorders>
            <w:shd w:val="clear" w:color="auto" w:fill="auto"/>
            <w:vAlign w:val="center"/>
          </w:tcPr>
          <w:p w14:paraId="002D3B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居民楼</w:t>
            </w:r>
          </w:p>
        </w:tc>
        <w:tc>
          <w:tcPr>
            <w:tcW w:w="1380" w:type="pct"/>
            <w:vMerge w:val="restart"/>
            <w:tcBorders>
              <w:tl2br w:val="nil"/>
              <w:tr2bl w:val="nil"/>
            </w:tcBorders>
            <w:shd w:val="clear" w:color="auto" w:fill="auto"/>
            <w:vAlign w:val="center"/>
          </w:tcPr>
          <w:p w14:paraId="575950A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线路塔基N</w:t>
            </w:r>
            <w:r>
              <w:rPr>
                <w:rFonts w:hint="eastAsia" w:ascii="Times New Roman" w:hAnsi="Times New Roman"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~N</w:t>
            </w:r>
            <w:r>
              <w:rPr>
                <w:rFonts w:hint="eastAsia" w:ascii="Times New Roman" w:hAnsi="Times New Roman"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之间六合村2F居民房，北侧22m（与边导线地面投影水平距离为13.7m）</w:t>
            </w:r>
          </w:p>
        </w:tc>
        <w:tc>
          <w:tcPr>
            <w:tcW w:w="838" w:type="pct"/>
            <w:vMerge w:val="restart"/>
            <w:tcBorders>
              <w:tl2br w:val="nil"/>
              <w:tr2bl w:val="nil"/>
            </w:tcBorders>
            <w:shd w:val="clear" w:color="auto" w:fill="auto"/>
            <w:vAlign w:val="center"/>
          </w:tcPr>
          <w:p w14:paraId="2DC7D8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一层（离地1.5m）</w:t>
            </w:r>
          </w:p>
        </w:tc>
        <w:tc>
          <w:tcPr>
            <w:tcW w:w="601" w:type="pct"/>
            <w:tcBorders>
              <w:tl2br w:val="nil"/>
              <w:tr2bl w:val="nil"/>
            </w:tcBorders>
            <w:shd w:val="clear" w:color="auto" w:fill="auto"/>
            <w:vAlign w:val="center"/>
          </w:tcPr>
          <w:p w14:paraId="2A806E4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07547E3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24.62</w:t>
            </w:r>
          </w:p>
        </w:tc>
        <w:tc>
          <w:tcPr>
            <w:tcW w:w="623" w:type="pct"/>
            <w:tcBorders>
              <w:tl2br w:val="nil"/>
              <w:tr2bl w:val="nil"/>
            </w:tcBorders>
            <w:shd w:val="clear" w:color="auto" w:fill="auto"/>
            <w:vAlign w:val="center"/>
          </w:tcPr>
          <w:p w14:paraId="158268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w:t>
            </w:r>
          </w:p>
        </w:tc>
      </w:tr>
      <w:tr w14:paraId="6D2DB4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638431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700DECF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3D4D46C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01D5B88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643B0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7107D1D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927</w:t>
            </w:r>
          </w:p>
        </w:tc>
        <w:tc>
          <w:tcPr>
            <w:tcW w:w="623" w:type="pct"/>
            <w:tcBorders>
              <w:tl2br w:val="nil"/>
              <w:tr2bl w:val="nil"/>
            </w:tcBorders>
            <w:shd w:val="clear" w:color="auto" w:fill="auto"/>
            <w:vAlign w:val="center"/>
          </w:tcPr>
          <w:p w14:paraId="6CE0089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5.5798</w:t>
            </w:r>
          </w:p>
        </w:tc>
      </w:tr>
      <w:tr w14:paraId="64332D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198714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BC9F73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1649F7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B5AD26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5FFC2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7685EC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927.327</w:t>
            </w:r>
          </w:p>
        </w:tc>
        <w:tc>
          <w:tcPr>
            <w:tcW w:w="623" w:type="pct"/>
            <w:tcBorders>
              <w:tl2br w:val="nil"/>
              <w:tr2bl w:val="nil"/>
            </w:tcBorders>
            <w:shd w:val="clear" w:color="auto" w:fill="auto"/>
            <w:vAlign w:val="center"/>
          </w:tcPr>
          <w:p w14:paraId="1C815D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5.581</w:t>
            </w:r>
          </w:p>
        </w:tc>
      </w:tr>
      <w:tr w14:paraId="3539A4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FF4A37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4BB401E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59BA83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02E7173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二层（离地4.5m）</w:t>
            </w:r>
          </w:p>
        </w:tc>
        <w:tc>
          <w:tcPr>
            <w:tcW w:w="601" w:type="pct"/>
            <w:tcBorders>
              <w:tl2br w:val="nil"/>
              <w:tr2bl w:val="nil"/>
            </w:tcBorders>
            <w:shd w:val="clear" w:color="auto" w:fill="auto"/>
            <w:vAlign w:val="center"/>
          </w:tcPr>
          <w:p w14:paraId="02C0FAE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4133BE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24.62</w:t>
            </w:r>
          </w:p>
        </w:tc>
        <w:tc>
          <w:tcPr>
            <w:tcW w:w="623" w:type="pct"/>
            <w:tcBorders>
              <w:tl2br w:val="nil"/>
              <w:tr2bl w:val="nil"/>
            </w:tcBorders>
            <w:shd w:val="clear" w:color="auto" w:fill="auto"/>
            <w:vAlign w:val="center"/>
          </w:tcPr>
          <w:p w14:paraId="7349B1B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w:t>
            </w:r>
          </w:p>
        </w:tc>
      </w:tr>
      <w:tr w14:paraId="2461F9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5807F75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B86746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7F85B14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F3CF92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2B51E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454C42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931</w:t>
            </w:r>
          </w:p>
        </w:tc>
        <w:tc>
          <w:tcPr>
            <w:tcW w:w="623" w:type="pct"/>
            <w:tcBorders>
              <w:tl2br w:val="nil"/>
              <w:tr2bl w:val="nil"/>
            </w:tcBorders>
            <w:shd w:val="clear" w:color="auto" w:fill="auto"/>
            <w:vAlign w:val="center"/>
          </w:tcPr>
          <w:p w14:paraId="7B93E8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6.3493</w:t>
            </w:r>
          </w:p>
        </w:tc>
      </w:tr>
      <w:tr w14:paraId="2FE5B3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7FD66D5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3CCF11F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742C56E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2208E98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C41FE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61B4B2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931.325</w:t>
            </w:r>
          </w:p>
        </w:tc>
        <w:tc>
          <w:tcPr>
            <w:tcW w:w="623" w:type="pct"/>
            <w:tcBorders>
              <w:tl2br w:val="nil"/>
              <w:tr2bl w:val="nil"/>
            </w:tcBorders>
            <w:shd w:val="clear" w:color="auto" w:fill="auto"/>
            <w:vAlign w:val="center"/>
          </w:tcPr>
          <w:p w14:paraId="1FE2A5C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6.350</w:t>
            </w:r>
          </w:p>
        </w:tc>
      </w:tr>
      <w:tr w14:paraId="09E054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1B4B07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石灰窑村居民点</w:t>
            </w:r>
          </w:p>
        </w:tc>
        <w:tc>
          <w:tcPr>
            <w:tcW w:w="372" w:type="pct"/>
            <w:vMerge w:val="restart"/>
            <w:tcBorders>
              <w:tl2br w:val="nil"/>
              <w:tr2bl w:val="nil"/>
            </w:tcBorders>
            <w:shd w:val="clear" w:color="auto" w:fill="auto"/>
            <w:noWrap/>
            <w:vAlign w:val="center"/>
          </w:tcPr>
          <w:p w14:paraId="6E2B7FD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居民楼</w:t>
            </w:r>
          </w:p>
        </w:tc>
        <w:tc>
          <w:tcPr>
            <w:tcW w:w="1380" w:type="pct"/>
            <w:vMerge w:val="restart"/>
            <w:tcBorders>
              <w:tl2br w:val="nil"/>
              <w:tr2bl w:val="nil"/>
            </w:tcBorders>
            <w:shd w:val="clear" w:color="auto" w:fill="auto"/>
            <w:vAlign w:val="center"/>
          </w:tcPr>
          <w:p w14:paraId="102718E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塔基N11~N12之间石灰窑散户2F居民房，</w:t>
            </w:r>
            <w:r>
              <w:rPr>
                <w:rFonts w:hint="eastAsia" w:ascii="Times New Roman" w:hAnsi="Times New Roman" w:cs="Times New Roman"/>
                <w:i w:val="0"/>
                <w:iCs w:val="0"/>
                <w:color w:val="auto"/>
                <w:kern w:val="0"/>
                <w:sz w:val="21"/>
                <w:szCs w:val="21"/>
                <w:u w:val="none"/>
                <w:lang w:val="en-US" w:eastAsia="zh-CN" w:bidi="ar"/>
              </w:rPr>
              <w:t>东</w:t>
            </w:r>
            <w:r>
              <w:rPr>
                <w:rFonts w:hint="default" w:ascii="Times New Roman" w:hAnsi="Times New Roman" w:eastAsia="宋体" w:cs="Times New Roman"/>
                <w:i w:val="0"/>
                <w:iCs w:val="0"/>
                <w:color w:val="auto"/>
                <w:kern w:val="0"/>
                <w:sz w:val="21"/>
                <w:szCs w:val="21"/>
                <w:u w:val="none"/>
                <w:lang w:val="en-US" w:eastAsia="zh-CN" w:bidi="ar"/>
              </w:rPr>
              <w:t>侧30m（与边导线地面投影水平距离为21.7m）</w:t>
            </w:r>
          </w:p>
        </w:tc>
        <w:tc>
          <w:tcPr>
            <w:tcW w:w="838" w:type="pct"/>
            <w:vMerge w:val="restart"/>
            <w:tcBorders>
              <w:tl2br w:val="nil"/>
              <w:tr2bl w:val="nil"/>
            </w:tcBorders>
            <w:shd w:val="clear" w:color="auto" w:fill="auto"/>
            <w:vAlign w:val="center"/>
          </w:tcPr>
          <w:p w14:paraId="051FE8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一层（离地1.5m）</w:t>
            </w:r>
          </w:p>
        </w:tc>
        <w:tc>
          <w:tcPr>
            <w:tcW w:w="601" w:type="pct"/>
            <w:tcBorders>
              <w:tl2br w:val="nil"/>
              <w:tr2bl w:val="nil"/>
            </w:tcBorders>
            <w:shd w:val="clear" w:color="auto" w:fill="auto"/>
            <w:vAlign w:val="center"/>
          </w:tcPr>
          <w:p w14:paraId="2812C1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3483BD0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15.83</w:t>
            </w:r>
          </w:p>
        </w:tc>
        <w:tc>
          <w:tcPr>
            <w:tcW w:w="623" w:type="pct"/>
            <w:tcBorders>
              <w:tl2br w:val="nil"/>
              <w:tr2bl w:val="nil"/>
            </w:tcBorders>
            <w:shd w:val="clear" w:color="auto" w:fill="auto"/>
            <w:vAlign w:val="center"/>
          </w:tcPr>
          <w:p w14:paraId="1413313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28AEFE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771429A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noWrap/>
            <w:vAlign w:val="center"/>
          </w:tcPr>
          <w:p w14:paraId="1E27641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6325E9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242F64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4F329B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024DCBE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473.4</w:t>
            </w:r>
          </w:p>
        </w:tc>
        <w:tc>
          <w:tcPr>
            <w:tcW w:w="623" w:type="pct"/>
            <w:tcBorders>
              <w:tl2br w:val="nil"/>
              <w:tr2bl w:val="nil"/>
            </w:tcBorders>
            <w:shd w:val="clear" w:color="auto" w:fill="auto"/>
            <w:vAlign w:val="center"/>
          </w:tcPr>
          <w:p w14:paraId="7433C43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3.404</w:t>
            </w:r>
          </w:p>
        </w:tc>
      </w:tr>
      <w:tr w14:paraId="36096F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59293B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noWrap/>
            <w:vAlign w:val="center"/>
          </w:tcPr>
          <w:p w14:paraId="7300F39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4B9425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610584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1BD886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6E3996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473.665</w:t>
            </w:r>
          </w:p>
        </w:tc>
        <w:tc>
          <w:tcPr>
            <w:tcW w:w="623" w:type="pct"/>
            <w:tcBorders>
              <w:tl2br w:val="nil"/>
              <w:tr2bl w:val="nil"/>
            </w:tcBorders>
            <w:shd w:val="clear" w:color="auto" w:fill="auto"/>
            <w:vAlign w:val="center"/>
          </w:tcPr>
          <w:p w14:paraId="23D74F3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3.405</w:t>
            </w:r>
          </w:p>
        </w:tc>
      </w:tr>
      <w:tr w14:paraId="493223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728E3B4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noWrap/>
            <w:vAlign w:val="center"/>
          </w:tcPr>
          <w:p w14:paraId="10C56F9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5E35A8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79BBDB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一层顶（离地4.5m）</w:t>
            </w:r>
          </w:p>
        </w:tc>
        <w:tc>
          <w:tcPr>
            <w:tcW w:w="601" w:type="pct"/>
            <w:tcBorders>
              <w:tl2br w:val="nil"/>
              <w:tr2bl w:val="nil"/>
            </w:tcBorders>
            <w:shd w:val="clear" w:color="auto" w:fill="auto"/>
            <w:vAlign w:val="center"/>
          </w:tcPr>
          <w:p w14:paraId="71DE5B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48F235D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15.83</w:t>
            </w:r>
          </w:p>
        </w:tc>
        <w:tc>
          <w:tcPr>
            <w:tcW w:w="623" w:type="pct"/>
            <w:tcBorders>
              <w:tl2br w:val="nil"/>
              <w:tr2bl w:val="nil"/>
            </w:tcBorders>
            <w:shd w:val="clear" w:color="auto" w:fill="auto"/>
            <w:vAlign w:val="center"/>
          </w:tcPr>
          <w:p w14:paraId="2F6771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621E17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6F97042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noWrap/>
            <w:vAlign w:val="center"/>
          </w:tcPr>
          <w:p w14:paraId="7FF2D98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3EDA30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15F9BBF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76C252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575B058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469.4</w:t>
            </w:r>
          </w:p>
        </w:tc>
        <w:tc>
          <w:tcPr>
            <w:tcW w:w="623" w:type="pct"/>
            <w:tcBorders>
              <w:tl2br w:val="nil"/>
              <w:tr2bl w:val="nil"/>
            </w:tcBorders>
            <w:shd w:val="clear" w:color="auto" w:fill="auto"/>
            <w:vAlign w:val="center"/>
          </w:tcPr>
          <w:p w14:paraId="3CA46DC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3.6637</w:t>
            </w:r>
          </w:p>
        </w:tc>
      </w:tr>
      <w:tr w14:paraId="683C80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B12132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noWrap/>
            <w:vAlign w:val="center"/>
          </w:tcPr>
          <w:p w14:paraId="5110FFA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57B37A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5C9508A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62F6F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4D8926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469.667</w:t>
            </w:r>
          </w:p>
        </w:tc>
        <w:tc>
          <w:tcPr>
            <w:tcW w:w="623" w:type="pct"/>
            <w:tcBorders>
              <w:tl2br w:val="nil"/>
              <w:tr2bl w:val="nil"/>
            </w:tcBorders>
            <w:shd w:val="clear" w:color="auto" w:fill="auto"/>
            <w:vAlign w:val="center"/>
          </w:tcPr>
          <w:p w14:paraId="2EBF8B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3.664</w:t>
            </w:r>
          </w:p>
        </w:tc>
      </w:tr>
      <w:tr w14:paraId="474D98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346B63B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隧道工棚</w:t>
            </w:r>
          </w:p>
        </w:tc>
        <w:tc>
          <w:tcPr>
            <w:tcW w:w="372" w:type="pct"/>
            <w:vMerge w:val="restart"/>
            <w:tcBorders>
              <w:tl2br w:val="nil"/>
              <w:tr2bl w:val="nil"/>
            </w:tcBorders>
            <w:shd w:val="clear" w:color="auto" w:fill="auto"/>
            <w:vAlign w:val="center"/>
          </w:tcPr>
          <w:p w14:paraId="627905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临时工棚</w:t>
            </w:r>
          </w:p>
        </w:tc>
        <w:tc>
          <w:tcPr>
            <w:tcW w:w="1380" w:type="pct"/>
            <w:vMerge w:val="restart"/>
            <w:tcBorders>
              <w:tl2br w:val="nil"/>
              <w:tr2bl w:val="nil"/>
            </w:tcBorders>
            <w:shd w:val="clear" w:color="auto" w:fill="auto"/>
            <w:vAlign w:val="center"/>
          </w:tcPr>
          <w:p w14:paraId="2EAA1A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塔基N23~N24之间隧道工棚，2F，南侧32m（与边导线地面投影水平距离为23.7m）</w:t>
            </w:r>
          </w:p>
        </w:tc>
        <w:tc>
          <w:tcPr>
            <w:tcW w:w="838" w:type="pct"/>
            <w:vMerge w:val="restart"/>
            <w:tcBorders>
              <w:tl2br w:val="nil"/>
              <w:tr2bl w:val="nil"/>
            </w:tcBorders>
            <w:shd w:val="clear" w:color="auto" w:fill="auto"/>
            <w:vAlign w:val="center"/>
          </w:tcPr>
          <w:p w14:paraId="140DD0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一层（离地4.5m）</w:t>
            </w:r>
          </w:p>
        </w:tc>
        <w:tc>
          <w:tcPr>
            <w:tcW w:w="601" w:type="pct"/>
            <w:tcBorders>
              <w:tl2br w:val="nil"/>
              <w:tr2bl w:val="nil"/>
            </w:tcBorders>
            <w:shd w:val="clear" w:color="auto" w:fill="auto"/>
            <w:vAlign w:val="center"/>
          </w:tcPr>
          <w:p w14:paraId="0A1A48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245406A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16.62</w:t>
            </w:r>
          </w:p>
        </w:tc>
        <w:tc>
          <w:tcPr>
            <w:tcW w:w="623" w:type="pct"/>
            <w:tcBorders>
              <w:tl2br w:val="nil"/>
              <w:tr2bl w:val="nil"/>
            </w:tcBorders>
            <w:shd w:val="clear" w:color="auto" w:fill="auto"/>
            <w:vAlign w:val="center"/>
          </w:tcPr>
          <w:p w14:paraId="12A5353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6D37ED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B37189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E1C09F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BF67C4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3F4061B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7F76E3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71699C49">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405.3</w:t>
            </w:r>
          </w:p>
        </w:tc>
        <w:tc>
          <w:tcPr>
            <w:tcW w:w="623" w:type="pct"/>
            <w:tcBorders>
              <w:tl2br w:val="nil"/>
              <w:tr2bl w:val="nil"/>
            </w:tcBorders>
            <w:shd w:val="clear" w:color="auto" w:fill="auto"/>
            <w:vAlign w:val="center"/>
          </w:tcPr>
          <w:p w14:paraId="669F6C0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3.0474</w:t>
            </w:r>
          </w:p>
        </w:tc>
      </w:tr>
      <w:tr w14:paraId="375BBB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454ED8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72AF0E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35AA61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4FD8832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57F960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1FF960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405.641</w:t>
            </w:r>
          </w:p>
        </w:tc>
        <w:tc>
          <w:tcPr>
            <w:tcW w:w="623" w:type="pct"/>
            <w:tcBorders>
              <w:tl2br w:val="nil"/>
              <w:tr2bl w:val="nil"/>
            </w:tcBorders>
            <w:shd w:val="clear" w:color="auto" w:fill="auto"/>
            <w:vAlign w:val="center"/>
          </w:tcPr>
          <w:p w14:paraId="244D97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3.048</w:t>
            </w:r>
          </w:p>
        </w:tc>
      </w:tr>
      <w:tr w14:paraId="6E8D1D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1671B6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676D425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3C810B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0C2C38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二层（离地7.5m）</w:t>
            </w:r>
          </w:p>
        </w:tc>
        <w:tc>
          <w:tcPr>
            <w:tcW w:w="601" w:type="pct"/>
            <w:tcBorders>
              <w:tl2br w:val="nil"/>
              <w:tr2bl w:val="nil"/>
            </w:tcBorders>
            <w:shd w:val="clear" w:color="auto" w:fill="auto"/>
            <w:vAlign w:val="center"/>
          </w:tcPr>
          <w:p w14:paraId="5A0DE0B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16B0038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16.62</w:t>
            </w:r>
          </w:p>
        </w:tc>
        <w:tc>
          <w:tcPr>
            <w:tcW w:w="623" w:type="pct"/>
            <w:tcBorders>
              <w:tl2br w:val="nil"/>
              <w:tr2bl w:val="nil"/>
            </w:tcBorders>
            <w:shd w:val="clear" w:color="auto" w:fill="auto"/>
            <w:vAlign w:val="center"/>
          </w:tcPr>
          <w:p w14:paraId="1F5779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2DBBCE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6382BC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FC22AB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4BD97C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13CDF88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462D00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7C04101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401.7</w:t>
            </w:r>
          </w:p>
        </w:tc>
        <w:tc>
          <w:tcPr>
            <w:tcW w:w="623" w:type="pct"/>
            <w:tcBorders>
              <w:tl2br w:val="nil"/>
              <w:tr2bl w:val="nil"/>
            </w:tcBorders>
            <w:shd w:val="clear" w:color="auto" w:fill="auto"/>
            <w:vAlign w:val="center"/>
          </w:tcPr>
          <w:p w14:paraId="0AAC0CE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3.2523</w:t>
            </w:r>
          </w:p>
        </w:tc>
      </w:tr>
      <w:tr w14:paraId="2C0B37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0CB5A1D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209AA48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5A020D1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62D41D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21F22B1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02B9D1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402.044</w:t>
            </w:r>
          </w:p>
        </w:tc>
        <w:tc>
          <w:tcPr>
            <w:tcW w:w="623" w:type="pct"/>
            <w:tcBorders>
              <w:tl2br w:val="nil"/>
              <w:tr2bl w:val="nil"/>
            </w:tcBorders>
            <w:shd w:val="clear" w:color="auto" w:fill="auto"/>
            <w:vAlign w:val="center"/>
          </w:tcPr>
          <w:p w14:paraId="679DCEA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3.253</w:t>
            </w:r>
          </w:p>
        </w:tc>
      </w:tr>
      <w:tr w14:paraId="280C08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0B2B3A8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叶家冲村居民点</w:t>
            </w:r>
          </w:p>
        </w:tc>
        <w:tc>
          <w:tcPr>
            <w:tcW w:w="372" w:type="pct"/>
            <w:vMerge w:val="restart"/>
            <w:tcBorders>
              <w:tl2br w:val="nil"/>
              <w:tr2bl w:val="nil"/>
            </w:tcBorders>
            <w:shd w:val="clear" w:color="auto" w:fill="auto"/>
            <w:vAlign w:val="center"/>
          </w:tcPr>
          <w:p w14:paraId="74B42E1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居民楼</w:t>
            </w:r>
          </w:p>
        </w:tc>
        <w:tc>
          <w:tcPr>
            <w:tcW w:w="1380" w:type="pct"/>
            <w:vMerge w:val="restart"/>
            <w:tcBorders>
              <w:tl2br w:val="nil"/>
              <w:tr2bl w:val="nil"/>
            </w:tcBorders>
            <w:shd w:val="clear" w:color="auto" w:fill="auto"/>
            <w:vAlign w:val="center"/>
          </w:tcPr>
          <w:p w14:paraId="547464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塔基N29~N30之间叶家冲散户2F居民房，东侧40m（与边导线地面投影水平距离为31.7m）</w:t>
            </w:r>
          </w:p>
        </w:tc>
        <w:tc>
          <w:tcPr>
            <w:tcW w:w="838" w:type="pct"/>
            <w:vMerge w:val="restart"/>
            <w:tcBorders>
              <w:tl2br w:val="nil"/>
              <w:tr2bl w:val="nil"/>
            </w:tcBorders>
            <w:shd w:val="clear" w:color="auto" w:fill="auto"/>
            <w:vAlign w:val="center"/>
          </w:tcPr>
          <w:p w14:paraId="57B7F87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一层（离地1.5m）</w:t>
            </w:r>
          </w:p>
        </w:tc>
        <w:tc>
          <w:tcPr>
            <w:tcW w:w="601" w:type="pct"/>
            <w:tcBorders>
              <w:tl2br w:val="nil"/>
              <w:tr2bl w:val="nil"/>
            </w:tcBorders>
            <w:shd w:val="clear" w:color="auto" w:fill="auto"/>
            <w:vAlign w:val="center"/>
          </w:tcPr>
          <w:p w14:paraId="07E38A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22EFE4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16.06</w:t>
            </w:r>
          </w:p>
        </w:tc>
        <w:tc>
          <w:tcPr>
            <w:tcW w:w="623" w:type="pct"/>
            <w:tcBorders>
              <w:tl2br w:val="nil"/>
              <w:tr2bl w:val="nil"/>
            </w:tcBorders>
            <w:shd w:val="clear" w:color="auto" w:fill="auto"/>
            <w:vAlign w:val="center"/>
          </w:tcPr>
          <w:p w14:paraId="7CBC61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25347B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713558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341904B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03A18F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56B4E5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13AA1BF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23F8672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231.3</w:t>
            </w:r>
          </w:p>
        </w:tc>
        <w:tc>
          <w:tcPr>
            <w:tcW w:w="623" w:type="pct"/>
            <w:tcBorders>
              <w:tl2br w:val="nil"/>
              <w:tr2bl w:val="nil"/>
            </w:tcBorders>
            <w:shd w:val="clear" w:color="auto" w:fill="auto"/>
            <w:vAlign w:val="center"/>
          </w:tcPr>
          <w:p w14:paraId="53A5FFD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2.0489</w:t>
            </w:r>
          </w:p>
        </w:tc>
      </w:tr>
      <w:tr w14:paraId="42B879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BE8A88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7FD8740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0A5B38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242AAE0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69CE6C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227573A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231.857</w:t>
            </w:r>
          </w:p>
        </w:tc>
        <w:tc>
          <w:tcPr>
            <w:tcW w:w="623" w:type="pct"/>
            <w:tcBorders>
              <w:tl2br w:val="nil"/>
              <w:tr2bl w:val="nil"/>
            </w:tcBorders>
            <w:shd w:val="clear" w:color="auto" w:fill="auto"/>
            <w:vAlign w:val="center"/>
          </w:tcPr>
          <w:p w14:paraId="3B42CA3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2.050</w:t>
            </w:r>
          </w:p>
        </w:tc>
      </w:tr>
      <w:tr w14:paraId="0BAE1D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CF2F7F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7749471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777ACA8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5D909E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二层（离地4.5m）</w:t>
            </w:r>
          </w:p>
        </w:tc>
        <w:tc>
          <w:tcPr>
            <w:tcW w:w="601" w:type="pct"/>
            <w:tcBorders>
              <w:tl2br w:val="nil"/>
              <w:tr2bl w:val="nil"/>
            </w:tcBorders>
            <w:shd w:val="clear" w:color="auto" w:fill="auto"/>
            <w:vAlign w:val="center"/>
          </w:tcPr>
          <w:p w14:paraId="60B016B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2DCF858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16.06</w:t>
            </w:r>
          </w:p>
        </w:tc>
        <w:tc>
          <w:tcPr>
            <w:tcW w:w="623" w:type="pct"/>
            <w:tcBorders>
              <w:tl2br w:val="nil"/>
              <w:tr2bl w:val="nil"/>
            </w:tcBorders>
            <w:shd w:val="clear" w:color="auto" w:fill="auto"/>
            <w:vAlign w:val="center"/>
          </w:tcPr>
          <w:p w14:paraId="5D6054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50532C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2C7AE6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495422E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7EEB63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42B86C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6F38C9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5D069F4D">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229.5</w:t>
            </w:r>
          </w:p>
        </w:tc>
        <w:tc>
          <w:tcPr>
            <w:tcW w:w="623" w:type="pct"/>
            <w:tcBorders>
              <w:tl2br w:val="nil"/>
              <w:tr2bl w:val="nil"/>
            </w:tcBorders>
            <w:shd w:val="clear" w:color="auto" w:fill="auto"/>
            <w:vAlign w:val="center"/>
          </w:tcPr>
          <w:p w14:paraId="12245F9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2.1374</w:t>
            </w:r>
          </w:p>
        </w:tc>
      </w:tr>
      <w:tr w14:paraId="28C9E5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E90D24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4C6112D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7DDA942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E1FB20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21CBB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5C6061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230.061</w:t>
            </w:r>
          </w:p>
        </w:tc>
        <w:tc>
          <w:tcPr>
            <w:tcW w:w="623" w:type="pct"/>
            <w:tcBorders>
              <w:tl2br w:val="nil"/>
              <w:tr2bl w:val="nil"/>
            </w:tcBorders>
            <w:shd w:val="clear" w:color="auto" w:fill="auto"/>
            <w:vAlign w:val="center"/>
          </w:tcPr>
          <w:p w14:paraId="701F5B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2.139</w:t>
            </w:r>
          </w:p>
        </w:tc>
      </w:tr>
      <w:tr w14:paraId="4D7173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76CD1B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中梁子村居民点</w:t>
            </w:r>
          </w:p>
        </w:tc>
        <w:tc>
          <w:tcPr>
            <w:tcW w:w="372" w:type="pct"/>
            <w:vMerge w:val="restart"/>
            <w:tcBorders>
              <w:tl2br w:val="nil"/>
              <w:tr2bl w:val="nil"/>
            </w:tcBorders>
            <w:shd w:val="clear" w:color="auto" w:fill="auto"/>
            <w:vAlign w:val="center"/>
          </w:tcPr>
          <w:p w14:paraId="7AA541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居民楼</w:t>
            </w:r>
          </w:p>
        </w:tc>
        <w:tc>
          <w:tcPr>
            <w:tcW w:w="1380" w:type="pct"/>
            <w:vMerge w:val="restart"/>
            <w:tcBorders>
              <w:tl2br w:val="nil"/>
              <w:tr2bl w:val="nil"/>
            </w:tcBorders>
            <w:shd w:val="clear" w:color="auto" w:fill="auto"/>
            <w:vAlign w:val="center"/>
          </w:tcPr>
          <w:p w14:paraId="3EB7C3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塔基N50~N51之间中梁子散户2F居民房，东侧30m（与边导线地面投影水平距离为21.7m）</w:t>
            </w:r>
          </w:p>
        </w:tc>
        <w:tc>
          <w:tcPr>
            <w:tcW w:w="838" w:type="pct"/>
            <w:vMerge w:val="restart"/>
            <w:tcBorders>
              <w:tl2br w:val="nil"/>
              <w:tr2bl w:val="nil"/>
            </w:tcBorders>
            <w:shd w:val="clear" w:color="auto" w:fill="auto"/>
            <w:vAlign w:val="center"/>
          </w:tcPr>
          <w:p w14:paraId="43E1BE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一层（离地4.5m）</w:t>
            </w:r>
          </w:p>
        </w:tc>
        <w:tc>
          <w:tcPr>
            <w:tcW w:w="601" w:type="pct"/>
            <w:tcBorders>
              <w:tl2br w:val="nil"/>
              <w:tr2bl w:val="nil"/>
            </w:tcBorders>
            <w:shd w:val="clear" w:color="auto" w:fill="auto"/>
            <w:vAlign w:val="center"/>
          </w:tcPr>
          <w:p w14:paraId="406C45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13F16A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8.21</w:t>
            </w:r>
          </w:p>
        </w:tc>
        <w:tc>
          <w:tcPr>
            <w:tcW w:w="623" w:type="pct"/>
            <w:tcBorders>
              <w:tl2br w:val="nil"/>
              <w:tr2bl w:val="nil"/>
            </w:tcBorders>
            <w:shd w:val="clear" w:color="auto" w:fill="auto"/>
            <w:vAlign w:val="center"/>
          </w:tcPr>
          <w:p w14:paraId="4BD031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w:t>
            </w:r>
          </w:p>
        </w:tc>
      </w:tr>
      <w:tr w14:paraId="03064C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A8A4CE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A42D6E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7FBA53B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1703071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2F9E84E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5BDE1C9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473.4</w:t>
            </w:r>
          </w:p>
        </w:tc>
        <w:tc>
          <w:tcPr>
            <w:tcW w:w="623" w:type="pct"/>
            <w:tcBorders>
              <w:tl2br w:val="nil"/>
              <w:tr2bl w:val="nil"/>
            </w:tcBorders>
            <w:shd w:val="clear" w:color="auto" w:fill="auto"/>
            <w:vAlign w:val="center"/>
          </w:tcPr>
          <w:p w14:paraId="7F3508CE">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3.6637</w:t>
            </w:r>
          </w:p>
        </w:tc>
      </w:tr>
      <w:tr w14:paraId="13A7A6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6CCE542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04123E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5BF1CD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4E386DA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64A9AD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022FE8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473.471</w:t>
            </w:r>
          </w:p>
        </w:tc>
        <w:tc>
          <w:tcPr>
            <w:tcW w:w="623" w:type="pct"/>
            <w:tcBorders>
              <w:tl2br w:val="nil"/>
              <w:tr2bl w:val="nil"/>
            </w:tcBorders>
            <w:shd w:val="clear" w:color="auto" w:fill="auto"/>
            <w:vAlign w:val="center"/>
          </w:tcPr>
          <w:p w14:paraId="4F17A7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3.664</w:t>
            </w:r>
          </w:p>
        </w:tc>
      </w:tr>
      <w:tr w14:paraId="62CF4E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56040D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29AB3C0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3F70906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59AF1CC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二层（离地4.5m）</w:t>
            </w:r>
          </w:p>
        </w:tc>
        <w:tc>
          <w:tcPr>
            <w:tcW w:w="601" w:type="pct"/>
            <w:tcBorders>
              <w:tl2br w:val="nil"/>
              <w:tr2bl w:val="nil"/>
            </w:tcBorders>
            <w:shd w:val="clear" w:color="auto" w:fill="auto"/>
            <w:vAlign w:val="center"/>
          </w:tcPr>
          <w:p w14:paraId="6FD9E3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20341F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8.21</w:t>
            </w:r>
          </w:p>
        </w:tc>
        <w:tc>
          <w:tcPr>
            <w:tcW w:w="623" w:type="pct"/>
            <w:tcBorders>
              <w:tl2br w:val="nil"/>
              <w:tr2bl w:val="nil"/>
            </w:tcBorders>
            <w:shd w:val="clear" w:color="auto" w:fill="auto"/>
            <w:vAlign w:val="center"/>
          </w:tcPr>
          <w:p w14:paraId="1386FE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w:t>
            </w:r>
          </w:p>
        </w:tc>
      </w:tr>
      <w:tr w14:paraId="2EB219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EEC17B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7A3965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0D330CF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5453939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5C20B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482A2A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469.4</w:t>
            </w:r>
          </w:p>
        </w:tc>
        <w:tc>
          <w:tcPr>
            <w:tcW w:w="623" w:type="pct"/>
            <w:tcBorders>
              <w:tl2br w:val="nil"/>
              <w:tr2bl w:val="nil"/>
            </w:tcBorders>
            <w:shd w:val="clear" w:color="auto" w:fill="auto"/>
            <w:vAlign w:val="center"/>
          </w:tcPr>
          <w:p w14:paraId="176294E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3.8855</w:t>
            </w:r>
          </w:p>
        </w:tc>
      </w:tr>
      <w:tr w14:paraId="056A32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5A363A9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24716C0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256CE83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382E838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241BFB6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092C894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469.472</w:t>
            </w:r>
          </w:p>
        </w:tc>
        <w:tc>
          <w:tcPr>
            <w:tcW w:w="623" w:type="pct"/>
            <w:tcBorders>
              <w:tl2br w:val="nil"/>
              <w:tr2bl w:val="nil"/>
            </w:tcBorders>
            <w:shd w:val="clear" w:color="auto" w:fill="auto"/>
            <w:vAlign w:val="center"/>
          </w:tcPr>
          <w:p w14:paraId="2781D77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3.886</w:t>
            </w:r>
          </w:p>
        </w:tc>
      </w:tr>
      <w:tr w14:paraId="736491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57532F9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国道停车区用房</w:t>
            </w:r>
          </w:p>
        </w:tc>
        <w:tc>
          <w:tcPr>
            <w:tcW w:w="372" w:type="pct"/>
            <w:vMerge w:val="restart"/>
            <w:tcBorders>
              <w:tl2br w:val="nil"/>
              <w:tr2bl w:val="nil"/>
            </w:tcBorders>
            <w:shd w:val="clear" w:color="auto" w:fill="auto"/>
            <w:vAlign w:val="center"/>
          </w:tcPr>
          <w:p w14:paraId="689987A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临时板房</w:t>
            </w:r>
          </w:p>
        </w:tc>
        <w:tc>
          <w:tcPr>
            <w:tcW w:w="1380" w:type="pct"/>
            <w:vMerge w:val="restart"/>
            <w:tcBorders>
              <w:tl2br w:val="nil"/>
              <w:tr2bl w:val="nil"/>
            </w:tcBorders>
            <w:shd w:val="clear" w:color="auto" w:fill="auto"/>
            <w:vAlign w:val="center"/>
          </w:tcPr>
          <w:p w14:paraId="219C66D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塔基N57~N58之间国道停车区用房，1F，北侧40m（与边导线地面投影水平距离为31.7m）</w:t>
            </w:r>
          </w:p>
        </w:tc>
        <w:tc>
          <w:tcPr>
            <w:tcW w:w="838" w:type="pct"/>
            <w:vMerge w:val="restart"/>
            <w:tcBorders>
              <w:tl2br w:val="nil"/>
              <w:tr2bl w:val="nil"/>
            </w:tcBorders>
            <w:shd w:val="clear" w:color="auto" w:fill="auto"/>
            <w:vAlign w:val="center"/>
          </w:tcPr>
          <w:p w14:paraId="4BF5092F">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一层（离地1.5m）</w:t>
            </w:r>
          </w:p>
        </w:tc>
        <w:tc>
          <w:tcPr>
            <w:tcW w:w="601" w:type="pct"/>
            <w:tcBorders>
              <w:tl2br w:val="nil"/>
              <w:tr2bl w:val="nil"/>
            </w:tcBorders>
            <w:shd w:val="clear" w:color="auto" w:fill="auto"/>
            <w:vAlign w:val="center"/>
          </w:tcPr>
          <w:p w14:paraId="72975A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426836E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15.63</w:t>
            </w:r>
          </w:p>
        </w:tc>
        <w:tc>
          <w:tcPr>
            <w:tcW w:w="623" w:type="pct"/>
            <w:tcBorders>
              <w:tl2br w:val="nil"/>
              <w:tr2bl w:val="nil"/>
            </w:tcBorders>
            <w:shd w:val="clear" w:color="auto" w:fill="auto"/>
            <w:vAlign w:val="center"/>
          </w:tcPr>
          <w:p w14:paraId="7CBD7A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r>
      <w:tr w14:paraId="433EFC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B02884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CD68EF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0DB0626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574E1D7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523EF6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03FF3032">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231.3</w:t>
            </w:r>
          </w:p>
        </w:tc>
        <w:tc>
          <w:tcPr>
            <w:tcW w:w="623" w:type="pct"/>
            <w:tcBorders>
              <w:tl2br w:val="nil"/>
              <w:tr2bl w:val="nil"/>
            </w:tcBorders>
            <w:shd w:val="clear" w:color="auto" w:fill="auto"/>
            <w:vAlign w:val="center"/>
          </w:tcPr>
          <w:p w14:paraId="428806B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2.0489</w:t>
            </w:r>
          </w:p>
        </w:tc>
      </w:tr>
      <w:tr w14:paraId="008399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02236CB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FFB595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D27DB0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4DCBD26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F66B6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189862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231.827</w:t>
            </w:r>
          </w:p>
        </w:tc>
        <w:tc>
          <w:tcPr>
            <w:tcW w:w="623" w:type="pct"/>
            <w:tcBorders>
              <w:tl2br w:val="nil"/>
              <w:tr2bl w:val="nil"/>
            </w:tcBorders>
            <w:shd w:val="clear" w:color="auto" w:fill="auto"/>
            <w:vAlign w:val="center"/>
          </w:tcPr>
          <w:p w14:paraId="6F6B50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2.050</w:t>
            </w:r>
          </w:p>
        </w:tc>
      </w:tr>
      <w:tr w14:paraId="51A9CF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restart"/>
            <w:tcBorders>
              <w:tl2br w:val="nil"/>
              <w:tr2bl w:val="nil"/>
            </w:tcBorders>
            <w:shd w:val="clear" w:color="auto" w:fill="auto"/>
            <w:vAlign w:val="center"/>
          </w:tcPr>
          <w:p w14:paraId="27C907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山背后村居民点</w:t>
            </w:r>
          </w:p>
        </w:tc>
        <w:tc>
          <w:tcPr>
            <w:tcW w:w="372" w:type="pct"/>
            <w:vMerge w:val="restart"/>
            <w:tcBorders>
              <w:tl2br w:val="nil"/>
              <w:tr2bl w:val="nil"/>
            </w:tcBorders>
            <w:shd w:val="clear" w:color="auto" w:fill="auto"/>
            <w:vAlign w:val="center"/>
          </w:tcPr>
          <w:p w14:paraId="5F7994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居民楼</w:t>
            </w:r>
          </w:p>
        </w:tc>
        <w:tc>
          <w:tcPr>
            <w:tcW w:w="1380" w:type="pct"/>
            <w:vMerge w:val="restart"/>
            <w:tcBorders>
              <w:tl2br w:val="nil"/>
              <w:tr2bl w:val="nil"/>
            </w:tcBorders>
            <w:shd w:val="clear" w:color="auto" w:fill="auto"/>
            <w:vAlign w:val="center"/>
          </w:tcPr>
          <w:p w14:paraId="1557B5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塔基N57~N58之间山背后村3F散户，南侧16m（与边导线地面投影水平距离为7.7m）</w:t>
            </w:r>
          </w:p>
        </w:tc>
        <w:tc>
          <w:tcPr>
            <w:tcW w:w="838" w:type="pct"/>
            <w:vMerge w:val="restart"/>
            <w:tcBorders>
              <w:tl2br w:val="nil"/>
              <w:tr2bl w:val="nil"/>
            </w:tcBorders>
            <w:shd w:val="clear" w:color="auto" w:fill="auto"/>
            <w:vAlign w:val="center"/>
          </w:tcPr>
          <w:p w14:paraId="259C0D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一层（离地1.5m）</w:t>
            </w:r>
          </w:p>
        </w:tc>
        <w:tc>
          <w:tcPr>
            <w:tcW w:w="601" w:type="pct"/>
            <w:tcBorders>
              <w:tl2br w:val="nil"/>
              <w:tr2bl w:val="nil"/>
            </w:tcBorders>
            <w:shd w:val="clear" w:color="auto" w:fill="auto"/>
            <w:vAlign w:val="center"/>
          </w:tcPr>
          <w:p w14:paraId="0E4EA3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719C05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14.66</w:t>
            </w:r>
          </w:p>
        </w:tc>
        <w:tc>
          <w:tcPr>
            <w:tcW w:w="623" w:type="pct"/>
            <w:tcBorders>
              <w:tl2br w:val="nil"/>
              <w:tr2bl w:val="nil"/>
            </w:tcBorders>
            <w:shd w:val="clear" w:color="auto" w:fill="auto"/>
            <w:vAlign w:val="center"/>
          </w:tcPr>
          <w:p w14:paraId="7CB87C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1D67B1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25E6635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1733261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4C1B54A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0EC96E0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22F01E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075B3646">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1527.8</w:t>
            </w:r>
          </w:p>
        </w:tc>
        <w:tc>
          <w:tcPr>
            <w:tcW w:w="623" w:type="pct"/>
            <w:tcBorders>
              <w:tl2br w:val="nil"/>
              <w:tr2bl w:val="nil"/>
            </w:tcBorders>
            <w:shd w:val="clear" w:color="auto" w:fill="auto"/>
            <w:vAlign w:val="center"/>
          </w:tcPr>
          <w:p w14:paraId="3D261CD8">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8.4515</w:t>
            </w:r>
          </w:p>
        </w:tc>
      </w:tr>
      <w:tr w14:paraId="6B0971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671B27E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3463D2B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577CF58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634701E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30322D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2DBD736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1527.870</w:t>
            </w:r>
          </w:p>
        </w:tc>
        <w:tc>
          <w:tcPr>
            <w:tcW w:w="623" w:type="pct"/>
            <w:tcBorders>
              <w:tl2br w:val="nil"/>
              <w:tr2bl w:val="nil"/>
            </w:tcBorders>
            <w:shd w:val="clear" w:color="auto" w:fill="auto"/>
            <w:vAlign w:val="center"/>
          </w:tcPr>
          <w:p w14:paraId="4BF6C2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8.452</w:t>
            </w:r>
          </w:p>
        </w:tc>
      </w:tr>
      <w:tr w14:paraId="1E4E34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0168C1D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57260D5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0163A81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0BD069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二层（离地4.5m）</w:t>
            </w:r>
          </w:p>
        </w:tc>
        <w:tc>
          <w:tcPr>
            <w:tcW w:w="601" w:type="pct"/>
            <w:tcBorders>
              <w:tl2br w:val="nil"/>
              <w:tr2bl w:val="nil"/>
            </w:tcBorders>
            <w:shd w:val="clear" w:color="auto" w:fill="auto"/>
            <w:vAlign w:val="center"/>
          </w:tcPr>
          <w:p w14:paraId="181454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373734A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14.66</w:t>
            </w:r>
          </w:p>
        </w:tc>
        <w:tc>
          <w:tcPr>
            <w:tcW w:w="623" w:type="pct"/>
            <w:tcBorders>
              <w:tl2br w:val="nil"/>
              <w:tr2bl w:val="nil"/>
            </w:tcBorders>
            <w:shd w:val="clear" w:color="auto" w:fill="auto"/>
            <w:vAlign w:val="center"/>
          </w:tcPr>
          <w:p w14:paraId="41CF99F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3D9E17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0D95DCF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176E81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4287FE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7392076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397B2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3C1988F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1600.5</w:t>
            </w:r>
          </w:p>
        </w:tc>
        <w:tc>
          <w:tcPr>
            <w:tcW w:w="623" w:type="pct"/>
            <w:tcBorders>
              <w:tl2br w:val="nil"/>
              <w:tr2bl w:val="nil"/>
            </w:tcBorders>
            <w:shd w:val="clear" w:color="auto" w:fill="auto"/>
            <w:vAlign w:val="center"/>
          </w:tcPr>
          <w:p w14:paraId="0DD09BF5">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10.4495</w:t>
            </w:r>
          </w:p>
        </w:tc>
      </w:tr>
      <w:tr w14:paraId="53F455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30505BF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176654F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3D450AF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0CF4062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096E60A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76592D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1600.567</w:t>
            </w:r>
          </w:p>
        </w:tc>
        <w:tc>
          <w:tcPr>
            <w:tcW w:w="623" w:type="pct"/>
            <w:tcBorders>
              <w:tl2br w:val="nil"/>
              <w:tr2bl w:val="nil"/>
            </w:tcBorders>
            <w:shd w:val="clear" w:color="auto" w:fill="auto"/>
            <w:vAlign w:val="center"/>
          </w:tcPr>
          <w:p w14:paraId="3EE0442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10.450</w:t>
            </w:r>
          </w:p>
        </w:tc>
      </w:tr>
      <w:tr w14:paraId="2A8939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6A9D2EE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643A296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67B823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7C50194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三层（离地7.5m）</w:t>
            </w:r>
          </w:p>
        </w:tc>
        <w:tc>
          <w:tcPr>
            <w:tcW w:w="601" w:type="pct"/>
            <w:tcBorders>
              <w:tl2br w:val="nil"/>
              <w:tr2bl w:val="nil"/>
            </w:tcBorders>
            <w:shd w:val="clear" w:color="auto" w:fill="auto"/>
            <w:vAlign w:val="center"/>
          </w:tcPr>
          <w:p w14:paraId="2C0302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194FAD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14.66</w:t>
            </w:r>
          </w:p>
        </w:tc>
        <w:tc>
          <w:tcPr>
            <w:tcW w:w="623" w:type="pct"/>
            <w:tcBorders>
              <w:tl2br w:val="nil"/>
              <w:tr2bl w:val="nil"/>
            </w:tcBorders>
            <w:shd w:val="clear" w:color="auto" w:fill="auto"/>
            <w:vAlign w:val="center"/>
          </w:tcPr>
          <w:p w14:paraId="7771B71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76B85F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7695A10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2AD8C67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27A5A4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1EFA850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24E4AB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4662B313">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1727.4</w:t>
            </w:r>
          </w:p>
        </w:tc>
        <w:tc>
          <w:tcPr>
            <w:tcW w:w="623" w:type="pct"/>
            <w:tcBorders>
              <w:tl2br w:val="nil"/>
              <w:tr2bl w:val="nil"/>
            </w:tcBorders>
            <w:shd w:val="clear" w:color="auto" w:fill="auto"/>
            <w:vAlign w:val="center"/>
          </w:tcPr>
          <w:p w14:paraId="109A624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12.8317</w:t>
            </w:r>
          </w:p>
        </w:tc>
      </w:tr>
      <w:tr w14:paraId="64E2F6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05D2A6D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22986A7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10D8920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3B03A830">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139E77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06650AF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1727.462</w:t>
            </w:r>
          </w:p>
        </w:tc>
        <w:tc>
          <w:tcPr>
            <w:tcW w:w="623" w:type="pct"/>
            <w:tcBorders>
              <w:tl2br w:val="nil"/>
              <w:tr2bl w:val="nil"/>
            </w:tcBorders>
            <w:shd w:val="clear" w:color="auto" w:fill="auto"/>
            <w:vAlign w:val="center"/>
          </w:tcPr>
          <w:p w14:paraId="40474C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12.832</w:t>
            </w:r>
          </w:p>
        </w:tc>
      </w:tr>
      <w:tr w14:paraId="4AE63C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51814FDB">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12F1150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424F412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restart"/>
            <w:tcBorders>
              <w:tl2br w:val="nil"/>
              <w:tr2bl w:val="nil"/>
            </w:tcBorders>
            <w:shd w:val="clear" w:color="auto" w:fill="auto"/>
            <w:vAlign w:val="center"/>
          </w:tcPr>
          <w:p w14:paraId="0A76C9F0">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三层顶（离地10.5m）</w:t>
            </w:r>
          </w:p>
        </w:tc>
        <w:tc>
          <w:tcPr>
            <w:tcW w:w="601" w:type="pct"/>
            <w:tcBorders>
              <w:tl2br w:val="nil"/>
              <w:tr2bl w:val="nil"/>
            </w:tcBorders>
            <w:shd w:val="clear" w:color="auto" w:fill="auto"/>
            <w:vAlign w:val="center"/>
          </w:tcPr>
          <w:p w14:paraId="0477DA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背景值</w:t>
            </w:r>
          </w:p>
        </w:tc>
        <w:tc>
          <w:tcPr>
            <w:tcW w:w="666" w:type="pct"/>
            <w:tcBorders>
              <w:tl2br w:val="nil"/>
              <w:tr2bl w:val="nil"/>
            </w:tcBorders>
            <w:shd w:val="clear" w:color="auto" w:fill="auto"/>
            <w:vAlign w:val="center"/>
          </w:tcPr>
          <w:p w14:paraId="2A1F745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14.66</w:t>
            </w:r>
          </w:p>
        </w:tc>
        <w:tc>
          <w:tcPr>
            <w:tcW w:w="623" w:type="pct"/>
            <w:tcBorders>
              <w:tl2br w:val="nil"/>
              <w:tr2bl w:val="nil"/>
            </w:tcBorders>
            <w:shd w:val="clear" w:color="auto" w:fill="auto"/>
            <w:vAlign w:val="center"/>
          </w:tcPr>
          <w:p w14:paraId="3C1B41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19F831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1A86EC0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E92BFE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63730E6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07B699C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1966977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计算值</w:t>
            </w:r>
          </w:p>
        </w:tc>
        <w:tc>
          <w:tcPr>
            <w:tcW w:w="666" w:type="pct"/>
            <w:tcBorders>
              <w:tl2br w:val="nil"/>
              <w:tr2bl w:val="nil"/>
            </w:tcBorders>
            <w:shd w:val="clear" w:color="auto" w:fill="auto"/>
            <w:vAlign w:val="center"/>
          </w:tcPr>
          <w:p w14:paraId="23DB3ACB">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1851.8</w:t>
            </w:r>
          </w:p>
        </w:tc>
        <w:tc>
          <w:tcPr>
            <w:tcW w:w="623" w:type="pct"/>
            <w:tcBorders>
              <w:tl2br w:val="nil"/>
              <w:tr2bl w:val="nil"/>
            </w:tcBorders>
            <w:shd w:val="clear" w:color="auto" w:fill="auto"/>
            <w:vAlign w:val="center"/>
          </w:tcPr>
          <w:p w14:paraId="4B66497C">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15.204</w:t>
            </w:r>
          </w:p>
        </w:tc>
      </w:tr>
      <w:tr w14:paraId="05C69B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518" w:type="pct"/>
            <w:vMerge w:val="continue"/>
            <w:tcBorders>
              <w:tl2br w:val="nil"/>
              <w:tr2bl w:val="nil"/>
            </w:tcBorders>
            <w:shd w:val="clear" w:color="auto" w:fill="auto"/>
            <w:vAlign w:val="center"/>
          </w:tcPr>
          <w:p w14:paraId="5B1AFF6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372" w:type="pct"/>
            <w:vMerge w:val="continue"/>
            <w:tcBorders>
              <w:tl2br w:val="nil"/>
              <w:tr2bl w:val="nil"/>
            </w:tcBorders>
            <w:shd w:val="clear" w:color="auto" w:fill="auto"/>
            <w:vAlign w:val="center"/>
          </w:tcPr>
          <w:p w14:paraId="063FC467">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1380" w:type="pct"/>
            <w:vMerge w:val="continue"/>
            <w:tcBorders>
              <w:tl2br w:val="nil"/>
              <w:tr2bl w:val="nil"/>
            </w:tcBorders>
            <w:shd w:val="clear" w:color="auto" w:fill="auto"/>
            <w:vAlign w:val="center"/>
          </w:tcPr>
          <w:p w14:paraId="0E57A06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838" w:type="pct"/>
            <w:vMerge w:val="continue"/>
            <w:tcBorders>
              <w:tl2br w:val="nil"/>
              <w:tr2bl w:val="nil"/>
            </w:tcBorders>
            <w:shd w:val="clear" w:color="auto" w:fill="auto"/>
            <w:vAlign w:val="center"/>
          </w:tcPr>
          <w:p w14:paraId="4C99CAE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iCs w:val="0"/>
                <w:color w:val="auto"/>
                <w:sz w:val="21"/>
                <w:szCs w:val="21"/>
                <w:u w:val="none"/>
              </w:rPr>
            </w:pPr>
          </w:p>
        </w:tc>
        <w:tc>
          <w:tcPr>
            <w:tcW w:w="601" w:type="pct"/>
            <w:tcBorders>
              <w:tl2br w:val="nil"/>
              <w:tr2bl w:val="nil"/>
            </w:tcBorders>
            <w:shd w:val="clear" w:color="auto" w:fill="auto"/>
            <w:vAlign w:val="center"/>
          </w:tcPr>
          <w:p w14:paraId="4B3786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叠加值</w:t>
            </w:r>
          </w:p>
        </w:tc>
        <w:tc>
          <w:tcPr>
            <w:tcW w:w="666" w:type="pct"/>
            <w:tcBorders>
              <w:tl2br w:val="nil"/>
              <w:tr2bl w:val="nil"/>
            </w:tcBorders>
            <w:shd w:val="clear" w:color="auto" w:fill="auto"/>
            <w:vAlign w:val="center"/>
          </w:tcPr>
          <w:p w14:paraId="488445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1851.858</w:t>
            </w:r>
          </w:p>
        </w:tc>
        <w:tc>
          <w:tcPr>
            <w:tcW w:w="623" w:type="pct"/>
            <w:tcBorders>
              <w:tl2br w:val="nil"/>
              <w:tr2bl w:val="nil"/>
            </w:tcBorders>
            <w:shd w:val="clear" w:color="auto" w:fill="auto"/>
            <w:vAlign w:val="center"/>
          </w:tcPr>
          <w:p w14:paraId="2B36465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15.204</w:t>
            </w:r>
          </w:p>
        </w:tc>
      </w:tr>
    </w:tbl>
    <w:p w14:paraId="111F450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由预测结果可知，导线最小对地高度为设计方案中的设计高度时，电磁环境敏感目标处工频电场强度为</w:t>
      </w:r>
      <w:r>
        <w:rPr>
          <w:rFonts w:hint="eastAsia" w:ascii="Times New Roman" w:hAnsi="Times New Roman" w:cs="Times New Roman"/>
          <w:color w:val="auto"/>
          <w:sz w:val="24"/>
          <w:szCs w:val="24"/>
          <w:lang w:val="en-US" w:eastAsia="zh-CN"/>
        </w:rPr>
        <w:t>230.061</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1851.858</w:t>
      </w:r>
      <w:r>
        <w:rPr>
          <w:rFonts w:hint="default" w:ascii="Times New Roman" w:hAnsi="Times New Roman" w:cs="Times New Roman"/>
          <w:color w:val="auto"/>
          <w:sz w:val="24"/>
          <w:szCs w:val="24"/>
        </w:rPr>
        <w:t>V/m，工频磁感应强度为</w:t>
      </w:r>
      <w:r>
        <w:rPr>
          <w:rFonts w:hint="eastAsia" w:ascii="Times New Roman" w:hAnsi="Times New Roman" w:cs="Times New Roman"/>
          <w:color w:val="auto"/>
          <w:sz w:val="24"/>
          <w:szCs w:val="24"/>
          <w:lang w:val="en-US" w:eastAsia="zh-CN"/>
        </w:rPr>
        <w:t>2.050</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15.204</w:t>
      </w:r>
      <w:r>
        <w:rPr>
          <w:rFonts w:hint="default" w:ascii="Times New Roman" w:hAnsi="Times New Roman" w:cs="Times New Roman"/>
          <w:color w:val="auto"/>
          <w:sz w:val="24"/>
          <w:szCs w:val="24"/>
        </w:rPr>
        <w:t>μT，本工程建成后对各电磁环境敏感目标的电磁环境影响满足《电磁环境控制限值》（GB8702-2014）中公众曝露限值工频电场4000V/m及工频磁场100μT的要求。</w:t>
      </w:r>
    </w:p>
    <w:p w14:paraId="4F18A8FE">
      <w:pPr>
        <w:pStyle w:val="5"/>
        <w:adjustRightInd w:val="0"/>
        <w:snapToGrid w:val="0"/>
        <w:spacing w:line="440" w:lineRule="exact"/>
        <w:ind w:firstLine="482" w:firstLineChars="200"/>
        <w:rPr>
          <w:rFonts w:hint="eastAsia" w:ascii="Times New Roman" w:hAnsi="Times New Roman" w:cs="Times New Roman"/>
          <w:color w:val="auto"/>
        </w:rPr>
      </w:pPr>
      <w:bookmarkStart w:id="175" w:name="_Toc25960"/>
      <w:r>
        <w:rPr>
          <w:rFonts w:hint="eastAsia" w:ascii="Times New Roman" w:hAnsi="Times New Roman" w:cs="Times New Roman"/>
          <w:color w:val="auto"/>
          <w:lang w:val="en-US" w:eastAsia="zh-CN"/>
        </w:rPr>
        <w:t>5.1.6</w:t>
      </w:r>
      <w:r>
        <w:rPr>
          <w:rFonts w:hint="eastAsia" w:ascii="Times New Roman" w:hAnsi="Times New Roman" w:cs="Times New Roman"/>
          <w:color w:val="auto"/>
        </w:rPr>
        <w:t>架空线路工频电场控制措施</w:t>
      </w:r>
      <w:bookmarkEnd w:id="175"/>
    </w:p>
    <w:p w14:paraId="6F9AF47B">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w:instrText>
      </w:r>
      <w:r>
        <w:rPr>
          <w:rFonts w:hint="eastAsia" w:ascii="Times New Roman" w:hAnsi="Times New Roman"/>
          <w:color w:val="auto"/>
          <w:sz w:val="24"/>
          <w:szCs w:val="24"/>
          <w:highlight w:val="none"/>
        </w:rPr>
        <w:instrText xml:space="preserve">= 1 \* GB3</w:instrText>
      </w:r>
      <w:r>
        <w:rPr>
          <w:rFonts w:ascii="Times New Roman" w:hAnsi="Times New Roman"/>
          <w:color w:val="auto"/>
          <w:sz w:val="24"/>
          <w:szCs w:val="24"/>
          <w:highlight w:val="none"/>
        </w:rPr>
        <w:instrText xml:space="preserve"> </w:instrText>
      </w:r>
      <w:r>
        <w:rPr>
          <w:rFonts w:ascii="Times New Roman" w:hAnsi="Times New Roman"/>
          <w:color w:val="auto"/>
          <w:sz w:val="24"/>
          <w:szCs w:val="24"/>
          <w:highlight w:val="none"/>
        </w:rPr>
        <w:fldChar w:fldCharType="separate"/>
      </w:r>
      <w:r>
        <w:rPr>
          <w:rFonts w:hint="eastAsia" w:ascii="Times New Roman" w:hAnsi="Times New Roman"/>
          <w:color w:val="auto"/>
          <w:sz w:val="24"/>
          <w:szCs w:val="24"/>
          <w:highlight w:val="none"/>
        </w:rPr>
        <w:t>①</w:t>
      </w:r>
      <w:r>
        <w:rPr>
          <w:rFonts w:ascii="Times New Roman" w:hAnsi="Times New Roman"/>
          <w:color w:val="auto"/>
          <w:sz w:val="24"/>
          <w:szCs w:val="24"/>
          <w:highlight w:val="none"/>
        </w:rPr>
        <w:fldChar w:fldCharType="end"/>
      </w:r>
      <w:r>
        <w:rPr>
          <w:rFonts w:hint="eastAsia" w:ascii="Times New Roman" w:hAnsi="Times New Roman"/>
          <w:color w:val="auto"/>
          <w:sz w:val="24"/>
          <w:szCs w:val="24"/>
          <w:highlight w:val="none"/>
        </w:rPr>
        <w:t>本项目</w:t>
      </w:r>
      <w:r>
        <w:rPr>
          <w:rFonts w:ascii="Times New Roman" w:hAnsi="Times New Roman"/>
          <w:color w:val="auto"/>
          <w:sz w:val="24"/>
          <w:szCs w:val="24"/>
          <w:highlight w:val="none"/>
        </w:rPr>
        <w:t>220kV输电线路</w:t>
      </w:r>
      <w:r>
        <w:rPr>
          <w:rFonts w:hint="eastAsia" w:ascii="Times New Roman" w:hAnsi="Times New Roman"/>
          <w:color w:val="auto"/>
          <w:sz w:val="24"/>
          <w:szCs w:val="24"/>
          <w:highlight w:val="none"/>
        </w:rPr>
        <w:t>采用单回和双设单挂架设时，</w:t>
      </w:r>
      <w:r>
        <w:rPr>
          <w:rFonts w:ascii="Times New Roman" w:hAnsi="Times New Roman"/>
          <w:color w:val="auto"/>
          <w:sz w:val="24"/>
          <w:szCs w:val="24"/>
          <w:highlight w:val="none"/>
        </w:rPr>
        <w:t>经过耕地及其他公众偶尔停留、活动场所时，当按照《110kV~750kV架空输电线路设计规范》（GB50545-2010）要求的非居民区导线</w:t>
      </w:r>
      <w:r>
        <w:rPr>
          <w:rFonts w:hint="eastAsia" w:ascii="Times New Roman" w:hAnsi="Times New Roman"/>
          <w:color w:val="auto"/>
          <w:sz w:val="24"/>
          <w:szCs w:val="24"/>
          <w:highlight w:val="none"/>
        </w:rPr>
        <w:t>对地面的最小距离</w:t>
      </w:r>
      <w:r>
        <w:rPr>
          <w:rFonts w:ascii="Times New Roman" w:hAnsi="Times New Roman"/>
          <w:color w:val="auto"/>
          <w:sz w:val="24"/>
          <w:szCs w:val="24"/>
          <w:highlight w:val="none"/>
        </w:rPr>
        <w:t>6.5m架设时，该场所的工频电场强度</w:t>
      </w:r>
      <w:r>
        <w:rPr>
          <w:rFonts w:hint="eastAsia" w:ascii="Times New Roman" w:hAnsi="Times New Roman"/>
          <w:color w:val="auto"/>
          <w:sz w:val="24"/>
          <w:szCs w:val="24"/>
          <w:highlight w:val="none"/>
        </w:rPr>
        <w:t>预测结果均</w:t>
      </w:r>
      <w:r>
        <w:rPr>
          <w:rFonts w:ascii="Times New Roman" w:hAnsi="Times New Roman"/>
          <w:color w:val="auto"/>
          <w:sz w:val="24"/>
          <w:szCs w:val="24"/>
          <w:highlight w:val="none"/>
        </w:rPr>
        <w:t>满足10kV/m的控制限值要求。</w:t>
      </w:r>
    </w:p>
    <w:p w14:paraId="5E51E8E7">
      <w:pPr>
        <w:overflowPunct w:val="0"/>
        <w:topLinePunct/>
        <w:autoSpaceDE w:val="0"/>
        <w:autoSpaceDN w:val="0"/>
        <w:adjustRightInd w:val="0"/>
        <w:snapToGrid w:val="0"/>
        <w:spacing w:line="440" w:lineRule="exact"/>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②</w:t>
      </w:r>
      <w:r>
        <w:rPr>
          <w:rFonts w:ascii="Times New Roman" w:hAnsi="Times New Roman"/>
          <w:color w:val="auto"/>
          <w:sz w:val="24"/>
          <w:szCs w:val="24"/>
          <w:highlight w:val="none"/>
        </w:rPr>
        <w:t>根据预测计算结果，</w:t>
      </w:r>
      <w:r>
        <w:rPr>
          <w:rFonts w:hint="eastAsia" w:ascii="Times New Roman" w:hAnsi="Times New Roman"/>
          <w:color w:val="auto"/>
          <w:sz w:val="24"/>
          <w:szCs w:val="24"/>
          <w:highlight w:val="none"/>
        </w:rPr>
        <w:t>本项目架空线路采用</w:t>
      </w:r>
      <w:r>
        <w:rPr>
          <w:rFonts w:ascii="Times New Roman" w:hAnsi="Times New Roman"/>
          <w:color w:val="auto"/>
          <w:sz w:val="24"/>
          <w:szCs w:val="24"/>
          <w:highlight w:val="none"/>
        </w:rPr>
        <w:t>22</w:t>
      </w:r>
      <w:r>
        <w:rPr>
          <w:rFonts w:hint="eastAsia" w:ascii="Times New Roman" w:hAnsi="Times New Roman"/>
          <w:color w:val="auto"/>
          <w:sz w:val="24"/>
          <w:szCs w:val="24"/>
          <w:highlight w:val="none"/>
        </w:rPr>
        <w:t>0kV单回架设时，</w:t>
      </w:r>
      <w:r>
        <w:rPr>
          <w:rFonts w:hint="eastAsia" w:ascii="Times New Roman" w:hAnsi="Times New Roman"/>
          <w:color w:val="auto"/>
          <w:sz w:val="24"/>
          <w:szCs w:val="24"/>
          <w:highlight w:val="none"/>
          <w:lang w:val="en-US" w:eastAsia="zh-CN"/>
        </w:rPr>
        <w:t>设计导线最低高度13.8m</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线路下方</w:t>
      </w:r>
      <w:r>
        <w:rPr>
          <w:rFonts w:hint="eastAsia" w:ascii="Times New Roman" w:hAnsi="Times New Roman"/>
          <w:color w:val="auto"/>
          <w:sz w:val="24"/>
          <w:szCs w:val="24"/>
          <w:highlight w:val="none"/>
        </w:rPr>
        <w:t>距地面1.5m处</w:t>
      </w:r>
      <w:r>
        <w:rPr>
          <w:rFonts w:ascii="Times New Roman" w:hAnsi="Times New Roman"/>
          <w:color w:val="auto"/>
          <w:sz w:val="24"/>
          <w:szCs w:val="24"/>
          <w:highlight w:val="none"/>
        </w:rPr>
        <w:t>的工频电场、工频磁场</w:t>
      </w:r>
      <w:r>
        <w:rPr>
          <w:rFonts w:hint="eastAsia" w:ascii="Times New Roman" w:hAnsi="Times New Roman"/>
          <w:color w:val="auto"/>
          <w:sz w:val="24"/>
          <w:szCs w:val="24"/>
          <w:highlight w:val="none"/>
        </w:rPr>
        <w:t>能同时</w:t>
      </w:r>
      <w:r>
        <w:rPr>
          <w:rFonts w:ascii="Times New Roman" w:hAnsi="Times New Roman"/>
          <w:color w:val="auto"/>
          <w:sz w:val="24"/>
          <w:szCs w:val="24"/>
          <w:highlight w:val="none"/>
        </w:rPr>
        <w:t>满足《电磁环境控制限值》（GB8702-2014）表1中工频电场4000V/m、工频磁场100μT公众曝露限值要求。</w:t>
      </w:r>
    </w:p>
    <w:p w14:paraId="34E5B93D">
      <w:pPr>
        <w:overflowPunct w:val="0"/>
        <w:topLinePunct/>
        <w:autoSpaceDE w:val="0"/>
        <w:autoSpaceDN w:val="0"/>
        <w:adjustRightInd w:val="0"/>
        <w:snapToGrid w:val="0"/>
        <w:spacing w:line="440" w:lineRule="exact"/>
        <w:ind w:firstLine="480" w:firstLineChars="200"/>
        <w:rPr>
          <w:rFonts w:hint="eastAsia" w:ascii="Times New Roman" w:hAnsi="Times New Roman"/>
          <w:color w:val="auto"/>
          <w:sz w:val="24"/>
          <w:szCs w:val="24"/>
          <w:highlight w:val="none"/>
        </w:rPr>
      </w:pPr>
      <w:r>
        <w:rPr>
          <w:rFonts w:hint="default" w:ascii="Times New Roman" w:hAnsi="Times New Roman"/>
          <w:color w:val="auto"/>
          <w:sz w:val="24"/>
          <w:szCs w:val="24"/>
          <w:highlight w:val="none"/>
        </w:rPr>
        <w:t>③</w:t>
      </w:r>
      <w:r>
        <w:rPr>
          <w:rFonts w:ascii="Times New Roman" w:hAnsi="Times New Roman"/>
          <w:color w:val="auto"/>
          <w:sz w:val="24"/>
          <w:szCs w:val="24"/>
          <w:highlight w:val="none"/>
        </w:rPr>
        <w:t>根据预测计算结果，</w:t>
      </w:r>
      <w:r>
        <w:rPr>
          <w:rFonts w:hint="eastAsia" w:ascii="Times New Roman" w:hAnsi="Times New Roman"/>
          <w:color w:val="auto"/>
          <w:sz w:val="24"/>
          <w:szCs w:val="24"/>
          <w:highlight w:val="none"/>
        </w:rPr>
        <w:t>本项目架空线路采用</w:t>
      </w:r>
      <w:r>
        <w:rPr>
          <w:rFonts w:ascii="Times New Roman" w:hAnsi="Times New Roman"/>
          <w:color w:val="auto"/>
          <w:sz w:val="24"/>
          <w:szCs w:val="24"/>
          <w:highlight w:val="none"/>
        </w:rPr>
        <w:t>22</w:t>
      </w:r>
      <w:r>
        <w:rPr>
          <w:rFonts w:hint="eastAsia" w:ascii="Times New Roman" w:hAnsi="Times New Roman"/>
          <w:color w:val="auto"/>
          <w:sz w:val="24"/>
          <w:szCs w:val="24"/>
          <w:highlight w:val="none"/>
        </w:rPr>
        <w:t>0kV</w:t>
      </w:r>
      <w:r>
        <w:rPr>
          <w:rFonts w:hint="eastAsia" w:ascii="Times New Roman" w:hAnsi="Times New Roman"/>
          <w:color w:val="auto"/>
          <w:sz w:val="24"/>
          <w:szCs w:val="24"/>
          <w:highlight w:val="none"/>
          <w:lang w:val="en-US" w:eastAsia="zh-CN"/>
        </w:rPr>
        <w:t>双设单挂</w:t>
      </w:r>
      <w:r>
        <w:rPr>
          <w:rFonts w:hint="eastAsia" w:ascii="Times New Roman" w:hAnsi="Times New Roman"/>
          <w:color w:val="auto"/>
          <w:sz w:val="24"/>
          <w:szCs w:val="24"/>
          <w:highlight w:val="none"/>
        </w:rPr>
        <w:t>架设时，</w:t>
      </w:r>
      <w:r>
        <w:rPr>
          <w:rFonts w:hint="eastAsia" w:ascii="Times New Roman" w:hAnsi="Times New Roman"/>
          <w:color w:val="auto"/>
          <w:sz w:val="24"/>
          <w:szCs w:val="24"/>
          <w:highlight w:val="none"/>
          <w:lang w:val="en-US" w:eastAsia="zh-CN"/>
        </w:rPr>
        <w:t>设计导线最低高度14.5m</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线路下方</w:t>
      </w:r>
      <w:r>
        <w:rPr>
          <w:rFonts w:hint="eastAsia" w:ascii="Times New Roman" w:hAnsi="Times New Roman"/>
          <w:color w:val="auto"/>
          <w:sz w:val="24"/>
          <w:szCs w:val="24"/>
          <w:highlight w:val="none"/>
        </w:rPr>
        <w:t>距地面1.5m处</w:t>
      </w:r>
      <w:r>
        <w:rPr>
          <w:rFonts w:ascii="Times New Roman" w:hAnsi="Times New Roman"/>
          <w:color w:val="auto"/>
          <w:sz w:val="24"/>
          <w:szCs w:val="24"/>
          <w:highlight w:val="none"/>
        </w:rPr>
        <w:t>的工频电场、工频磁场</w:t>
      </w:r>
      <w:r>
        <w:rPr>
          <w:rFonts w:hint="eastAsia" w:ascii="Times New Roman" w:hAnsi="Times New Roman"/>
          <w:color w:val="auto"/>
          <w:sz w:val="24"/>
          <w:szCs w:val="24"/>
          <w:highlight w:val="none"/>
        </w:rPr>
        <w:t>能同时</w:t>
      </w:r>
      <w:r>
        <w:rPr>
          <w:rFonts w:ascii="Times New Roman" w:hAnsi="Times New Roman"/>
          <w:color w:val="auto"/>
          <w:sz w:val="24"/>
          <w:szCs w:val="24"/>
          <w:highlight w:val="none"/>
        </w:rPr>
        <w:t>满足《电磁环境控制限值》（GB8702-2014）表1中工频电场4000V/m、工频磁场100μT公众曝露限值要求。</w:t>
      </w:r>
    </w:p>
    <w:p w14:paraId="5E451FD5">
      <w:pPr>
        <w:pStyle w:val="4"/>
        <w:adjustRightInd w:val="0"/>
        <w:snapToGrid w:val="0"/>
        <w:spacing w:line="440" w:lineRule="exact"/>
        <w:rPr>
          <w:rFonts w:hint="eastAsia" w:ascii="Times New Roman" w:hAnsi="Times New Roman" w:eastAsia="宋体" w:cs="Times New Roman"/>
          <w:color w:val="auto"/>
          <w:szCs w:val="24"/>
        </w:rPr>
      </w:pPr>
      <w:bookmarkStart w:id="176" w:name="_Toc22776"/>
      <w:r>
        <w:rPr>
          <w:rFonts w:ascii="Times New Roman" w:hAnsi="Times New Roman" w:eastAsia="宋体" w:cs="Times New Roman"/>
          <w:color w:val="auto"/>
          <w:szCs w:val="24"/>
        </w:rPr>
        <w:t>5.</w:t>
      </w:r>
      <w:r>
        <w:rPr>
          <w:rFonts w:hint="eastAsia" w:ascii="Times New Roman" w:hAnsi="Times New Roman" w:eastAsia="宋体" w:cs="Times New Roman"/>
          <w:color w:val="auto"/>
          <w:szCs w:val="24"/>
        </w:rPr>
        <w:t>2</w:t>
      </w:r>
      <w:r>
        <w:rPr>
          <w:rFonts w:ascii="Times New Roman" w:hAnsi="Times New Roman" w:eastAsia="宋体" w:cs="Times New Roman"/>
          <w:color w:val="auto"/>
          <w:szCs w:val="24"/>
        </w:rPr>
        <w:t xml:space="preserve"> 并行线路及交叉跨越电磁环境影响分析</w:t>
      </w:r>
      <w:bookmarkEnd w:id="176"/>
    </w:p>
    <w:p w14:paraId="5243DD1C">
      <w:pPr>
        <w:adjustRightInd w:val="0"/>
        <w:snapToGrid w:val="0"/>
        <w:spacing w:line="440" w:lineRule="exact"/>
        <w:ind w:firstLine="480" w:firstLineChars="200"/>
        <w:textAlignment w:val="baseline"/>
        <w:rPr>
          <w:rFonts w:ascii="Times New Roman" w:hAnsi="Times New Roman"/>
          <w:color w:val="auto"/>
          <w:sz w:val="24"/>
          <w:szCs w:val="24"/>
        </w:rPr>
      </w:pPr>
      <w:r>
        <w:rPr>
          <w:rFonts w:ascii="Times New Roman" w:hAnsi="Times New Roman"/>
          <w:color w:val="auto"/>
          <w:sz w:val="24"/>
          <w:szCs w:val="24"/>
        </w:rPr>
        <w:t>根据设计提供资料，本</w:t>
      </w:r>
      <w:r>
        <w:rPr>
          <w:rFonts w:hint="eastAsia" w:ascii="Times New Roman" w:hAnsi="Times New Roman"/>
          <w:color w:val="auto"/>
          <w:sz w:val="24"/>
          <w:szCs w:val="24"/>
        </w:rPr>
        <w:t>项目</w:t>
      </w:r>
      <w:r>
        <w:rPr>
          <w:rFonts w:ascii="Times New Roman" w:hAnsi="Times New Roman"/>
          <w:color w:val="auto"/>
          <w:sz w:val="24"/>
          <w:szCs w:val="24"/>
        </w:rPr>
        <w:t>与既有线路交叉跨越详见</w:t>
      </w:r>
      <w:r>
        <w:rPr>
          <w:rFonts w:hint="eastAsia" w:ascii="Times New Roman" w:hAnsi="Times New Roman"/>
          <w:color w:val="auto"/>
          <w:sz w:val="24"/>
          <w:szCs w:val="24"/>
        </w:rPr>
        <w:t>报告表</w:t>
      </w:r>
      <w:r>
        <w:rPr>
          <w:rFonts w:hint="eastAsia" w:ascii="Times New Roman" w:hAnsi="Times New Roman"/>
          <w:color w:val="auto"/>
          <w:sz w:val="24"/>
          <w:szCs w:val="24"/>
          <w:lang w:val="en-US" w:eastAsia="zh-CN"/>
        </w:rPr>
        <w:t>文本</w:t>
      </w:r>
      <w:r>
        <w:rPr>
          <w:rFonts w:hint="eastAsia" w:ascii="Times New Roman" w:hAnsi="Times New Roman"/>
          <w:color w:val="auto"/>
          <w:sz w:val="24"/>
          <w:szCs w:val="24"/>
        </w:rPr>
        <w:t>2-</w:t>
      </w:r>
      <w:r>
        <w:rPr>
          <w:rFonts w:hint="eastAsia" w:ascii="Times New Roman" w:hAnsi="Times New Roman"/>
          <w:color w:val="auto"/>
          <w:sz w:val="24"/>
          <w:szCs w:val="24"/>
          <w:lang w:val="en-US" w:eastAsia="zh-CN"/>
        </w:rPr>
        <w:t>6</w:t>
      </w:r>
      <w:r>
        <w:rPr>
          <w:rFonts w:ascii="Times New Roman" w:hAnsi="Times New Roman"/>
          <w:color w:val="auto"/>
          <w:sz w:val="24"/>
          <w:szCs w:val="24"/>
        </w:rPr>
        <w:t>。本</w:t>
      </w:r>
      <w:r>
        <w:rPr>
          <w:rFonts w:hint="eastAsia" w:ascii="Times New Roman" w:hAnsi="Times New Roman"/>
          <w:color w:val="auto"/>
          <w:sz w:val="24"/>
          <w:szCs w:val="24"/>
        </w:rPr>
        <w:t>项目</w:t>
      </w:r>
      <w:r>
        <w:rPr>
          <w:rFonts w:ascii="Times New Roman" w:hAnsi="Times New Roman"/>
          <w:color w:val="auto"/>
          <w:sz w:val="24"/>
          <w:szCs w:val="24"/>
        </w:rPr>
        <w:t>线路钻（跨）越与已建的输电线路时，其相互间距严格按照《110～750kV架空输电线路设计规范》（GB50545-2010）的要求进行设计。</w:t>
      </w:r>
    </w:p>
    <w:p w14:paraId="55348879">
      <w:pPr>
        <w:adjustRightInd w:val="0"/>
        <w:snapToGrid w:val="0"/>
        <w:spacing w:line="440" w:lineRule="exact"/>
        <w:ind w:firstLine="480" w:firstLineChars="200"/>
        <w:textAlignment w:val="baseline"/>
        <w:rPr>
          <w:rFonts w:ascii="Times New Roman" w:hAnsi="Times New Roman"/>
          <w:color w:val="auto"/>
          <w:sz w:val="24"/>
          <w:szCs w:val="24"/>
        </w:rPr>
      </w:pPr>
      <w:r>
        <w:rPr>
          <w:rFonts w:ascii="Times New Roman" w:hAnsi="Times New Roman"/>
          <w:color w:val="auto"/>
          <w:sz w:val="24"/>
          <w:szCs w:val="24"/>
        </w:rPr>
        <w:t>根据现场调查，本</w:t>
      </w:r>
      <w:r>
        <w:rPr>
          <w:rFonts w:hint="eastAsia" w:ascii="Times New Roman" w:hAnsi="Times New Roman"/>
          <w:color w:val="auto"/>
          <w:sz w:val="24"/>
          <w:szCs w:val="24"/>
        </w:rPr>
        <w:t>项目</w:t>
      </w:r>
      <w:r>
        <w:rPr>
          <w:rFonts w:ascii="Times New Roman" w:hAnsi="Times New Roman"/>
          <w:color w:val="auto"/>
          <w:sz w:val="24"/>
          <w:szCs w:val="24"/>
        </w:rPr>
        <w:t>与其他电力线路的钻跨越点处线路评价范围内无电磁环境敏感目标分布，本次环评不考虑交叉跨越对电磁环境敏感目标的叠加电磁环境影响。</w:t>
      </w:r>
    </w:p>
    <w:p w14:paraId="101127CC">
      <w:pPr>
        <w:adjustRightInd w:val="0"/>
        <w:snapToGrid w:val="0"/>
        <w:spacing w:line="440" w:lineRule="exact"/>
        <w:ind w:firstLine="480" w:firstLineChars="200"/>
        <w:textAlignment w:val="baseline"/>
        <w:rPr>
          <w:rFonts w:ascii="Times New Roman" w:hAnsi="Times New Roman"/>
          <w:color w:val="auto"/>
          <w:sz w:val="24"/>
          <w:szCs w:val="24"/>
        </w:rPr>
      </w:pPr>
      <w:r>
        <w:rPr>
          <w:rFonts w:ascii="Times New Roman" w:hAnsi="Times New Roman"/>
          <w:color w:val="auto"/>
          <w:sz w:val="24"/>
          <w:szCs w:val="24"/>
        </w:rPr>
        <w:t>本</w:t>
      </w:r>
      <w:r>
        <w:rPr>
          <w:rFonts w:hint="eastAsia" w:ascii="Times New Roman" w:hAnsi="Times New Roman"/>
          <w:color w:val="auto"/>
          <w:sz w:val="24"/>
          <w:szCs w:val="24"/>
        </w:rPr>
        <w:t>项目</w:t>
      </w:r>
      <w:r>
        <w:rPr>
          <w:rFonts w:ascii="Times New Roman" w:hAnsi="Times New Roman"/>
          <w:color w:val="auto"/>
          <w:sz w:val="24"/>
          <w:szCs w:val="24"/>
        </w:rPr>
        <w:t>线路</w:t>
      </w:r>
      <w:r>
        <w:rPr>
          <w:rFonts w:hint="eastAsia" w:ascii="Times New Roman" w:hAnsi="Times New Roman"/>
          <w:color w:val="auto"/>
          <w:sz w:val="24"/>
          <w:szCs w:val="24"/>
        </w:rPr>
        <w:t>与</w:t>
      </w:r>
      <w:r>
        <w:rPr>
          <w:rFonts w:hint="eastAsia" w:ascii="Times New Roman" w:hAnsi="Times New Roman"/>
          <w:color w:val="auto"/>
          <w:sz w:val="24"/>
          <w:szCs w:val="24"/>
          <w:lang w:val="en-US" w:eastAsia="zh-CN"/>
        </w:rPr>
        <w:t>220kV、</w:t>
      </w:r>
      <w:r>
        <w:rPr>
          <w:rFonts w:ascii="Times New Roman" w:hAnsi="Times New Roman"/>
          <w:color w:val="auto"/>
          <w:sz w:val="24"/>
          <w:szCs w:val="24"/>
        </w:rPr>
        <w:t>110kV</w:t>
      </w:r>
      <w:r>
        <w:rPr>
          <w:rFonts w:hint="eastAsia" w:ascii="Times New Roman" w:hAnsi="Times New Roman"/>
          <w:color w:val="auto"/>
          <w:sz w:val="24"/>
          <w:szCs w:val="24"/>
          <w:lang w:val="en-US" w:eastAsia="zh-CN"/>
        </w:rPr>
        <w:t>线路无</w:t>
      </w:r>
      <w:r>
        <w:rPr>
          <w:rFonts w:ascii="Times New Roman" w:hAnsi="Times New Roman"/>
          <w:color w:val="auto"/>
          <w:sz w:val="24"/>
          <w:szCs w:val="24"/>
        </w:rPr>
        <w:t>交叉</w:t>
      </w:r>
      <w:r>
        <w:rPr>
          <w:rFonts w:hint="eastAsia" w:ascii="Times New Roman" w:hAnsi="Times New Roman"/>
          <w:color w:val="auto"/>
          <w:sz w:val="24"/>
          <w:szCs w:val="24"/>
          <w:lang w:eastAsia="zh-CN"/>
        </w:rPr>
        <w:t>，</w:t>
      </w:r>
      <w:r>
        <w:rPr>
          <w:rFonts w:ascii="Times New Roman" w:hAnsi="Times New Roman"/>
          <w:color w:val="auto"/>
          <w:sz w:val="24"/>
          <w:szCs w:val="24"/>
        </w:rPr>
        <w:t>导线高度满足设计规范要求</w:t>
      </w:r>
      <w:r>
        <w:rPr>
          <w:rFonts w:hint="eastAsia" w:ascii="Times New Roman" w:hAnsi="Times New Roman"/>
          <w:color w:val="auto"/>
          <w:sz w:val="24"/>
          <w:szCs w:val="24"/>
        </w:rPr>
        <w:t>，</w:t>
      </w:r>
      <w:r>
        <w:rPr>
          <w:rFonts w:ascii="Times New Roman" w:hAnsi="Times New Roman"/>
          <w:color w:val="auto"/>
          <w:sz w:val="24"/>
          <w:szCs w:val="24"/>
        </w:rPr>
        <w:t>因此，</w:t>
      </w:r>
      <w:r>
        <w:rPr>
          <w:rFonts w:hint="eastAsia" w:ascii="Times New Roman" w:hAnsi="Times New Roman"/>
          <w:color w:val="auto"/>
          <w:sz w:val="24"/>
          <w:szCs w:val="24"/>
        </w:rPr>
        <w:t>本项目</w:t>
      </w:r>
      <w:r>
        <w:rPr>
          <w:rFonts w:ascii="Times New Roman" w:hAnsi="Times New Roman"/>
          <w:color w:val="auto"/>
          <w:sz w:val="24"/>
          <w:szCs w:val="24"/>
        </w:rPr>
        <w:t>线路工频电场、工频磁场可达标。</w:t>
      </w:r>
    </w:p>
    <w:p w14:paraId="75B1B4FA">
      <w:pPr>
        <w:pStyle w:val="4"/>
        <w:adjustRightInd w:val="0"/>
        <w:snapToGrid w:val="0"/>
        <w:spacing w:line="440" w:lineRule="exact"/>
        <w:rPr>
          <w:rFonts w:hint="eastAsia" w:ascii="Times New Roman" w:hAnsi="Times New Roman" w:eastAsia="宋体" w:cs="Times New Roman"/>
          <w:color w:val="auto"/>
        </w:rPr>
      </w:pPr>
      <w:bookmarkStart w:id="177" w:name="_Toc30447"/>
      <w:r>
        <w:rPr>
          <w:rFonts w:ascii="Times New Roman" w:hAnsi="Times New Roman" w:eastAsia="宋体" w:cs="Times New Roman"/>
          <w:color w:val="auto"/>
          <w:szCs w:val="24"/>
        </w:rPr>
        <w:t>5.</w:t>
      </w:r>
      <w:r>
        <w:rPr>
          <w:rFonts w:hint="eastAsia" w:ascii="Times New Roman" w:hAnsi="Times New Roman" w:eastAsia="宋体" w:cs="Times New Roman"/>
          <w:color w:val="auto"/>
          <w:szCs w:val="24"/>
        </w:rPr>
        <w:t>3</w:t>
      </w:r>
      <w:r>
        <w:rPr>
          <w:rFonts w:ascii="Times New Roman" w:hAnsi="Times New Roman" w:eastAsia="宋体" w:cs="Times New Roman"/>
          <w:color w:val="auto"/>
        </w:rPr>
        <w:t>运行期电磁环境影响预测评价</w:t>
      </w:r>
      <w:bookmarkEnd w:id="177"/>
    </w:p>
    <w:p w14:paraId="57A158C7">
      <w:pPr>
        <w:adjustRightInd w:val="0"/>
        <w:snapToGrid w:val="0"/>
        <w:spacing w:line="440" w:lineRule="exact"/>
        <w:ind w:firstLine="480" w:firstLineChars="200"/>
        <w:rPr>
          <w:rFonts w:hint="eastAsia" w:ascii="Times New Roman" w:hAnsi="Times New Roman" w:eastAsia="宋体" w:cs="Times New Roman"/>
          <w:bCs/>
          <w:color w:val="auto"/>
          <w:spacing w:val="-6"/>
          <w:sz w:val="24"/>
          <w:highlight w:val="none"/>
          <w:lang w:eastAsia="zh-CN"/>
        </w:rPr>
      </w:pPr>
      <w:r>
        <w:rPr>
          <w:rFonts w:hint="default" w:ascii="Times New Roman" w:hAnsi="Times New Roman" w:cs="Times New Roman"/>
          <w:bCs/>
          <w:color w:val="auto"/>
          <w:kern w:val="44"/>
          <w:sz w:val="24"/>
          <w:szCs w:val="24"/>
          <w:highlight w:val="none"/>
        </w:rPr>
        <w:t>本项目输电线路采用220kV单回路架设导线离地高度6.5m、距地面1.5m时，</w:t>
      </w:r>
      <w:r>
        <w:rPr>
          <w:rFonts w:hint="default" w:ascii="Times New Roman" w:hAnsi="Times New Roman" w:cs="Times New Roman"/>
          <w:bCs/>
          <w:color w:val="auto"/>
          <w:spacing w:val="-6"/>
          <w:sz w:val="24"/>
          <w:highlight w:val="none"/>
        </w:rPr>
        <w:t>220kV单回路</w:t>
      </w:r>
      <w:r>
        <w:rPr>
          <w:rFonts w:hint="default" w:ascii="Times New Roman" w:hAnsi="Times New Roman" w:cs="Times New Roman"/>
          <w:bCs/>
          <w:color w:val="auto"/>
          <w:spacing w:val="-6"/>
          <w:sz w:val="24"/>
          <w:highlight w:val="none"/>
          <w:lang w:val="en-US" w:eastAsia="zh-CN"/>
        </w:rPr>
        <w:t>三角排列</w:t>
      </w:r>
      <w:r>
        <w:rPr>
          <w:rFonts w:hint="default" w:ascii="Times New Roman" w:hAnsi="Times New Roman" w:cs="Times New Roman"/>
          <w:bCs/>
          <w:color w:val="auto"/>
          <w:spacing w:val="-6"/>
          <w:sz w:val="24"/>
          <w:highlight w:val="none"/>
        </w:rPr>
        <w:t>架设线路产生的工频电场强度最大值出现在距离线路中心</w:t>
      </w:r>
      <w:r>
        <w:rPr>
          <w:rFonts w:hint="default" w:ascii="Times New Roman" w:hAnsi="Times New Roman" w:cs="Times New Roman"/>
          <w:bCs/>
          <w:color w:val="auto"/>
          <w:spacing w:val="-6"/>
          <w:sz w:val="24"/>
          <w:highlight w:val="none"/>
          <w:lang w:val="en-US" w:eastAsia="zh-CN"/>
        </w:rPr>
        <w:t>-8</w:t>
      </w:r>
      <w:r>
        <w:rPr>
          <w:rFonts w:hint="default" w:ascii="Times New Roman" w:hAnsi="Times New Roman" w:cs="Times New Roman"/>
          <w:bCs/>
          <w:color w:val="auto"/>
          <w:spacing w:val="-6"/>
          <w:sz w:val="24"/>
          <w:highlight w:val="none"/>
        </w:rPr>
        <w:t>m处，为</w:t>
      </w:r>
      <w:r>
        <w:rPr>
          <w:rFonts w:hint="default" w:ascii="Times New Roman" w:hAnsi="Times New Roman" w:cs="Times New Roman"/>
          <w:bCs/>
          <w:color w:val="auto"/>
          <w:spacing w:val="-6"/>
          <w:sz w:val="24"/>
          <w:highlight w:val="none"/>
          <w:lang w:val="en-US" w:eastAsia="zh-CN"/>
        </w:rPr>
        <w:t>7.2556</w:t>
      </w:r>
      <w:r>
        <w:rPr>
          <w:rFonts w:hint="default" w:ascii="Times New Roman" w:hAnsi="Times New Roman" w:cs="Times New Roman"/>
          <w:bCs/>
          <w:color w:val="auto"/>
          <w:spacing w:val="-6"/>
          <w:sz w:val="24"/>
          <w:highlight w:val="none"/>
        </w:rPr>
        <w:t>kV/m；工频磁感应强度最大值出现在距离线路中心</w:t>
      </w:r>
      <w:r>
        <w:rPr>
          <w:rFonts w:hint="default" w:ascii="Times New Roman" w:hAnsi="Times New Roman" w:cs="Times New Roman"/>
          <w:bCs/>
          <w:color w:val="auto"/>
          <w:spacing w:val="-6"/>
          <w:sz w:val="24"/>
          <w:highlight w:val="none"/>
          <w:lang w:val="en-US" w:eastAsia="zh-CN"/>
        </w:rPr>
        <w:t>-6</w:t>
      </w:r>
      <w:r>
        <w:rPr>
          <w:rFonts w:hint="default" w:ascii="Times New Roman" w:hAnsi="Times New Roman" w:cs="Times New Roman"/>
          <w:bCs/>
          <w:color w:val="auto"/>
          <w:spacing w:val="-6"/>
          <w:sz w:val="24"/>
          <w:highlight w:val="none"/>
        </w:rPr>
        <w:t>m处，为</w:t>
      </w:r>
      <w:r>
        <w:rPr>
          <w:rFonts w:hint="default" w:ascii="Times New Roman" w:hAnsi="Times New Roman" w:cs="Times New Roman"/>
          <w:bCs/>
          <w:color w:val="auto"/>
          <w:spacing w:val="-6"/>
          <w:sz w:val="24"/>
          <w:highlight w:val="none"/>
          <w:lang w:val="en-US" w:eastAsia="zh-CN"/>
        </w:rPr>
        <w:t>47.9438</w:t>
      </w:r>
      <w:r>
        <w:rPr>
          <w:rFonts w:hint="default" w:ascii="Times New Roman" w:hAnsi="Times New Roman" w:cs="Times New Roman"/>
          <w:bCs/>
          <w:color w:val="auto"/>
          <w:spacing w:val="-6"/>
          <w:sz w:val="24"/>
          <w:highlight w:val="none"/>
        </w:rPr>
        <w:t>μT。预测结果满足《电磁环境控制限值》（GB8702-2014）中</w:t>
      </w:r>
      <w:r>
        <w:rPr>
          <w:rFonts w:hint="eastAsia" w:ascii="Times New Roman" w:hAnsi="Times New Roman" w:cs="Times New Roman"/>
          <w:bCs/>
          <w:color w:val="auto"/>
          <w:spacing w:val="-6"/>
          <w:sz w:val="24"/>
          <w:highlight w:val="none"/>
          <w:lang w:eastAsia="zh-CN"/>
        </w:rPr>
        <w:t>其他地区</w:t>
      </w:r>
      <w:r>
        <w:rPr>
          <w:rFonts w:hint="default" w:ascii="Times New Roman" w:hAnsi="Times New Roman" w:cs="Times New Roman"/>
          <w:bCs/>
          <w:color w:val="auto"/>
          <w:spacing w:val="-6"/>
          <w:sz w:val="24"/>
          <w:highlight w:val="none"/>
        </w:rPr>
        <w:t>工频电场强度10kV/m的标准要求</w:t>
      </w:r>
      <w:r>
        <w:rPr>
          <w:rFonts w:hint="eastAsia" w:ascii="Times New Roman" w:hAnsi="Times New Roman" w:cs="Times New Roman"/>
          <w:bCs/>
          <w:color w:val="auto"/>
          <w:spacing w:val="-6"/>
          <w:sz w:val="24"/>
          <w:highlight w:val="none"/>
          <w:lang w:eastAsia="zh-CN"/>
        </w:rPr>
        <w:t>；220kV单回路</w:t>
      </w:r>
      <w:r>
        <w:rPr>
          <w:rFonts w:hint="eastAsia" w:ascii="Times New Roman" w:hAnsi="Times New Roman" w:cs="Times New Roman"/>
          <w:bCs/>
          <w:color w:val="auto"/>
          <w:spacing w:val="-6"/>
          <w:sz w:val="24"/>
          <w:highlight w:val="none"/>
          <w:lang w:val="en-US" w:eastAsia="zh-CN"/>
        </w:rPr>
        <w:t>水平排列</w:t>
      </w:r>
      <w:r>
        <w:rPr>
          <w:rFonts w:hint="eastAsia" w:ascii="Times New Roman" w:hAnsi="Times New Roman" w:cs="Times New Roman"/>
          <w:bCs/>
          <w:color w:val="auto"/>
          <w:spacing w:val="-6"/>
          <w:sz w:val="24"/>
          <w:highlight w:val="none"/>
          <w:lang w:eastAsia="zh-CN"/>
        </w:rPr>
        <w:t>架设线路产生的工频电场强度最大值出现在距离线路中心</w:t>
      </w:r>
      <w:r>
        <w:rPr>
          <w:rFonts w:hint="eastAsia" w:ascii="Times New Roman" w:hAnsi="Times New Roman" w:cs="Times New Roman"/>
          <w:bCs/>
          <w:color w:val="auto"/>
          <w:spacing w:val="-6"/>
          <w:sz w:val="24"/>
          <w:highlight w:val="none"/>
          <w:lang w:val="en-US" w:eastAsia="zh-CN"/>
        </w:rPr>
        <w:t>-10</w:t>
      </w:r>
      <w:r>
        <w:rPr>
          <w:rFonts w:hint="eastAsia" w:ascii="Times New Roman" w:hAnsi="Times New Roman" w:cs="Times New Roman"/>
          <w:bCs/>
          <w:color w:val="auto"/>
          <w:spacing w:val="-6"/>
          <w:sz w:val="24"/>
          <w:highlight w:val="none"/>
          <w:lang w:eastAsia="zh-CN"/>
        </w:rPr>
        <w:t>m处，为7.</w:t>
      </w:r>
      <w:r>
        <w:rPr>
          <w:rFonts w:hint="eastAsia" w:ascii="Times New Roman" w:hAnsi="Times New Roman" w:cs="Times New Roman"/>
          <w:bCs/>
          <w:color w:val="auto"/>
          <w:spacing w:val="-6"/>
          <w:sz w:val="24"/>
          <w:highlight w:val="none"/>
          <w:lang w:val="en-US" w:eastAsia="zh-CN"/>
        </w:rPr>
        <w:t>5887</w:t>
      </w:r>
      <w:r>
        <w:rPr>
          <w:rFonts w:hint="eastAsia" w:ascii="Times New Roman" w:hAnsi="Times New Roman" w:cs="Times New Roman"/>
          <w:bCs/>
          <w:color w:val="auto"/>
          <w:spacing w:val="-6"/>
          <w:sz w:val="24"/>
          <w:highlight w:val="none"/>
          <w:lang w:eastAsia="zh-CN"/>
        </w:rPr>
        <w:t>kV/m；工频磁感应强度最大值出现在线路中心</w:t>
      </w:r>
      <w:r>
        <w:rPr>
          <w:rFonts w:hint="eastAsia" w:ascii="Times New Roman" w:hAnsi="Times New Roman" w:cs="Times New Roman"/>
          <w:bCs/>
          <w:color w:val="auto"/>
          <w:spacing w:val="-6"/>
          <w:sz w:val="24"/>
          <w:highlight w:val="none"/>
          <w:lang w:val="en-US" w:eastAsia="zh-CN"/>
        </w:rPr>
        <w:t>线正下方</w:t>
      </w:r>
      <w:r>
        <w:rPr>
          <w:rFonts w:hint="eastAsia" w:ascii="Times New Roman" w:hAnsi="Times New Roman" w:cs="Times New Roman"/>
          <w:bCs/>
          <w:color w:val="auto"/>
          <w:spacing w:val="-6"/>
          <w:sz w:val="24"/>
          <w:highlight w:val="none"/>
          <w:lang w:eastAsia="zh-CN"/>
        </w:rPr>
        <w:t>，为</w:t>
      </w:r>
      <w:r>
        <w:rPr>
          <w:rFonts w:hint="eastAsia" w:ascii="Times New Roman" w:hAnsi="Times New Roman" w:cs="Times New Roman"/>
          <w:bCs/>
          <w:color w:val="auto"/>
          <w:spacing w:val="-6"/>
          <w:sz w:val="24"/>
          <w:highlight w:val="none"/>
          <w:lang w:val="en-US" w:eastAsia="zh-CN"/>
        </w:rPr>
        <w:t>55.8425</w:t>
      </w:r>
      <w:r>
        <w:rPr>
          <w:rFonts w:hint="eastAsia" w:ascii="Times New Roman" w:hAnsi="Times New Roman" w:cs="Times New Roman"/>
          <w:bCs/>
          <w:color w:val="auto"/>
          <w:spacing w:val="-6"/>
          <w:sz w:val="24"/>
          <w:highlight w:val="none"/>
          <w:lang w:eastAsia="zh-CN"/>
        </w:rPr>
        <w:t>μT。预测结果满足《电磁环境控制限值》（GB8702-2014）中其他地区工频电场强度10kV/m的标准要求。</w:t>
      </w:r>
    </w:p>
    <w:p w14:paraId="3D9AB2D1">
      <w:pPr>
        <w:adjustRightInd w:val="0"/>
        <w:snapToGrid w:val="0"/>
        <w:spacing w:line="440" w:lineRule="exact"/>
        <w:ind w:firstLine="480" w:firstLineChars="200"/>
        <w:rPr>
          <w:rFonts w:hint="eastAsia" w:ascii="Times New Roman" w:hAnsi="Times New Roman" w:cs="Times New Roman"/>
          <w:bCs/>
          <w:color w:val="auto"/>
          <w:kern w:val="44"/>
          <w:sz w:val="24"/>
          <w:szCs w:val="24"/>
          <w:highlight w:val="none"/>
          <w:lang w:eastAsia="zh-CN"/>
        </w:rPr>
      </w:pPr>
      <w:r>
        <w:rPr>
          <w:rFonts w:hint="eastAsia" w:ascii="Times New Roman" w:hAnsi="Times New Roman" w:cs="Times New Roman"/>
          <w:bCs/>
          <w:color w:val="auto"/>
          <w:kern w:val="44"/>
          <w:sz w:val="24"/>
          <w:szCs w:val="24"/>
          <w:highlight w:val="none"/>
        </w:rPr>
        <w:t>本项目采用220kV双设单挂</w:t>
      </w:r>
      <w:r>
        <w:rPr>
          <w:rFonts w:ascii="Times New Roman" w:hAnsi="Times New Roman" w:cs="Times New Roman"/>
          <w:bCs/>
          <w:color w:val="auto"/>
          <w:kern w:val="44"/>
          <w:sz w:val="24"/>
          <w:szCs w:val="24"/>
          <w:highlight w:val="none"/>
        </w:rPr>
        <w:t>线路</w:t>
      </w:r>
      <w:r>
        <w:rPr>
          <w:rFonts w:hint="eastAsia" w:ascii="Times New Roman" w:hAnsi="Times New Roman" w:cs="Times New Roman"/>
          <w:bCs/>
          <w:color w:val="auto"/>
          <w:kern w:val="44"/>
          <w:sz w:val="24"/>
          <w:szCs w:val="24"/>
          <w:highlight w:val="none"/>
          <w:lang w:eastAsia="zh-CN"/>
        </w:rPr>
        <w:t>，</w:t>
      </w:r>
      <w:r>
        <w:rPr>
          <w:rFonts w:hint="eastAsia" w:ascii="Times New Roman" w:hAnsi="Times New Roman" w:cs="Times New Roman"/>
          <w:bCs/>
          <w:color w:val="auto"/>
          <w:kern w:val="44"/>
          <w:sz w:val="24"/>
          <w:szCs w:val="24"/>
          <w:highlight w:val="none"/>
          <w:lang w:val="en-US" w:eastAsia="zh-CN"/>
        </w:rPr>
        <w:t>导线离</w:t>
      </w:r>
      <w:r>
        <w:rPr>
          <w:rFonts w:hint="eastAsia" w:ascii="Times New Roman" w:hAnsi="Times New Roman" w:cs="Times New Roman"/>
          <w:bCs/>
          <w:color w:val="auto"/>
          <w:kern w:val="44"/>
          <w:sz w:val="24"/>
          <w:szCs w:val="24"/>
          <w:highlight w:val="none"/>
          <w:lang w:eastAsia="zh-CN"/>
        </w:rPr>
        <w:t>地高度为6.5m、距地面1.5m时，本项目220kV双设单挂架设线路产生的工频电场强度最大值出现在距离线路中心-8m处，为</w:t>
      </w:r>
      <w:r>
        <w:rPr>
          <w:rFonts w:hint="eastAsia" w:ascii="Times New Roman" w:hAnsi="Times New Roman" w:cs="Times New Roman"/>
          <w:bCs/>
          <w:color w:val="auto"/>
          <w:kern w:val="44"/>
          <w:sz w:val="24"/>
          <w:szCs w:val="24"/>
          <w:highlight w:val="none"/>
          <w:lang w:val="en-US" w:eastAsia="zh-CN"/>
        </w:rPr>
        <w:t>6.8217</w:t>
      </w:r>
      <w:r>
        <w:rPr>
          <w:rFonts w:hint="eastAsia" w:ascii="Times New Roman" w:hAnsi="Times New Roman" w:cs="Times New Roman"/>
          <w:bCs/>
          <w:color w:val="auto"/>
          <w:kern w:val="44"/>
          <w:sz w:val="24"/>
          <w:szCs w:val="24"/>
          <w:highlight w:val="none"/>
          <w:lang w:eastAsia="zh-CN"/>
        </w:rPr>
        <w:t>kV/m；工频磁感应强度最大值出现在距离线路中心-8处，为</w:t>
      </w:r>
      <w:r>
        <w:rPr>
          <w:rFonts w:hint="eastAsia" w:ascii="Times New Roman" w:hAnsi="Times New Roman" w:cs="Times New Roman"/>
          <w:bCs/>
          <w:color w:val="auto"/>
          <w:kern w:val="44"/>
          <w:sz w:val="24"/>
          <w:szCs w:val="24"/>
          <w:highlight w:val="none"/>
          <w:lang w:val="en-US" w:eastAsia="zh-CN"/>
        </w:rPr>
        <w:t>35.5568</w:t>
      </w:r>
      <w:r>
        <w:rPr>
          <w:rFonts w:hint="eastAsia" w:ascii="Times New Roman" w:hAnsi="Times New Roman" w:cs="Times New Roman"/>
          <w:bCs/>
          <w:color w:val="auto"/>
          <w:kern w:val="44"/>
          <w:sz w:val="24"/>
          <w:szCs w:val="24"/>
          <w:highlight w:val="none"/>
          <w:lang w:eastAsia="zh-CN"/>
        </w:rPr>
        <w:t>μT。预测结果满足《电磁环境控制限值》（GB8702-2014）中其他地区工频电场强度10kV/m的标准要求；当按照非居民区导线</w:t>
      </w:r>
      <w:r>
        <w:rPr>
          <w:rFonts w:hint="eastAsia" w:ascii="Times New Roman" w:hAnsi="Times New Roman" w:cs="Times New Roman"/>
          <w:bCs/>
          <w:color w:val="auto"/>
          <w:kern w:val="44"/>
          <w:sz w:val="24"/>
          <w:szCs w:val="24"/>
          <w:highlight w:val="none"/>
          <w:lang w:val="en-US" w:eastAsia="zh-CN"/>
        </w:rPr>
        <w:t>设计</w:t>
      </w:r>
      <w:r>
        <w:rPr>
          <w:rFonts w:hint="eastAsia" w:ascii="Times New Roman" w:hAnsi="Times New Roman" w:cs="Times New Roman"/>
          <w:bCs/>
          <w:color w:val="auto"/>
          <w:kern w:val="44"/>
          <w:sz w:val="24"/>
          <w:szCs w:val="24"/>
          <w:highlight w:val="none"/>
          <w:lang w:eastAsia="zh-CN"/>
        </w:rPr>
        <w:t>最小对地高度为</w:t>
      </w:r>
      <w:r>
        <w:rPr>
          <w:rFonts w:hint="eastAsia" w:ascii="Times New Roman" w:hAnsi="Times New Roman" w:cs="Times New Roman"/>
          <w:bCs/>
          <w:color w:val="auto"/>
          <w:kern w:val="44"/>
          <w:sz w:val="24"/>
          <w:szCs w:val="24"/>
          <w:highlight w:val="none"/>
          <w:lang w:val="en-US" w:eastAsia="zh-CN"/>
        </w:rPr>
        <w:t>14.5</w:t>
      </w:r>
      <w:r>
        <w:rPr>
          <w:rFonts w:hint="eastAsia" w:ascii="Times New Roman" w:hAnsi="Times New Roman" w:cs="Times New Roman"/>
          <w:bCs/>
          <w:color w:val="auto"/>
          <w:kern w:val="44"/>
          <w:sz w:val="24"/>
          <w:szCs w:val="24"/>
          <w:highlight w:val="none"/>
          <w:lang w:eastAsia="zh-CN"/>
        </w:rPr>
        <w:t>m、距地面1.5m的设计要求架设线路时，本项目220kV双设单挂架设线路产生的工频电场强度最大值出现在距离线路中心-8m处，为</w:t>
      </w:r>
      <w:r>
        <w:rPr>
          <w:rFonts w:hint="eastAsia" w:ascii="Times New Roman" w:hAnsi="Times New Roman" w:cs="Times New Roman"/>
          <w:bCs/>
          <w:color w:val="auto"/>
          <w:kern w:val="44"/>
          <w:sz w:val="24"/>
          <w:szCs w:val="24"/>
          <w:highlight w:val="none"/>
          <w:lang w:val="en-US" w:eastAsia="zh-CN"/>
        </w:rPr>
        <w:t>1.8971</w:t>
      </w:r>
      <w:r>
        <w:rPr>
          <w:rFonts w:hint="eastAsia" w:ascii="Times New Roman" w:hAnsi="Times New Roman" w:cs="Times New Roman"/>
          <w:bCs/>
          <w:color w:val="auto"/>
          <w:kern w:val="44"/>
          <w:sz w:val="24"/>
          <w:szCs w:val="24"/>
          <w:highlight w:val="none"/>
          <w:lang w:eastAsia="zh-CN"/>
        </w:rPr>
        <w:t>kV/m；工频磁感应强度最大值出现在距离线路中心-8处，为</w:t>
      </w:r>
      <w:r>
        <w:rPr>
          <w:rFonts w:hint="eastAsia" w:ascii="Times New Roman" w:hAnsi="Times New Roman" w:cs="Times New Roman"/>
          <w:bCs/>
          <w:color w:val="auto"/>
          <w:kern w:val="44"/>
          <w:sz w:val="24"/>
          <w:szCs w:val="24"/>
          <w:highlight w:val="none"/>
          <w:lang w:val="en-US" w:eastAsia="zh-CN"/>
        </w:rPr>
        <w:t>9.286</w:t>
      </w:r>
      <w:r>
        <w:rPr>
          <w:rFonts w:hint="eastAsia" w:ascii="Times New Roman" w:hAnsi="Times New Roman" w:cs="Times New Roman"/>
          <w:bCs/>
          <w:color w:val="auto"/>
          <w:kern w:val="44"/>
          <w:sz w:val="24"/>
          <w:szCs w:val="24"/>
          <w:highlight w:val="none"/>
          <w:lang w:eastAsia="zh-CN"/>
        </w:rPr>
        <w:t>μT。预测结果满足《电磁环境控制限值》（GB8702-2014）中其他地区工频电场强度10kV/m的标准要求。</w:t>
      </w:r>
    </w:p>
    <w:p w14:paraId="2A2AC635">
      <w:pPr>
        <w:adjustRightInd w:val="0"/>
        <w:snapToGrid w:val="0"/>
        <w:spacing w:line="440" w:lineRule="exact"/>
        <w:ind w:firstLine="480" w:firstLineChars="200"/>
        <w:rPr>
          <w:rFonts w:hint="default" w:ascii="Times New Roman" w:hAnsi="Times New Roman" w:cs="Times New Roman"/>
          <w:color w:val="auto"/>
          <w:sz w:val="24"/>
          <w:highlight w:val="none"/>
        </w:rPr>
      </w:pPr>
      <w:bookmarkStart w:id="178" w:name="_Toc9164"/>
      <w:r>
        <w:rPr>
          <w:rFonts w:hint="default" w:ascii="Times New Roman" w:hAnsi="Times New Roman" w:cs="Times New Roman"/>
          <w:color w:val="auto"/>
          <w:sz w:val="24"/>
          <w:highlight w:val="none"/>
        </w:rPr>
        <w:t>根据预测计算结果，220kV单回路</w:t>
      </w:r>
      <w:r>
        <w:rPr>
          <w:rFonts w:hint="default" w:ascii="Times New Roman" w:hAnsi="Times New Roman" w:cs="Times New Roman"/>
          <w:color w:val="auto"/>
          <w:sz w:val="24"/>
          <w:highlight w:val="none"/>
          <w:lang w:val="en-US" w:eastAsia="zh-CN"/>
        </w:rPr>
        <w:t>三角排列</w:t>
      </w:r>
      <w:r>
        <w:rPr>
          <w:rFonts w:hint="default"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时，按</w:t>
      </w:r>
      <w:r>
        <w:rPr>
          <w:rFonts w:hint="default" w:ascii="Times New Roman" w:hAnsi="Times New Roman" w:cs="Times New Roman"/>
          <w:color w:val="auto"/>
          <w:sz w:val="24"/>
          <w:highlight w:val="none"/>
        </w:rPr>
        <w:t>照居民区导线最小对地高度为</w:t>
      </w:r>
      <w:r>
        <w:rPr>
          <w:rFonts w:hint="eastAsia"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.5m、距地面1.5m的设计要求架设线路时，项目220kV</w:t>
      </w:r>
      <w:r>
        <w:rPr>
          <w:rFonts w:hint="eastAsia" w:ascii="Times New Roman" w:hAnsi="Times New Roman" w:cs="Times New Roman"/>
          <w:color w:val="auto"/>
          <w:sz w:val="24"/>
          <w:highlight w:val="none"/>
          <w:lang w:val="en-US" w:eastAsia="zh-CN"/>
        </w:rPr>
        <w:t>单回路</w:t>
      </w:r>
      <w:r>
        <w:rPr>
          <w:rFonts w:hint="default" w:ascii="Times New Roman" w:hAnsi="Times New Roman" w:cs="Times New Roman"/>
          <w:color w:val="auto"/>
          <w:sz w:val="24"/>
          <w:highlight w:val="none"/>
        </w:rPr>
        <w:t>架设线路产生的工频电场强度最大值出现在距离线路中心-</w:t>
      </w:r>
      <w:r>
        <w:rPr>
          <w:rFonts w:hint="eastAsia" w:ascii="Times New Roman" w:hAnsi="Times New Roman" w:cs="Times New Roman"/>
          <w:color w:val="auto"/>
          <w:sz w:val="24"/>
          <w:highlight w:val="none"/>
          <w:lang w:val="en-US" w:eastAsia="zh-CN"/>
        </w:rPr>
        <w:t>9</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5.8631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39.4543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预测结果</w:t>
      </w:r>
      <w:r>
        <w:rPr>
          <w:rFonts w:hint="eastAsia" w:ascii="Times New Roman" w:hAnsi="Times New Roman" w:cs="Times New Roman"/>
          <w:color w:val="auto"/>
          <w:sz w:val="24"/>
          <w:highlight w:val="none"/>
          <w:lang w:val="en-US" w:eastAsia="zh-CN"/>
        </w:rPr>
        <w:t>不</w:t>
      </w:r>
      <w:r>
        <w:rPr>
          <w:rFonts w:hint="default" w:ascii="Times New Roman" w:hAnsi="Times New Roman" w:cs="Times New Roman"/>
          <w:color w:val="auto"/>
          <w:sz w:val="24"/>
          <w:highlight w:val="none"/>
        </w:rPr>
        <w:t>满足《电磁环境控制限值》（GB8702-2014）中工频电场4000V/m、工频磁场100μT公众曝露限值要求。</w:t>
      </w:r>
    </w:p>
    <w:p w14:paraId="126C1138">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因此，本项目要求按照设计导线最低高度进行架设，</w:t>
      </w:r>
      <w:r>
        <w:rPr>
          <w:rFonts w:hint="default" w:ascii="Times New Roman" w:hAnsi="Times New Roman" w:cs="Times New Roman"/>
          <w:color w:val="auto"/>
          <w:sz w:val="24"/>
          <w:highlight w:val="none"/>
        </w:rPr>
        <w:t>项目220kV架空线路采用单回架设</w:t>
      </w:r>
      <w:r>
        <w:rPr>
          <w:rFonts w:hint="default" w:ascii="Times New Roman" w:hAnsi="Times New Roman" w:cs="Times New Roman"/>
          <w:color w:val="auto"/>
          <w:sz w:val="24"/>
          <w:highlight w:val="none"/>
          <w:lang w:val="en-US" w:eastAsia="zh-CN"/>
        </w:rPr>
        <w:t>设计导线最低高度13.</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，线路下方距地面1.5m处的工频电场强度最大值出现在距离线路中心-</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2.1391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16.591</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工频电场、工频磁场能同时满足《电磁环境控制限值》（GB8702-2014）表1中工频电场4000V/m、工频磁场100μT公众曝露限值要求。</w:t>
      </w:r>
    </w:p>
    <w:p w14:paraId="31D194E8">
      <w:pPr>
        <w:pStyle w:val="4"/>
        <w:adjustRightInd w:val="0"/>
        <w:snapToGrid w:val="0"/>
        <w:spacing w:line="440" w:lineRule="exact"/>
        <w:rPr>
          <w:rFonts w:hint="eastAsia" w:ascii="Times New Roman" w:hAnsi="Times New Roman" w:eastAsia="宋体" w:cs="Times New Roman"/>
          <w:color w:val="auto"/>
        </w:rPr>
      </w:pPr>
      <w:r>
        <w:rPr>
          <w:rFonts w:ascii="Times New Roman" w:hAnsi="Times New Roman" w:eastAsia="宋体" w:cs="Times New Roman"/>
          <w:color w:val="auto"/>
        </w:rPr>
        <w:t>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电磁环境达标控制要求</w:t>
      </w:r>
      <w:bookmarkEnd w:id="178"/>
    </w:p>
    <w:p w14:paraId="273876AF">
      <w:pPr>
        <w:widowControl/>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根据预测结果可知</w:t>
      </w:r>
      <w:r>
        <w:rPr>
          <w:rFonts w:hint="eastAsia" w:ascii="Times New Roman" w:hAnsi="Times New Roman" w:cs="Times New Roman"/>
          <w:color w:val="auto"/>
          <w:sz w:val="24"/>
          <w:szCs w:val="24"/>
        </w:rPr>
        <w:t>，本项目</w:t>
      </w:r>
      <w:r>
        <w:rPr>
          <w:rFonts w:ascii="Times New Roman" w:hAnsi="Times New Roman" w:cs="Times New Roman"/>
          <w:color w:val="auto"/>
          <w:sz w:val="24"/>
          <w:szCs w:val="24"/>
        </w:rPr>
        <w:t>220kV输电线路</w:t>
      </w:r>
      <w:r>
        <w:rPr>
          <w:rFonts w:hint="eastAsia" w:ascii="Times New Roman" w:hAnsi="Times New Roman" w:cs="Times New Roman"/>
          <w:color w:val="auto"/>
          <w:sz w:val="24"/>
          <w:szCs w:val="24"/>
        </w:rPr>
        <w:t>采用单回和双设单挂架设时，</w:t>
      </w:r>
      <w:r>
        <w:rPr>
          <w:rFonts w:ascii="Times New Roman" w:hAnsi="Times New Roman" w:cs="Times New Roman"/>
          <w:color w:val="auto"/>
          <w:sz w:val="24"/>
          <w:szCs w:val="24"/>
        </w:rPr>
        <w:t>经过耕地及其他公众偶尔停留、活动场所时，当按照《110kV~750kV架空输电线路设计规范》（GB50545-2010）要求的非居民区导线</w:t>
      </w:r>
      <w:r>
        <w:rPr>
          <w:rFonts w:hint="eastAsia" w:ascii="Times New Roman" w:hAnsi="Times New Roman" w:cs="Times New Roman"/>
          <w:color w:val="auto"/>
          <w:sz w:val="24"/>
          <w:szCs w:val="24"/>
        </w:rPr>
        <w:t>对地面的最小距离</w:t>
      </w:r>
      <w:r>
        <w:rPr>
          <w:rFonts w:ascii="Times New Roman" w:hAnsi="Times New Roman" w:cs="Times New Roman"/>
          <w:color w:val="auto"/>
          <w:sz w:val="24"/>
          <w:szCs w:val="24"/>
        </w:rPr>
        <w:t>6.5m架设时，该场所的工频电场强度</w:t>
      </w:r>
      <w:r>
        <w:rPr>
          <w:rFonts w:hint="eastAsia" w:ascii="Times New Roman" w:hAnsi="Times New Roman" w:cs="Times New Roman"/>
          <w:color w:val="auto"/>
          <w:sz w:val="24"/>
          <w:szCs w:val="24"/>
        </w:rPr>
        <w:t>预测结果均能</w:t>
      </w:r>
      <w:r>
        <w:rPr>
          <w:rFonts w:ascii="Times New Roman" w:hAnsi="Times New Roman" w:cs="Times New Roman"/>
          <w:color w:val="auto"/>
          <w:sz w:val="24"/>
          <w:szCs w:val="24"/>
        </w:rPr>
        <w:t>满足10kV/m的控制限值要求。</w:t>
      </w:r>
    </w:p>
    <w:p w14:paraId="6C5691A2">
      <w:pPr>
        <w:widowControl/>
        <w:adjustRightInd w:val="0"/>
        <w:snapToGrid w:val="0"/>
        <w:spacing w:line="440" w:lineRule="exact"/>
        <w:ind w:firstLine="480" w:firstLineChars="200"/>
        <w:rPr>
          <w:rFonts w:hint="eastAsia"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根据预测计算结果，</w:t>
      </w:r>
      <w:r>
        <w:rPr>
          <w:rFonts w:hint="eastAsia" w:ascii="Times New Roman" w:hAnsi="Times New Roman" w:cs="Times New Roman"/>
          <w:color w:val="auto"/>
          <w:sz w:val="24"/>
          <w:szCs w:val="24"/>
          <w:highlight w:val="none"/>
        </w:rPr>
        <w:t>本项目</w:t>
      </w:r>
      <w:r>
        <w:rPr>
          <w:rFonts w:ascii="Times New Roman" w:hAnsi="Times New Roman" w:cs="Times New Roman"/>
          <w:color w:val="auto"/>
          <w:sz w:val="24"/>
          <w:szCs w:val="24"/>
          <w:highlight w:val="none"/>
        </w:rPr>
        <w:t>22</w:t>
      </w:r>
      <w:r>
        <w:rPr>
          <w:rFonts w:hint="eastAsia" w:ascii="Times New Roman" w:hAnsi="Times New Roman" w:cs="Times New Roman"/>
          <w:color w:val="auto"/>
          <w:sz w:val="24"/>
          <w:szCs w:val="24"/>
          <w:highlight w:val="none"/>
        </w:rPr>
        <w:t>0kV架空线路采用单回架设时对地高度</w:t>
      </w:r>
      <w:r>
        <w:rPr>
          <w:rFonts w:hint="eastAsia" w:ascii="Times New Roman" w:hAnsi="Times New Roman" w:cs="Times New Roman"/>
          <w:color w:val="auto"/>
          <w:sz w:val="24"/>
          <w:szCs w:val="24"/>
          <w:highlight w:val="none"/>
          <w:lang w:val="en-US" w:eastAsia="zh-CN"/>
        </w:rPr>
        <w:t>按照设计最小高度13.1</w:t>
      </w:r>
      <w:r>
        <w:rPr>
          <w:rFonts w:hint="eastAsia" w:ascii="Times New Roman" w:hAnsi="Times New Roman" w:cs="Times New Roman"/>
          <w:color w:val="auto"/>
          <w:sz w:val="24"/>
          <w:szCs w:val="24"/>
          <w:highlight w:val="none"/>
        </w:rPr>
        <w:t>m</w:t>
      </w:r>
      <w:r>
        <w:rPr>
          <w:rFonts w:hint="eastAsia" w:ascii="Times New Roman" w:hAnsi="Times New Roman" w:cs="Times New Roman"/>
          <w:color w:val="auto"/>
          <w:sz w:val="24"/>
          <w:szCs w:val="24"/>
          <w:highlight w:val="none"/>
          <w:lang w:val="en-US" w:eastAsia="zh-CN"/>
        </w:rPr>
        <w:t>时</w:t>
      </w:r>
      <w:r>
        <w:rPr>
          <w:rFonts w:hint="eastAsia" w:ascii="Times New Roman" w:hAnsi="Times New Roman" w:cs="Times New Roman"/>
          <w:color w:val="auto"/>
          <w:sz w:val="24"/>
          <w:szCs w:val="24"/>
          <w:highlight w:val="none"/>
        </w:rPr>
        <w:t>，线路下方距地面1.5m处的工频电场、工频磁场能同时满足《电磁环境控制限值》（</w:t>
      </w:r>
      <w:r>
        <w:rPr>
          <w:rFonts w:ascii="Times New Roman" w:hAnsi="Times New Roman" w:cs="Times New Roman"/>
          <w:color w:val="auto"/>
          <w:sz w:val="24"/>
          <w:szCs w:val="24"/>
          <w:highlight w:val="none"/>
        </w:rPr>
        <w:t>GB8702-2014</w:t>
      </w:r>
      <w:r>
        <w:rPr>
          <w:rFonts w:hint="eastAsia" w:ascii="Times New Roman" w:hAnsi="Times New Roman" w:cs="Times New Roman"/>
          <w:color w:val="auto"/>
          <w:sz w:val="24"/>
          <w:szCs w:val="24"/>
          <w:highlight w:val="none"/>
        </w:rPr>
        <w:t>）表</w:t>
      </w:r>
      <w:r>
        <w:rPr>
          <w:rFonts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rPr>
        <w:t>中工频电场</w:t>
      </w:r>
      <w:r>
        <w:rPr>
          <w:rFonts w:ascii="Times New Roman" w:hAnsi="Times New Roman" w:cs="Times New Roman"/>
          <w:color w:val="auto"/>
          <w:sz w:val="24"/>
          <w:szCs w:val="24"/>
          <w:highlight w:val="none"/>
        </w:rPr>
        <w:t>4000V/m</w:t>
      </w:r>
      <w:r>
        <w:rPr>
          <w:rFonts w:hint="eastAsia" w:ascii="Times New Roman" w:hAnsi="Times New Roman" w:cs="Times New Roman"/>
          <w:color w:val="auto"/>
          <w:sz w:val="24"/>
          <w:szCs w:val="24"/>
          <w:highlight w:val="none"/>
        </w:rPr>
        <w:t>、工频磁场</w:t>
      </w:r>
      <w:r>
        <w:rPr>
          <w:rFonts w:ascii="Times New Roman" w:hAnsi="Times New Roman" w:cs="Times New Roman"/>
          <w:color w:val="auto"/>
          <w:sz w:val="24"/>
          <w:szCs w:val="24"/>
          <w:highlight w:val="none"/>
        </w:rPr>
        <w:t>100μT</w:t>
      </w:r>
      <w:r>
        <w:rPr>
          <w:rFonts w:hint="eastAsia" w:ascii="Times New Roman" w:hAnsi="Times New Roman" w:cs="Times New Roman"/>
          <w:color w:val="auto"/>
          <w:sz w:val="24"/>
          <w:szCs w:val="24"/>
          <w:highlight w:val="none"/>
        </w:rPr>
        <w:t>公众曝露限值要求。</w:t>
      </w:r>
    </w:p>
    <w:p w14:paraId="34480E30">
      <w:pPr>
        <w:widowControl/>
        <w:adjustRightInd w:val="0"/>
        <w:snapToGrid w:val="0"/>
        <w:spacing w:line="440" w:lineRule="exact"/>
        <w:ind w:firstLine="480" w:firstLineChars="200"/>
        <w:rPr>
          <w:rFonts w:hint="eastAsia" w:ascii="Times New Roman" w:hAnsi="Times New Roman" w:cs="Times New Roman"/>
          <w:b/>
          <w:bCs/>
          <w:color w:val="auto"/>
          <w:kern w:val="44"/>
          <w:sz w:val="28"/>
          <w:szCs w:val="44"/>
        </w:rPr>
      </w:pPr>
      <w:r>
        <w:rPr>
          <w:rFonts w:ascii="Times New Roman" w:hAnsi="Times New Roman" w:cs="Times New Roman"/>
          <w:color w:val="auto"/>
          <w:sz w:val="24"/>
          <w:szCs w:val="24"/>
          <w:highlight w:val="none"/>
        </w:rPr>
        <w:t>根据预测计算结果，</w:t>
      </w:r>
      <w:r>
        <w:rPr>
          <w:rFonts w:hint="eastAsia" w:ascii="Times New Roman" w:hAnsi="Times New Roman" w:cs="Times New Roman"/>
          <w:color w:val="auto"/>
          <w:sz w:val="24"/>
          <w:szCs w:val="24"/>
          <w:highlight w:val="none"/>
        </w:rPr>
        <w:t>本项目</w:t>
      </w:r>
      <w:r>
        <w:rPr>
          <w:rFonts w:ascii="Times New Roman" w:hAnsi="Times New Roman" w:cs="Times New Roman"/>
          <w:color w:val="auto"/>
          <w:sz w:val="24"/>
          <w:szCs w:val="24"/>
          <w:highlight w:val="none"/>
        </w:rPr>
        <w:t>22</w:t>
      </w:r>
      <w:r>
        <w:rPr>
          <w:rFonts w:hint="eastAsia" w:ascii="Times New Roman" w:hAnsi="Times New Roman" w:cs="Times New Roman"/>
          <w:color w:val="auto"/>
          <w:sz w:val="24"/>
          <w:szCs w:val="24"/>
          <w:highlight w:val="none"/>
        </w:rPr>
        <w:t>0kV架空线路采用双设单挂架设时对地高度</w:t>
      </w:r>
      <w:r>
        <w:rPr>
          <w:rFonts w:hint="eastAsia" w:ascii="Times New Roman" w:hAnsi="Times New Roman" w:cs="Times New Roman"/>
          <w:color w:val="auto"/>
          <w:sz w:val="24"/>
          <w:szCs w:val="24"/>
          <w:highlight w:val="none"/>
          <w:lang w:val="en-US" w:eastAsia="zh-CN"/>
        </w:rPr>
        <w:t>按照设计最小高度14.5</w:t>
      </w:r>
      <w:r>
        <w:rPr>
          <w:rFonts w:hint="eastAsia" w:ascii="Times New Roman" w:hAnsi="Times New Roman" w:cs="Times New Roman"/>
          <w:color w:val="auto"/>
          <w:sz w:val="24"/>
          <w:szCs w:val="24"/>
          <w:highlight w:val="none"/>
        </w:rPr>
        <w:t>m</w:t>
      </w:r>
      <w:r>
        <w:rPr>
          <w:rFonts w:hint="eastAsia" w:ascii="Times New Roman" w:hAnsi="Times New Roman" w:cs="Times New Roman"/>
          <w:color w:val="auto"/>
          <w:sz w:val="24"/>
          <w:szCs w:val="24"/>
          <w:highlight w:val="none"/>
          <w:lang w:val="en-US" w:eastAsia="zh-CN"/>
        </w:rPr>
        <w:t>时</w:t>
      </w:r>
      <w:r>
        <w:rPr>
          <w:rFonts w:hint="eastAsia" w:ascii="Times New Roman" w:hAnsi="Times New Roman" w:cs="Times New Roman"/>
          <w:color w:val="auto"/>
          <w:sz w:val="24"/>
          <w:szCs w:val="24"/>
          <w:highlight w:val="none"/>
        </w:rPr>
        <w:t>，线路下方距地面1.5m处的工频电场、工频磁场能同时满足《电磁环境控制限值》（</w:t>
      </w:r>
      <w:r>
        <w:rPr>
          <w:rFonts w:ascii="Times New Roman" w:hAnsi="Times New Roman" w:cs="Times New Roman"/>
          <w:color w:val="auto"/>
          <w:sz w:val="24"/>
          <w:szCs w:val="24"/>
          <w:highlight w:val="none"/>
        </w:rPr>
        <w:t>GB8702-2014</w:t>
      </w:r>
      <w:r>
        <w:rPr>
          <w:rFonts w:hint="eastAsia" w:ascii="Times New Roman" w:hAnsi="Times New Roman" w:cs="Times New Roman"/>
          <w:color w:val="auto"/>
          <w:sz w:val="24"/>
          <w:szCs w:val="24"/>
          <w:highlight w:val="none"/>
        </w:rPr>
        <w:t>）表</w:t>
      </w:r>
      <w:r>
        <w:rPr>
          <w:rFonts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rPr>
        <w:t>中工频电场</w:t>
      </w:r>
      <w:r>
        <w:rPr>
          <w:rFonts w:ascii="Times New Roman" w:hAnsi="Times New Roman" w:cs="Times New Roman"/>
          <w:color w:val="auto"/>
          <w:sz w:val="24"/>
          <w:szCs w:val="24"/>
          <w:highlight w:val="none"/>
        </w:rPr>
        <w:t>4000V/m</w:t>
      </w:r>
      <w:r>
        <w:rPr>
          <w:rFonts w:hint="eastAsia" w:ascii="Times New Roman" w:hAnsi="Times New Roman" w:cs="Times New Roman"/>
          <w:color w:val="auto"/>
          <w:sz w:val="24"/>
          <w:szCs w:val="24"/>
          <w:highlight w:val="none"/>
        </w:rPr>
        <w:t>、工频磁场</w:t>
      </w:r>
      <w:r>
        <w:rPr>
          <w:rFonts w:ascii="Times New Roman" w:hAnsi="Times New Roman" w:cs="Times New Roman"/>
          <w:color w:val="auto"/>
          <w:sz w:val="24"/>
          <w:szCs w:val="24"/>
          <w:highlight w:val="none"/>
        </w:rPr>
        <w:t>100μT</w:t>
      </w:r>
      <w:r>
        <w:rPr>
          <w:rFonts w:hint="eastAsia" w:ascii="Times New Roman" w:hAnsi="Times New Roman" w:cs="Times New Roman"/>
          <w:color w:val="auto"/>
          <w:sz w:val="24"/>
          <w:szCs w:val="24"/>
          <w:highlight w:val="none"/>
        </w:rPr>
        <w:t>公众曝露限值要求。</w:t>
      </w:r>
      <w:r>
        <w:rPr>
          <w:rFonts w:ascii="Times New Roman" w:hAnsi="Times New Roman" w:cs="Times New Roman"/>
          <w:color w:val="auto"/>
        </w:rPr>
        <w:br w:type="page"/>
      </w:r>
    </w:p>
    <w:p w14:paraId="68497D5F">
      <w:pPr>
        <w:pStyle w:val="3"/>
        <w:jc w:val="left"/>
        <w:rPr>
          <w:rFonts w:hint="eastAsia" w:ascii="Times New Roman" w:hAnsi="Times New Roman" w:cs="Times New Roman"/>
          <w:color w:val="auto"/>
        </w:rPr>
      </w:pPr>
      <w:bookmarkStart w:id="179" w:name="_Toc74062925"/>
      <w:bookmarkStart w:id="180" w:name="_Toc30427"/>
      <w:r>
        <w:rPr>
          <w:rFonts w:ascii="Times New Roman" w:hAnsi="Times New Roman" w:cs="Times New Roman"/>
          <w:color w:val="auto"/>
        </w:rPr>
        <w:t>6 电磁环境保护设施、措施分析及论证</w:t>
      </w:r>
      <w:bookmarkEnd w:id="179"/>
      <w:bookmarkEnd w:id="180"/>
    </w:p>
    <w:p w14:paraId="1E8E200C">
      <w:pPr>
        <w:pStyle w:val="4"/>
        <w:rPr>
          <w:rFonts w:hint="eastAsia" w:ascii="Times New Roman" w:hAnsi="Times New Roman" w:eastAsia="宋体" w:cs="Times New Roman"/>
          <w:color w:val="auto"/>
        </w:rPr>
      </w:pPr>
      <w:bookmarkStart w:id="181" w:name="_Toc26344"/>
      <w:r>
        <w:rPr>
          <w:rFonts w:ascii="Times New Roman" w:hAnsi="Times New Roman" w:eastAsia="宋体" w:cs="Times New Roman"/>
          <w:color w:val="auto"/>
        </w:rPr>
        <w:t>6.1电磁防护措施</w:t>
      </w:r>
      <w:bookmarkEnd w:id="181"/>
    </w:p>
    <w:p w14:paraId="2ED92003">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（1）导线对地、交叉跨越距离满足电力设计规程要求；</w:t>
      </w:r>
    </w:p>
    <w:p w14:paraId="7241DB67">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（2）避让军事设施、重要通讯设施等环境保护目标；</w:t>
      </w:r>
    </w:p>
    <w:p w14:paraId="7582C8CD">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（3）线路交叉跨越公路和其他输电线路时，分别按有关设计规程、规定的要求，在交叉跨越段留有充裕的净高，使线路运行时对交叉跨越的对象无影响；</w:t>
      </w:r>
    </w:p>
    <w:p w14:paraId="00D7C596">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4）设置安全警示标志与加强宣传，输电线路铁塔座架上应于醒目位置设置安全警示标志，标明严禁攀登、线下高位操作应有防护措施等安全注意事项，以防居民尤其是儿童发生意外。同时加强对线路走廊附近居民有关高压输电线路和环保知识的宣传、解释工作。</w:t>
      </w:r>
    </w:p>
    <w:p w14:paraId="26390784">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5）按《电力设施保护条例》要求划定输电线路保护范围，合理选择杆塔塔型、导线型式等以降低线路工频电场和磁感应强度；若后期评价范围内新增电磁环境敏感目标，则采取线路水平偏移或抬升架高措施，保证后期新增敏感目标处电磁环境达标。</w:t>
      </w:r>
    </w:p>
    <w:p w14:paraId="092573EA">
      <w:pPr>
        <w:adjustRightInd w:val="0"/>
        <w:snapToGrid w:val="0"/>
        <w:spacing w:line="440" w:lineRule="exact"/>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开展运营期电磁环境监测和管理工作，切实减少对周围环境的电磁影响。</w:t>
      </w:r>
    </w:p>
    <w:p w14:paraId="4FD34287">
      <w:pPr>
        <w:pStyle w:val="4"/>
        <w:rPr>
          <w:rFonts w:hint="eastAsia" w:ascii="Times New Roman" w:hAnsi="Times New Roman" w:eastAsia="宋体" w:cs="Times New Roman"/>
          <w:color w:val="auto"/>
        </w:rPr>
      </w:pPr>
      <w:bookmarkStart w:id="182" w:name="_Toc14470"/>
      <w:r>
        <w:rPr>
          <w:rFonts w:ascii="Times New Roman" w:hAnsi="Times New Roman" w:eastAsia="宋体" w:cs="Times New Roman"/>
          <w:color w:val="auto"/>
        </w:rPr>
        <w:t>6.2电磁环境监测计划</w:t>
      </w:r>
      <w:bookmarkEnd w:id="182"/>
    </w:p>
    <w:p w14:paraId="22132E55">
      <w:pPr>
        <w:spacing w:line="360" w:lineRule="auto"/>
        <w:ind w:firstLine="480" w:firstLineChars="200"/>
        <w:rPr>
          <w:rFonts w:hint="eastAsia" w:ascii="Times New Roman" w:hAnsi="Times New Roman" w:cs="Times New Roman"/>
          <w:color w:val="auto"/>
          <w:sz w:val="24"/>
          <w:szCs w:val="24"/>
        </w:rPr>
      </w:pPr>
      <w:r>
        <w:rPr>
          <w:rFonts w:ascii="Times New Roman" w:hAnsi="Times New Roman" w:cs="Times New Roman"/>
          <w:color w:val="auto"/>
          <w:sz w:val="24"/>
          <w:szCs w:val="24"/>
        </w:rPr>
        <w:t>开展运行期工频电磁场环境监测工作，对与项目有关的主要人员，包括施工单位以及工程影响区域的居民，进行环境保护技术、政策方面的培训、电磁辐射知识的宣传，从而进一步提高人们的环保意识，增强环保管理的能力，尤其要使公众提高对环境污染的自我保护意识，并能更好地参与和监督项目的环保管理，减少项目运行产生的环境影响。各输变电建设项目建成后应按照国家环境保护</w:t>
      </w:r>
      <w:r>
        <w:rPr>
          <w:rFonts w:hint="eastAsia" w:ascii="Times New Roman" w:hAnsi="Times New Roman" w:cs="Times New Roman"/>
          <w:color w:val="auto"/>
          <w:sz w:val="24"/>
          <w:szCs w:val="24"/>
          <w:lang w:eastAsia="zh-CN"/>
        </w:rPr>
        <w:t>法律法规</w:t>
      </w:r>
      <w:r>
        <w:rPr>
          <w:rFonts w:ascii="Times New Roman" w:hAnsi="Times New Roman" w:cs="Times New Roman"/>
          <w:color w:val="auto"/>
          <w:sz w:val="24"/>
          <w:szCs w:val="24"/>
        </w:rPr>
        <w:t>，进行项目竣工环保验收，对工频电场、磁场等项目进行定期监测。运行期环境监测计划见下表。</w:t>
      </w:r>
    </w:p>
    <w:p w14:paraId="570FA430">
      <w:pPr>
        <w:ind w:firstLine="482" w:firstLineChars="200"/>
        <w:jc w:val="center"/>
        <w:rPr>
          <w:rFonts w:hint="eastAsia" w:ascii="Times New Roman" w:hAnsi="Times New Roman" w:cs="Times New Roman"/>
          <w:b/>
          <w:bCs/>
          <w:color w:val="auto"/>
          <w:sz w:val="24"/>
          <w:szCs w:val="24"/>
        </w:rPr>
      </w:pPr>
      <w:r>
        <w:rPr>
          <w:rFonts w:ascii="Times New Roman" w:hAnsi="Times New Roman" w:cs="Times New Roman"/>
          <w:b/>
          <w:bCs/>
          <w:color w:val="auto"/>
          <w:sz w:val="24"/>
          <w:szCs w:val="24"/>
        </w:rPr>
        <w:t>表6-1  环境监测计划</w:t>
      </w:r>
    </w:p>
    <w:tbl>
      <w:tblPr>
        <w:tblStyle w:val="27"/>
        <w:tblW w:w="93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812"/>
        <w:gridCol w:w="2343"/>
        <w:gridCol w:w="1232"/>
        <w:gridCol w:w="4294"/>
      </w:tblGrid>
      <w:tr w14:paraId="2C5B1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Align w:val="center"/>
          </w:tcPr>
          <w:p w14:paraId="10403DDA">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时段</w:t>
            </w:r>
          </w:p>
        </w:tc>
        <w:tc>
          <w:tcPr>
            <w:tcW w:w="812" w:type="dxa"/>
            <w:vAlign w:val="center"/>
          </w:tcPr>
          <w:p w14:paraId="3CE6627C">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项目</w:t>
            </w:r>
          </w:p>
        </w:tc>
        <w:tc>
          <w:tcPr>
            <w:tcW w:w="2343" w:type="dxa"/>
            <w:vAlign w:val="center"/>
          </w:tcPr>
          <w:p w14:paraId="268C2E9F">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工程减缓措施</w:t>
            </w:r>
          </w:p>
        </w:tc>
        <w:tc>
          <w:tcPr>
            <w:tcW w:w="1232" w:type="dxa"/>
            <w:vAlign w:val="center"/>
          </w:tcPr>
          <w:p w14:paraId="099D1A44">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监测项目</w:t>
            </w:r>
          </w:p>
        </w:tc>
        <w:tc>
          <w:tcPr>
            <w:tcW w:w="4294" w:type="dxa"/>
            <w:vAlign w:val="center"/>
          </w:tcPr>
          <w:p w14:paraId="66156BBF">
            <w:pPr>
              <w:adjustRightInd w:val="0"/>
              <w:snapToGrid w:val="0"/>
              <w:jc w:val="center"/>
              <w:rPr>
                <w:rFonts w:hint="eastAsia" w:ascii="Times New Roman" w:hAnsi="Times New Roman" w:cs="Times New Roman"/>
                <w:b/>
                <w:color w:val="auto"/>
                <w:szCs w:val="21"/>
              </w:rPr>
            </w:pPr>
            <w:r>
              <w:rPr>
                <w:rFonts w:ascii="Times New Roman" w:hAnsi="Times New Roman" w:cs="Times New Roman"/>
                <w:b/>
                <w:color w:val="auto"/>
                <w:szCs w:val="21"/>
              </w:rPr>
              <w:t>监测时间</w:t>
            </w:r>
          </w:p>
        </w:tc>
      </w:tr>
      <w:tr w14:paraId="22103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Align w:val="center"/>
          </w:tcPr>
          <w:p w14:paraId="6D9396FF">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运行期</w:t>
            </w:r>
          </w:p>
        </w:tc>
        <w:tc>
          <w:tcPr>
            <w:tcW w:w="812" w:type="dxa"/>
            <w:vAlign w:val="center"/>
          </w:tcPr>
          <w:p w14:paraId="6570E3D9">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工频电、磁场</w:t>
            </w:r>
          </w:p>
        </w:tc>
        <w:tc>
          <w:tcPr>
            <w:tcW w:w="2343" w:type="dxa"/>
            <w:vAlign w:val="center"/>
          </w:tcPr>
          <w:p w14:paraId="0CFB03EC">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采用良好的屏蔽防护，牢固各接头。控制架线高度。</w:t>
            </w:r>
          </w:p>
        </w:tc>
        <w:tc>
          <w:tcPr>
            <w:tcW w:w="1232" w:type="dxa"/>
            <w:vAlign w:val="center"/>
          </w:tcPr>
          <w:p w14:paraId="65483391">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工频电场、磁感应强度</w:t>
            </w:r>
          </w:p>
        </w:tc>
        <w:tc>
          <w:tcPr>
            <w:tcW w:w="4294" w:type="dxa"/>
            <w:vAlign w:val="center"/>
          </w:tcPr>
          <w:p w14:paraId="12C98981">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本工程建成试运行投产后，结合竣工环境保护验收监测一次。正常运行后主要针对环保投诉情况和工程运行工况的变化进行监测。</w:t>
            </w:r>
          </w:p>
        </w:tc>
      </w:tr>
      <w:tr w14:paraId="2E2C83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85" w:type="dxa"/>
            <w:gridSpan w:val="2"/>
            <w:vAlign w:val="center"/>
          </w:tcPr>
          <w:p w14:paraId="120BB63B">
            <w:pPr>
              <w:adjustRightInd w:val="0"/>
              <w:snapToGrid w:val="0"/>
              <w:jc w:val="center"/>
              <w:rPr>
                <w:rFonts w:hint="eastAsia" w:ascii="Times New Roman" w:hAnsi="Times New Roman" w:cs="Times New Roman"/>
                <w:color w:val="auto"/>
                <w:szCs w:val="21"/>
              </w:rPr>
            </w:pPr>
            <w:r>
              <w:rPr>
                <w:rFonts w:ascii="Times New Roman" w:hAnsi="Times New Roman" w:cs="Times New Roman"/>
                <w:color w:val="auto"/>
                <w:szCs w:val="21"/>
              </w:rPr>
              <w:t>监测布点位置及频次</w:t>
            </w:r>
          </w:p>
        </w:tc>
        <w:tc>
          <w:tcPr>
            <w:tcW w:w="7869" w:type="dxa"/>
            <w:gridSpan w:val="3"/>
            <w:vAlign w:val="center"/>
          </w:tcPr>
          <w:p w14:paraId="61D7A286">
            <w:pPr>
              <w:adjustRightInd w:val="0"/>
              <w:snapToGrid w:val="0"/>
              <w:jc w:val="left"/>
              <w:rPr>
                <w:rFonts w:hint="eastAsia" w:ascii="Times New Roman" w:hAnsi="Times New Roman" w:eastAsia="宋体" w:cs="Times New Roman"/>
                <w:color w:val="auto"/>
              </w:rPr>
            </w:pPr>
            <w:r>
              <w:rPr>
                <w:rFonts w:hint="eastAsia" w:ascii="Times New Roman" w:hAnsi="Times New Roman" w:eastAsia="宋体" w:cs="Times New Roman"/>
                <w:color w:val="auto"/>
              </w:rPr>
              <w:t>监测点位：架空线路起点、线路终点处，各监测高度在1.5m，测量工频电场及磁场；</w:t>
            </w:r>
          </w:p>
          <w:p w14:paraId="72F0A1B2">
            <w:pPr>
              <w:adjustRightInd w:val="0"/>
              <w:snapToGrid w:val="0"/>
              <w:jc w:val="left"/>
              <w:rPr>
                <w:rFonts w:hint="eastAsia" w:ascii="Times New Roman" w:hAnsi="Times New Roman" w:eastAsia="宋体" w:cs="Times New Roman"/>
                <w:color w:val="auto"/>
              </w:rPr>
            </w:pPr>
            <w:r>
              <w:rPr>
                <w:rFonts w:hint="eastAsia" w:ascii="Times New Roman" w:hAnsi="Times New Roman" w:eastAsia="宋体" w:cs="Times New Roman"/>
                <w:color w:val="auto"/>
              </w:rPr>
              <w:t>架空线路边导线垂线下布置监测点位，监测点距离为5m，顺序测至距离边导线对地投影外50m为止，各测点监测高度在1.5m，测量工频电场及磁场；</w:t>
            </w:r>
          </w:p>
          <w:p w14:paraId="78A4F0FA">
            <w:pPr>
              <w:adjustRightInd w:val="0"/>
              <w:snapToGrid w:val="0"/>
              <w:jc w:val="left"/>
              <w:rPr>
                <w:rFonts w:hint="eastAsia" w:ascii="Times New Roman" w:hAnsi="Times New Roman" w:eastAsia="宋体" w:cs="Times New Roman"/>
                <w:color w:val="auto"/>
              </w:rPr>
            </w:pPr>
            <w:r>
              <w:rPr>
                <w:rFonts w:hint="eastAsia" w:ascii="Times New Roman" w:hAnsi="Times New Roman" w:eastAsia="宋体" w:cs="Times New Roman"/>
                <w:color w:val="auto"/>
              </w:rPr>
              <w:t>输电线路运行期，评价范围内环境敏感点六合村</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石灰窑</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隧道工棚</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叶家冲村</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中梁子村</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国道停车区用房</w:t>
            </w:r>
            <w:r>
              <w:rPr>
                <w:rFonts w:hint="eastAsia" w:ascii="Times New Roman" w:hAnsi="Times New Roman" w:cs="Times New Roman"/>
                <w:color w:val="auto"/>
                <w:lang w:eastAsia="zh-CN"/>
              </w:rPr>
              <w:t>、</w:t>
            </w:r>
            <w:r>
              <w:rPr>
                <w:rFonts w:hint="eastAsia" w:ascii="Times New Roman" w:hAnsi="Times New Roman" w:eastAsia="宋体" w:cs="Times New Roman"/>
                <w:color w:val="auto"/>
              </w:rPr>
              <w:t>山背后村等布置</w:t>
            </w:r>
            <w:r>
              <w:rPr>
                <w:rFonts w:hint="eastAsia" w:ascii="Times New Roman" w:hAnsi="Times New Roman" w:cs="Times New Roman"/>
                <w:color w:val="auto"/>
                <w:lang w:val="en-US" w:eastAsia="zh-CN"/>
              </w:rPr>
              <w:t>7</w:t>
            </w:r>
            <w:r>
              <w:rPr>
                <w:rFonts w:hint="eastAsia" w:ascii="Times New Roman" w:hAnsi="Times New Roman" w:eastAsia="宋体" w:cs="Times New Roman"/>
                <w:color w:val="auto"/>
              </w:rPr>
              <w:t>个点，各测点的监测高度1.5m，测量工频电场及磁场。</w:t>
            </w:r>
          </w:p>
          <w:p w14:paraId="495F98B5">
            <w:pPr>
              <w:adjustRightInd w:val="0"/>
              <w:snapToGrid w:val="0"/>
              <w:jc w:val="left"/>
              <w:rPr>
                <w:rFonts w:hint="eastAsia" w:ascii="Times New Roman" w:hAnsi="Times New Roman" w:cs="Times New Roman"/>
                <w:color w:val="auto"/>
                <w:szCs w:val="21"/>
              </w:rPr>
            </w:pPr>
            <w:r>
              <w:rPr>
                <w:rFonts w:hint="eastAsia" w:ascii="Times New Roman" w:hAnsi="Times New Roman" w:eastAsia="宋体" w:cs="Times New Roman"/>
                <w:color w:val="auto"/>
              </w:rPr>
              <w:t>监测频率：工频电场及磁场监测1次。</w:t>
            </w:r>
          </w:p>
        </w:tc>
      </w:tr>
    </w:tbl>
    <w:p w14:paraId="344532A6">
      <w:pPr>
        <w:pStyle w:val="3"/>
        <w:jc w:val="left"/>
        <w:rPr>
          <w:rFonts w:hint="eastAsia" w:ascii="Times New Roman" w:hAnsi="Times New Roman" w:cs="Times New Roman"/>
          <w:color w:val="auto"/>
        </w:rPr>
      </w:pPr>
      <w:bookmarkStart w:id="183" w:name="_Toc1546"/>
      <w:bookmarkStart w:id="184" w:name="_Toc74062926"/>
      <w:r>
        <w:rPr>
          <w:rFonts w:ascii="Times New Roman" w:hAnsi="Times New Roman" w:cs="Times New Roman"/>
          <w:color w:val="auto"/>
        </w:rPr>
        <w:t>7 电磁环境专题小结</w:t>
      </w:r>
      <w:bookmarkEnd w:id="183"/>
      <w:bookmarkEnd w:id="184"/>
    </w:p>
    <w:p w14:paraId="1B6DE683">
      <w:pPr>
        <w:adjustRightInd w:val="0"/>
        <w:snapToGrid w:val="0"/>
        <w:spacing w:line="440" w:lineRule="exact"/>
        <w:ind w:firstLine="480" w:firstLineChars="200"/>
        <w:rPr>
          <w:rFonts w:hint="eastAsia" w:ascii="Times New Roman" w:hAnsi="Times New Roman" w:cs="Times New Roman"/>
          <w:bCs/>
          <w:color w:val="auto"/>
          <w:kern w:val="0"/>
          <w:sz w:val="24"/>
          <w:szCs w:val="24"/>
          <w:lang w:eastAsia="zh-CN"/>
        </w:rPr>
      </w:pPr>
      <w:r>
        <w:rPr>
          <w:rFonts w:ascii="Times New Roman" w:hAnsi="Times New Roman" w:cs="Times New Roman"/>
          <w:color w:val="auto"/>
          <w:sz w:val="24"/>
          <w:szCs w:val="24"/>
        </w:rPr>
        <w:t>通过环境质量现状监测调查分析，</w:t>
      </w:r>
      <w:r>
        <w:rPr>
          <w:rFonts w:hint="eastAsia" w:ascii="Times New Roman" w:hAnsi="Times New Roman" w:cs="Times New Roman"/>
          <w:color w:val="auto"/>
          <w:sz w:val="24"/>
          <w:szCs w:val="24"/>
          <w:lang w:val="en-US" w:eastAsia="zh-CN"/>
        </w:rPr>
        <w:t>220kV六合一升压站</w:t>
      </w:r>
      <w:r>
        <w:rPr>
          <w:rFonts w:hint="default" w:ascii="Times New Roman" w:hAnsi="Times New Roman" w:cs="Times New Roman"/>
          <w:bCs/>
          <w:color w:val="auto"/>
          <w:kern w:val="0"/>
          <w:sz w:val="24"/>
          <w:szCs w:val="24"/>
        </w:rPr>
        <w:t>站址中心的工频电场强度为30V/m~41V/m，工频磁感应强度范围为0.064μT~0.086μT，能满足《电磁环境控制限值》（GB8702-2014）</w:t>
      </w:r>
      <w:r>
        <w:rPr>
          <w:rFonts w:hint="eastAsia" w:ascii="Times New Roman" w:hAnsi="Times New Roman" w:cs="Times New Roman"/>
          <w:bCs/>
          <w:color w:val="auto"/>
          <w:kern w:val="0"/>
          <w:sz w:val="24"/>
          <w:szCs w:val="24"/>
          <w:lang w:val="en-US" w:eastAsia="zh-CN"/>
        </w:rPr>
        <w:t>公众曝露控制限值</w:t>
      </w:r>
      <w:r>
        <w:rPr>
          <w:rFonts w:hint="default" w:ascii="Times New Roman" w:hAnsi="Times New Roman" w:cs="Times New Roman"/>
          <w:bCs/>
          <w:color w:val="auto"/>
          <w:kern w:val="0"/>
          <w:sz w:val="24"/>
          <w:szCs w:val="24"/>
        </w:rPr>
        <w:t>标准（工频电场4000V/m、工频磁感应强度100μT）的要求</w:t>
      </w:r>
      <w:r>
        <w:rPr>
          <w:rFonts w:hint="eastAsia" w:ascii="Times New Roman" w:hAnsi="Times New Roman" w:cs="Times New Roman"/>
          <w:bCs/>
          <w:color w:val="auto"/>
          <w:kern w:val="0"/>
          <w:sz w:val="24"/>
          <w:szCs w:val="24"/>
          <w:lang w:eastAsia="zh-CN"/>
        </w:rPr>
        <w:t>。</w:t>
      </w:r>
    </w:p>
    <w:p w14:paraId="4C1F3959">
      <w:pPr>
        <w:adjustRightInd w:val="0"/>
        <w:snapToGrid w:val="0"/>
        <w:spacing w:line="440" w:lineRule="exact"/>
        <w:ind w:firstLine="480" w:firstLineChars="200"/>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500kV乐业变电站站址中心拟建站址中心处及附近的工频电场强度为0.352V/m，拟建站址中心处及附近的工频磁感应强度为0.0897μT，</w:t>
      </w:r>
      <w:r>
        <w:rPr>
          <w:rFonts w:hint="eastAsia" w:ascii="Times New Roman" w:hAnsi="Times New Roman" w:cs="Times New Roman"/>
          <w:color w:val="auto"/>
          <w:sz w:val="24"/>
          <w:szCs w:val="24"/>
        </w:rPr>
        <w:t>《电磁环境控制限值》（GB8702-2014）标准（工频电场4000V/m、工频磁感应强度100μT）的要求。</w:t>
      </w:r>
    </w:p>
    <w:p w14:paraId="6D488B8C">
      <w:pPr>
        <w:adjustRightInd w:val="0"/>
        <w:snapToGrid w:val="0"/>
        <w:spacing w:line="440" w:lineRule="exact"/>
        <w:ind w:firstLine="480" w:firstLineChars="200"/>
        <w:rPr>
          <w:rFonts w:ascii="Times New Roman" w:hAnsi="Times New Roman"/>
          <w:bCs/>
          <w:color w:val="auto"/>
          <w:kern w:val="0"/>
          <w:sz w:val="24"/>
          <w:szCs w:val="24"/>
        </w:rPr>
      </w:pPr>
      <w:r>
        <w:rPr>
          <w:rFonts w:ascii="Times New Roman" w:hAnsi="Times New Roman" w:cs="Times New Roman"/>
          <w:color w:val="auto"/>
          <w:sz w:val="24"/>
          <w:szCs w:val="24"/>
        </w:rPr>
        <w:t>根据现状监测结果可得：</w:t>
      </w:r>
      <w:r>
        <w:rPr>
          <w:rFonts w:ascii="Times New Roman" w:hAnsi="Times New Roman"/>
          <w:color w:val="auto"/>
          <w:sz w:val="24"/>
          <w:szCs w:val="24"/>
        </w:rPr>
        <w:t>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工频电场强度为</w:t>
      </w:r>
      <w:r>
        <w:rPr>
          <w:rFonts w:hint="eastAsia" w:ascii="Times New Roman" w:hAnsi="Times New Roman"/>
          <w:color w:val="auto"/>
          <w:sz w:val="24"/>
          <w:szCs w:val="24"/>
          <w:lang w:val="en-US" w:eastAsia="zh-CN"/>
        </w:rPr>
        <w:t>8.21</w:t>
      </w:r>
      <w:r>
        <w:rPr>
          <w:rFonts w:ascii="Times New Roman" w:hAnsi="Times New Roman"/>
          <w:color w:val="auto"/>
          <w:sz w:val="24"/>
          <w:szCs w:val="24"/>
        </w:rPr>
        <w:t>V/m~</w:t>
      </w:r>
      <w:r>
        <w:rPr>
          <w:rFonts w:hint="eastAsia" w:ascii="Times New Roman" w:hAnsi="Times New Roman"/>
          <w:color w:val="auto"/>
          <w:sz w:val="24"/>
          <w:szCs w:val="24"/>
          <w:lang w:val="en-US" w:eastAsia="zh-CN"/>
        </w:rPr>
        <w:t>24.62</w:t>
      </w:r>
      <w:r>
        <w:rPr>
          <w:rFonts w:ascii="Times New Roman" w:hAnsi="Times New Roman"/>
          <w:color w:val="auto"/>
          <w:sz w:val="24"/>
          <w:szCs w:val="24"/>
        </w:rPr>
        <w:t>V/m；线路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工频磁感应强度为0.0</w:t>
      </w:r>
      <w:r>
        <w:rPr>
          <w:rFonts w:hint="eastAsia" w:ascii="Times New Roman" w:hAnsi="Times New Roman"/>
          <w:color w:val="auto"/>
          <w:sz w:val="24"/>
          <w:szCs w:val="24"/>
          <w:lang w:val="en-US" w:eastAsia="zh-CN"/>
        </w:rPr>
        <w:t>4</w:t>
      </w:r>
      <w:r>
        <w:rPr>
          <w:rFonts w:ascii="Times New Roman" w:hAnsi="Times New Roman"/>
          <w:color w:val="auto"/>
          <w:sz w:val="24"/>
          <w:szCs w:val="24"/>
        </w:rPr>
        <w:t>μT~0.</w:t>
      </w:r>
      <w:r>
        <w:rPr>
          <w:rFonts w:hint="eastAsia" w:ascii="Times New Roman" w:hAnsi="Times New Roman"/>
          <w:color w:val="auto"/>
          <w:sz w:val="24"/>
          <w:szCs w:val="24"/>
          <w:lang w:val="en-US" w:eastAsia="zh-CN"/>
        </w:rPr>
        <w:t>11</w:t>
      </w:r>
      <w:r>
        <w:rPr>
          <w:rFonts w:ascii="Times New Roman" w:hAnsi="Times New Roman"/>
          <w:color w:val="auto"/>
          <w:sz w:val="24"/>
          <w:szCs w:val="24"/>
        </w:rPr>
        <w:t>μT，</w:t>
      </w:r>
      <w:r>
        <w:rPr>
          <w:rFonts w:ascii="Times New Roman" w:hAnsi="Times New Roman"/>
          <w:bCs/>
          <w:color w:val="auto"/>
          <w:kern w:val="0"/>
          <w:sz w:val="24"/>
          <w:szCs w:val="24"/>
        </w:rPr>
        <w:t>满足《电磁环境控制限值》（GB8702</w:t>
      </w:r>
      <w:r>
        <w:rPr>
          <w:rFonts w:hint="eastAsia" w:ascii="Times New Roman" w:hAnsi="Times New Roman"/>
          <w:bCs/>
          <w:color w:val="auto"/>
          <w:kern w:val="0"/>
          <w:sz w:val="24"/>
          <w:szCs w:val="24"/>
          <w:lang w:eastAsia="zh-CN"/>
        </w:rPr>
        <w:t>—</w:t>
      </w:r>
      <w:r>
        <w:rPr>
          <w:rFonts w:ascii="Times New Roman" w:hAnsi="Times New Roman"/>
          <w:bCs/>
          <w:color w:val="auto"/>
          <w:kern w:val="0"/>
          <w:sz w:val="24"/>
          <w:szCs w:val="24"/>
        </w:rPr>
        <w:t>2014）中4kV/m、100μT的环境质量限值要求。</w:t>
      </w:r>
    </w:p>
    <w:p w14:paraId="6642DBBC">
      <w:pPr>
        <w:adjustRightInd w:val="0"/>
        <w:snapToGrid w:val="0"/>
        <w:spacing w:line="440" w:lineRule="exact"/>
        <w:ind w:firstLine="480" w:firstLineChars="200"/>
        <w:rPr>
          <w:rFonts w:ascii="Times New Roman" w:hAnsi="Times New Roman"/>
          <w:bCs/>
          <w:color w:val="auto"/>
          <w:sz w:val="24"/>
          <w:szCs w:val="24"/>
        </w:rPr>
      </w:pPr>
      <w:r>
        <w:rPr>
          <w:rFonts w:ascii="Times New Roman" w:hAnsi="Times New Roman"/>
          <w:bCs/>
          <w:color w:val="auto"/>
          <w:sz w:val="24"/>
          <w:szCs w:val="24"/>
        </w:rPr>
        <w:t>当220kV单回输电线路经过耕地及其他公众偶尔停留、活动场所时，当按照《110kV~750kV架空输电线路设计规范》（GB50545-2010）要求的非居民区导线对地面的最小距离6.5m架设时，该场所的工频电场强度预测结果满足10kV/m的控制限值要求；当按照居民区导线最小对地高度为7.5m的设计要求架设线路时，“建筑物”处不能满足《电磁环境控制限值》（GB8702-2014）中工频电场强度4000V/m、工频磁感应强度100μT的公众曝露限值要求。</w:t>
      </w:r>
    </w:p>
    <w:p w14:paraId="5E7513EC">
      <w:pPr>
        <w:adjustRightInd w:val="0"/>
        <w:snapToGrid w:val="0"/>
        <w:spacing w:line="440" w:lineRule="exact"/>
        <w:ind w:firstLine="480" w:firstLineChars="200"/>
        <w:rPr>
          <w:rFonts w:hint="eastAsia" w:ascii="Times New Roman" w:hAnsi="Times New Roman" w:eastAsia="宋体" w:cs="Times New Roman"/>
          <w:bCs/>
          <w:color w:val="auto"/>
          <w:spacing w:val="-6"/>
          <w:sz w:val="24"/>
          <w:highlight w:val="none"/>
          <w:lang w:eastAsia="zh-CN"/>
        </w:rPr>
      </w:pPr>
      <w:r>
        <w:rPr>
          <w:rFonts w:hint="default" w:ascii="Times New Roman" w:hAnsi="Times New Roman" w:cs="Times New Roman"/>
          <w:bCs/>
          <w:color w:val="auto"/>
          <w:kern w:val="44"/>
          <w:sz w:val="24"/>
          <w:szCs w:val="24"/>
          <w:highlight w:val="none"/>
        </w:rPr>
        <w:t>本项目输电线路采用220kV单回路架设导线离地高度6.5m、距地面1.5m时，</w:t>
      </w:r>
      <w:r>
        <w:rPr>
          <w:rFonts w:hint="default" w:ascii="Times New Roman" w:hAnsi="Times New Roman" w:cs="Times New Roman"/>
          <w:bCs/>
          <w:color w:val="auto"/>
          <w:spacing w:val="-6"/>
          <w:sz w:val="24"/>
          <w:highlight w:val="none"/>
        </w:rPr>
        <w:t>220kV单回路</w:t>
      </w:r>
      <w:r>
        <w:rPr>
          <w:rFonts w:hint="default" w:ascii="Times New Roman" w:hAnsi="Times New Roman" w:cs="Times New Roman"/>
          <w:bCs/>
          <w:color w:val="auto"/>
          <w:spacing w:val="-6"/>
          <w:sz w:val="24"/>
          <w:highlight w:val="none"/>
          <w:lang w:val="en-US" w:eastAsia="zh-CN"/>
        </w:rPr>
        <w:t>三角排列</w:t>
      </w:r>
      <w:r>
        <w:rPr>
          <w:rFonts w:hint="default" w:ascii="Times New Roman" w:hAnsi="Times New Roman" w:cs="Times New Roman"/>
          <w:bCs/>
          <w:color w:val="auto"/>
          <w:spacing w:val="-6"/>
          <w:sz w:val="24"/>
          <w:highlight w:val="none"/>
        </w:rPr>
        <w:t>架设线路产生的工频电场强度最大值出现在距离线路中心</w:t>
      </w:r>
      <w:r>
        <w:rPr>
          <w:rFonts w:hint="default" w:ascii="Times New Roman" w:hAnsi="Times New Roman" w:cs="Times New Roman"/>
          <w:bCs/>
          <w:color w:val="auto"/>
          <w:spacing w:val="-6"/>
          <w:sz w:val="24"/>
          <w:highlight w:val="none"/>
          <w:lang w:val="en-US" w:eastAsia="zh-CN"/>
        </w:rPr>
        <w:t>-8</w:t>
      </w:r>
      <w:r>
        <w:rPr>
          <w:rFonts w:hint="default" w:ascii="Times New Roman" w:hAnsi="Times New Roman" w:cs="Times New Roman"/>
          <w:bCs/>
          <w:color w:val="auto"/>
          <w:spacing w:val="-6"/>
          <w:sz w:val="24"/>
          <w:highlight w:val="none"/>
        </w:rPr>
        <w:t>m处，为</w:t>
      </w:r>
      <w:r>
        <w:rPr>
          <w:rFonts w:hint="default" w:ascii="Times New Roman" w:hAnsi="Times New Roman" w:cs="Times New Roman"/>
          <w:bCs/>
          <w:color w:val="auto"/>
          <w:spacing w:val="-6"/>
          <w:sz w:val="24"/>
          <w:highlight w:val="none"/>
          <w:lang w:val="en-US" w:eastAsia="zh-CN"/>
        </w:rPr>
        <w:t>7.2556</w:t>
      </w:r>
      <w:r>
        <w:rPr>
          <w:rFonts w:hint="default" w:ascii="Times New Roman" w:hAnsi="Times New Roman" w:cs="Times New Roman"/>
          <w:bCs/>
          <w:color w:val="auto"/>
          <w:spacing w:val="-6"/>
          <w:sz w:val="24"/>
          <w:highlight w:val="none"/>
        </w:rPr>
        <w:t>kV/m；工频磁感应强度最大值出现在距离线路中心</w:t>
      </w:r>
      <w:r>
        <w:rPr>
          <w:rFonts w:hint="default" w:ascii="Times New Roman" w:hAnsi="Times New Roman" w:cs="Times New Roman"/>
          <w:bCs/>
          <w:color w:val="auto"/>
          <w:spacing w:val="-6"/>
          <w:sz w:val="24"/>
          <w:highlight w:val="none"/>
          <w:lang w:val="en-US" w:eastAsia="zh-CN"/>
        </w:rPr>
        <w:t>-6</w:t>
      </w:r>
      <w:r>
        <w:rPr>
          <w:rFonts w:hint="default" w:ascii="Times New Roman" w:hAnsi="Times New Roman" w:cs="Times New Roman"/>
          <w:bCs/>
          <w:color w:val="auto"/>
          <w:spacing w:val="-6"/>
          <w:sz w:val="24"/>
          <w:highlight w:val="none"/>
        </w:rPr>
        <w:t>m处，为</w:t>
      </w:r>
      <w:r>
        <w:rPr>
          <w:rFonts w:hint="default" w:ascii="Times New Roman" w:hAnsi="Times New Roman" w:cs="Times New Roman"/>
          <w:bCs/>
          <w:color w:val="auto"/>
          <w:spacing w:val="-6"/>
          <w:sz w:val="24"/>
          <w:highlight w:val="none"/>
          <w:lang w:val="en-US" w:eastAsia="zh-CN"/>
        </w:rPr>
        <w:t>47.9438</w:t>
      </w:r>
      <w:r>
        <w:rPr>
          <w:rFonts w:hint="default" w:ascii="Times New Roman" w:hAnsi="Times New Roman" w:cs="Times New Roman"/>
          <w:bCs/>
          <w:color w:val="auto"/>
          <w:spacing w:val="-6"/>
          <w:sz w:val="24"/>
          <w:highlight w:val="none"/>
        </w:rPr>
        <w:t>μT。预测结果满足《电磁环境控制限值》（GB8702-2014）中</w:t>
      </w:r>
      <w:r>
        <w:rPr>
          <w:rFonts w:hint="eastAsia" w:ascii="Times New Roman" w:hAnsi="Times New Roman" w:cs="Times New Roman"/>
          <w:bCs/>
          <w:color w:val="auto"/>
          <w:spacing w:val="-6"/>
          <w:sz w:val="24"/>
          <w:highlight w:val="none"/>
          <w:lang w:eastAsia="zh-CN"/>
        </w:rPr>
        <w:t>其他地区</w:t>
      </w:r>
      <w:r>
        <w:rPr>
          <w:rFonts w:hint="default" w:ascii="Times New Roman" w:hAnsi="Times New Roman" w:cs="Times New Roman"/>
          <w:bCs/>
          <w:color w:val="auto"/>
          <w:spacing w:val="-6"/>
          <w:sz w:val="24"/>
          <w:highlight w:val="none"/>
        </w:rPr>
        <w:t>工频电场强度10kV/m的标准要求</w:t>
      </w:r>
      <w:r>
        <w:rPr>
          <w:rFonts w:hint="eastAsia" w:ascii="Times New Roman" w:hAnsi="Times New Roman" w:cs="Times New Roman"/>
          <w:bCs/>
          <w:color w:val="auto"/>
          <w:spacing w:val="-6"/>
          <w:sz w:val="24"/>
          <w:highlight w:val="none"/>
          <w:lang w:eastAsia="zh-CN"/>
        </w:rPr>
        <w:t>；220kV单回路</w:t>
      </w:r>
      <w:r>
        <w:rPr>
          <w:rFonts w:hint="eastAsia" w:ascii="Times New Roman" w:hAnsi="Times New Roman" w:cs="Times New Roman"/>
          <w:bCs/>
          <w:color w:val="auto"/>
          <w:spacing w:val="-6"/>
          <w:sz w:val="24"/>
          <w:highlight w:val="none"/>
          <w:lang w:val="en-US" w:eastAsia="zh-CN"/>
        </w:rPr>
        <w:t>水平排列</w:t>
      </w:r>
      <w:r>
        <w:rPr>
          <w:rFonts w:hint="eastAsia" w:ascii="Times New Roman" w:hAnsi="Times New Roman" w:cs="Times New Roman"/>
          <w:bCs/>
          <w:color w:val="auto"/>
          <w:spacing w:val="-6"/>
          <w:sz w:val="24"/>
          <w:highlight w:val="none"/>
          <w:lang w:eastAsia="zh-CN"/>
        </w:rPr>
        <w:t>架设线路产生的工频电场强度最大值出现在距离线路中心</w:t>
      </w:r>
      <w:r>
        <w:rPr>
          <w:rFonts w:hint="eastAsia" w:ascii="Times New Roman" w:hAnsi="Times New Roman" w:cs="Times New Roman"/>
          <w:bCs/>
          <w:color w:val="auto"/>
          <w:spacing w:val="-6"/>
          <w:sz w:val="24"/>
          <w:highlight w:val="none"/>
          <w:lang w:val="en-US" w:eastAsia="zh-CN"/>
        </w:rPr>
        <w:t>-10</w:t>
      </w:r>
      <w:r>
        <w:rPr>
          <w:rFonts w:hint="eastAsia" w:ascii="Times New Roman" w:hAnsi="Times New Roman" w:cs="Times New Roman"/>
          <w:bCs/>
          <w:color w:val="auto"/>
          <w:spacing w:val="-6"/>
          <w:sz w:val="24"/>
          <w:highlight w:val="none"/>
          <w:lang w:eastAsia="zh-CN"/>
        </w:rPr>
        <w:t>m处，为7.</w:t>
      </w:r>
      <w:r>
        <w:rPr>
          <w:rFonts w:hint="eastAsia" w:ascii="Times New Roman" w:hAnsi="Times New Roman" w:cs="Times New Roman"/>
          <w:bCs/>
          <w:color w:val="auto"/>
          <w:spacing w:val="-6"/>
          <w:sz w:val="24"/>
          <w:highlight w:val="none"/>
          <w:lang w:val="en-US" w:eastAsia="zh-CN"/>
        </w:rPr>
        <w:t>5887</w:t>
      </w:r>
      <w:r>
        <w:rPr>
          <w:rFonts w:hint="eastAsia" w:ascii="Times New Roman" w:hAnsi="Times New Roman" w:cs="Times New Roman"/>
          <w:bCs/>
          <w:color w:val="auto"/>
          <w:spacing w:val="-6"/>
          <w:sz w:val="24"/>
          <w:highlight w:val="none"/>
          <w:lang w:eastAsia="zh-CN"/>
        </w:rPr>
        <w:t>kV/m；工频磁感应强度最大值出现在线路中心</w:t>
      </w:r>
      <w:r>
        <w:rPr>
          <w:rFonts w:hint="eastAsia" w:ascii="Times New Roman" w:hAnsi="Times New Roman" w:cs="Times New Roman"/>
          <w:bCs/>
          <w:color w:val="auto"/>
          <w:spacing w:val="-6"/>
          <w:sz w:val="24"/>
          <w:highlight w:val="none"/>
          <w:lang w:val="en-US" w:eastAsia="zh-CN"/>
        </w:rPr>
        <w:t>线正下方</w:t>
      </w:r>
      <w:r>
        <w:rPr>
          <w:rFonts w:hint="eastAsia" w:ascii="Times New Roman" w:hAnsi="Times New Roman" w:cs="Times New Roman"/>
          <w:bCs/>
          <w:color w:val="auto"/>
          <w:spacing w:val="-6"/>
          <w:sz w:val="24"/>
          <w:highlight w:val="none"/>
          <w:lang w:eastAsia="zh-CN"/>
        </w:rPr>
        <w:t>，为</w:t>
      </w:r>
      <w:r>
        <w:rPr>
          <w:rFonts w:hint="eastAsia" w:ascii="Times New Roman" w:hAnsi="Times New Roman" w:cs="Times New Roman"/>
          <w:bCs/>
          <w:color w:val="auto"/>
          <w:spacing w:val="-6"/>
          <w:sz w:val="24"/>
          <w:highlight w:val="none"/>
          <w:lang w:val="en-US" w:eastAsia="zh-CN"/>
        </w:rPr>
        <w:t>55.8425</w:t>
      </w:r>
      <w:r>
        <w:rPr>
          <w:rFonts w:hint="eastAsia" w:ascii="Times New Roman" w:hAnsi="Times New Roman" w:cs="Times New Roman"/>
          <w:bCs/>
          <w:color w:val="auto"/>
          <w:spacing w:val="-6"/>
          <w:sz w:val="24"/>
          <w:highlight w:val="none"/>
          <w:lang w:eastAsia="zh-CN"/>
        </w:rPr>
        <w:t>μT。预测结果满足《电磁环境控制限值》（GB8702-2014）中其他地区工频电场强度10kV/m的标准要求。</w:t>
      </w:r>
    </w:p>
    <w:p w14:paraId="230159D7">
      <w:pPr>
        <w:adjustRightInd w:val="0"/>
        <w:snapToGrid w:val="0"/>
        <w:spacing w:line="440" w:lineRule="exact"/>
        <w:ind w:firstLine="480" w:firstLineChars="200"/>
        <w:rPr>
          <w:rFonts w:hint="eastAsia" w:ascii="Times New Roman" w:hAnsi="Times New Roman" w:cs="Times New Roman"/>
          <w:bCs/>
          <w:color w:val="auto"/>
          <w:kern w:val="44"/>
          <w:sz w:val="24"/>
          <w:szCs w:val="24"/>
          <w:highlight w:val="none"/>
          <w:lang w:eastAsia="zh-CN"/>
        </w:rPr>
      </w:pPr>
      <w:r>
        <w:rPr>
          <w:rFonts w:hint="eastAsia" w:ascii="Times New Roman" w:hAnsi="Times New Roman" w:cs="Times New Roman"/>
          <w:bCs/>
          <w:color w:val="auto"/>
          <w:kern w:val="44"/>
          <w:sz w:val="24"/>
          <w:szCs w:val="24"/>
          <w:highlight w:val="none"/>
        </w:rPr>
        <w:t>本项目采用220kV双设单挂</w:t>
      </w:r>
      <w:r>
        <w:rPr>
          <w:rFonts w:ascii="Times New Roman" w:hAnsi="Times New Roman" w:cs="Times New Roman"/>
          <w:bCs/>
          <w:color w:val="auto"/>
          <w:kern w:val="44"/>
          <w:sz w:val="24"/>
          <w:szCs w:val="24"/>
          <w:highlight w:val="none"/>
        </w:rPr>
        <w:t>线路</w:t>
      </w:r>
      <w:r>
        <w:rPr>
          <w:rFonts w:hint="eastAsia" w:ascii="Times New Roman" w:hAnsi="Times New Roman" w:cs="Times New Roman"/>
          <w:bCs/>
          <w:color w:val="auto"/>
          <w:kern w:val="44"/>
          <w:sz w:val="24"/>
          <w:szCs w:val="24"/>
          <w:highlight w:val="none"/>
          <w:lang w:eastAsia="zh-CN"/>
        </w:rPr>
        <w:t>，</w:t>
      </w:r>
      <w:r>
        <w:rPr>
          <w:rFonts w:hint="eastAsia" w:ascii="Times New Roman" w:hAnsi="Times New Roman" w:cs="Times New Roman"/>
          <w:bCs/>
          <w:color w:val="auto"/>
          <w:kern w:val="44"/>
          <w:sz w:val="24"/>
          <w:szCs w:val="24"/>
          <w:highlight w:val="none"/>
          <w:lang w:val="en-US" w:eastAsia="zh-CN"/>
        </w:rPr>
        <w:t>导线离</w:t>
      </w:r>
      <w:r>
        <w:rPr>
          <w:rFonts w:hint="eastAsia" w:ascii="Times New Roman" w:hAnsi="Times New Roman" w:cs="Times New Roman"/>
          <w:bCs/>
          <w:color w:val="auto"/>
          <w:kern w:val="44"/>
          <w:sz w:val="24"/>
          <w:szCs w:val="24"/>
          <w:highlight w:val="none"/>
          <w:lang w:eastAsia="zh-CN"/>
        </w:rPr>
        <w:t>地高度为6.5m、距地面1.5m时，本项目220kV双设单挂架设线路产生的工频电场强度最大值出现在距离线路中心-8m处，为</w:t>
      </w:r>
      <w:r>
        <w:rPr>
          <w:rFonts w:hint="eastAsia" w:ascii="Times New Roman" w:hAnsi="Times New Roman" w:cs="Times New Roman"/>
          <w:bCs/>
          <w:color w:val="auto"/>
          <w:kern w:val="44"/>
          <w:sz w:val="24"/>
          <w:szCs w:val="24"/>
          <w:highlight w:val="none"/>
          <w:lang w:val="en-US" w:eastAsia="zh-CN"/>
        </w:rPr>
        <w:t>6.8217</w:t>
      </w:r>
      <w:r>
        <w:rPr>
          <w:rFonts w:hint="eastAsia" w:ascii="Times New Roman" w:hAnsi="Times New Roman" w:cs="Times New Roman"/>
          <w:bCs/>
          <w:color w:val="auto"/>
          <w:kern w:val="44"/>
          <w:sz w:val="24"/>
          <w:szCs w:val="24"/>
          <w:highlight w:val="none"/>
          <w:lang w:eastAsia="zh-CN"/>
        </w:rPr>
        <w:t>kV/m；工频磁感应强度最大值出现在距离线路中心-8处，为</w:t>
      </w:r>
      <w:r>
        <w:rPr>
          <w:rFonts w:hint="eastAsia" w:ascii="Times New Roman" w:hAnsi="Times New Roman" w:cs="Times New Roman"/>
          <w:bCs/>
          <w:color w:val="auto"/>
          <w:kern w:val="44"/>
          <w:sz w:val="24"/>
          <w:szCs w:val="24"/>
          <w:highlight w:val="none"/>
          <w:lang w:val="en-US" w:eastAsia="zh-CN"/>
        </w:rPr>
        <w:t>35.5568</w:t>
      </w:r>
      <w:r>
        <w:rPr>
          <w:rFonts w:hint="eastAsia" w:ascii="Times New Roman" w:hAnsi="Times New Roman" w:cs="Times New Roman"/>
          <w:bCs/>
          <w:color w:val="auto"/>
          <w:kern w:val="44"/>
          <w:sz w:val="24"/>
          <w:szCs w:val="24"/>
          <w:highlight w:val="none"/>
          <w:lang w:eastAsia="zh-CN"/>
        </w:rPr>
        <w:t>μT。预测结果满足《电磁环境控制限值》（GB8702-2014）中其他地区工频电场强度10kV/m的标准要求；当按照非居民区导线</w:t>
      </w:r>
      <w:r>
        <w:rPr>
          <w:rFonts w:hint="eastAsia" w:ascii="Times New Roman" w:hAnsi="Times New Roman" w:cs="Times New Roman"/>
          <w:bCs/>
          <w:color w:val="auto"/>
          <w:kern w:val="44"/>
          <w:sz w:val="24"/>
          <w:szCs w:val="24"/>
          <w:highlight w:val="none"/>
          <w:lang w:val="en-US" w:eastAsia="zh-CN"/>
        </w:rPr>
        <w:t>设计</w:t>
      </w:r>
      <w:r>
        <w:rPr>
          <w:rFonts w:hint="eastAsia" w:ascii="Times New Roman" w:hAnsi="Times New Roman" w:cs="Times New Roman"/>
          <w:bCs/>
          <w:color w:val="auto"/>
          <w:kern w:val="44"/>
          <w:sz w:val="24"/>
          <w:szCs w:val="24"/>
          <w:highlight w:val="none"/>
          <w:lang w:eastAsia="zh-CN"/>
        </w:rPr>
        <w:t>最小对地高度为</w:t>
      </w:r>
      <w:r>
        <w:rPr>
          <w:rFonts w:hint="eastAsia" w:ascii="Times New Roman" w:hAnsi="Times New Roman" w:cs="Times New Roman"/>
          <w:bCs/>
          <w:color w:val="auto"/>
          <w:kern w:val="44"/>
          <w:sz w:val="24"/>
          <w:szCs w:val="24"/>
          <w:highlight w:val="none"/>
          <w:lang w:val="en-US" w:eastAsia="zh-CN"/>
        </w:rPr>
        <w:t>14.5</w:t>
      </w:r>
      <w:r>
        <w:rPr>
          <w:rFonts w:hint="eastAsia" w:ascii="Times New Roman" w:hAnsi="Times New Roman" w:cs="Times New Roman"/>
          <w:bCs/>
          <w:color w:val="auto"/>
          <w:kern w:val="44"/>
          <w:sz w:val="24"/>
          <w:szCs w:val="24"/>
          <w:highlight w:val="none"/>
          <w:lang w:eastAsia="zh-CN"/>
        </w:rPr>
        <w:t>m、距地面1.5m的设计要求架设线路时，本项目220kV双设单挂架设线路产生的工频电场强度最大值出现在距离线路中心-8m处，为</w:t>
      </w:r>
      <w:r>
        <w:rPr>
          <w:rFonts w:hint="eastAsia" w:ascii="Times New Roman" w:hAnsi="Times New Roman" w:cs="Times New Roman"/>
          <w:bCs/>
          <w:color w:val="auto"/>
          <w:kern w:val="44"/>
          <w:sz w:val="24"/>
          <w:szCs w:val="24"/>
          <w:highlight w:val="none"/>
          <w:lang w:val="en-US" w:eastAsia="zh-CN"/>
        </w:rPr>
        <w:t>1.8971</w:t>
      </w:r>
      <w:r>
        <w:rPr>
          <w:rFonts w:hint="eastAsia" w:ascii="Times New Roman" w:hAnsi="Times New Roman" w:cs="Times New Roman"/>
          <w:bCs/>
          <w:color w:val="auto"/>
          <w:kern w:val="44"/>
          <w:sz w:val="24"/>
          <w:szCs w:val="24"/>
          <w:highlight w:val="none"/>
          <w:lang w:eastAsia="zh-CN"/>
        </w:rPr>
        <w:t>kV/m；工频磁感应强度最大值出现在距离线路中心-8处，为</w:t>
      </w:r>
      <w:r>
        <w:rPr>
          <w:rFonts w:hint="eastAsia" w:ascii="Times New Roman" w:hAnsi="Times New Roman" w:cs="Times New Roman"/>
          <w:bCs/>
          <w:color w:val="auto"/>
          <w:kern w:val="44"/>
          <w:sz w:val="24"/>
          <w:szCs w:val="24"/>
          <w:highlight w:val="none"/>
          <w:lang w:val="en-US" w:eastAsia="zh-CN"/>
        </w:rPr>
        <w:t>9.286</w:t>
      </w:r>
      <w:r>
        <w:rPr>
          <w:rFonts w:hint="eastAsia" w:ascii="Times New Roman" w:hAnsi="Times New Roman" w:cs="Times New Roman"/>
          <w:bCs/>
          <w:color w:val="auto"/>
          <w:kern w:val="44"/>
          <w:sz w:val="24"/>
          <w:szCs w:val="24"/>
          <w:highlight w:val="none"/>
          <w:lang w:eastAsia="zh-CN"/>
        </w:rPr>
        <w:t>μT。预测结果满足《电磁环境控制限值》（GB8702-2014）中其他地区工频电场强度10kV/m的标准要求。</w:t>
      </w:r>
    </w:p>
    <w:p w14:paraId="2B0B9E20">
      <w:pPr>
        <w:adjustRightInd w:val="0"/>
        <w:snapToGrid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根据预测计算结果，220kV单回路</w:t>
      </w:r>
      <w:r>
        <w:rPr>
          <w:rFonts w:hint="default" w:ascii="Times New Roman" w:hAnsi="Times New Roman" w:cs="Times New Roman"/>
          <w:color w:val="auto"/>
          <w:sz w:val="24"/>
          <w:highlight w:val="none"/>
          <w:lang w:val="en-US" w:eastAsia="zh-CN"/>
        </w:rPr>
        <w:t>三角排列</w:t>
      </w:r>
      <w:r>
        <w:rPr>
          <w:rFonts w:hint="default" w:ascii="Times New Roman" w:hAnsi="Times New Roman" w:cs="Times New Roman"/>
          <w:color w:val="auto"/>
          <w:sz w:val="24"/>
          <w:highlight w:val="none"/>
        </w:rPr>
        <w:t>架设</w:t>
      </w:r>
      <w:r>
        <w:rPr>
          <w:rFonts w:hint="eastAsia" w:ascii="Times New Roman" w:hAnsi="Times New Roman" w:cs="Times New Roman"/>
          <w:color w:val="auto"/>
          <w:sz w:val="24"/>
          <w:highlight w:val="none"/>
          <w:lang w:val="en-US" w:eastAsia="zh-CN"/>
        </w:rPr>
        <w:t>时，按</w:t>
      </w:r>
      <w:r>
        <w:rPr>
          <w:rFonts w:hint="default" w:ascii="Times New Roman" w:hAnsi="Times New Roman" w:cs="Times New Roman"/>
          <w:color w:val="auto"/>
          <w:sz w:val="24"/>
          <w:highlight w:val="none"/>
        </w:rPr>
        <w:t>照居民区导线最小对地高度为</w:t>
      </w:r>
      <w:r>
        <w:rPr>
          <w:rFonts w:hint="eastAsia"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.5m、距地面1.5m的设计要求架设线路时，项目220kV</w:t>
      </w:r>
      <w:r>
        <w:rPr>
          <w:rFonts w:hint="eastAsia" w:ascii="Times New Roman" w:hAnsi="Times New Roman" w:cs="Times New Roman"/>
          <w:color w:val="auto"/>
          <w:sz w:val="24"/>
          <w:highlight w:val="none"/>
          <w:lang w:val="en-US" w:eastAsia="zh-CN"/>
        </w:rPr>
        <w:t>单回路</w:t>
      </w:r>
      <w:r>
        <w:rPr>
          <w:rFonts w:hint="default" w:ascii="Times New Roman" w:hAnsi="Times New Roman" w:cs="Times New Roman"/>
          <w:color w:val="auto"/>
          <w:sz w:val="24"/>
          <w:highlight w:val="none"/>
        </w:rPr>
        <w:t>架设线路产生的工频电场强度最大值出现在距离线路中心-</w:t>
      </w:r>
      <w:r>
        <w:rPr>
          <w:rFonts w:hint="eastAsia" w:ascii="Times New Roman" w:hAnsi="Times New Roman" w:cs="Times New Roman"/>
          <w:color w:val="auto"/>
          <w:sz w:val="24"/>
          <w:highlight w:val="none"/>
          <w:lang w:val="en-US" w:eastAsia="zh-CN"/>
        </w:rPr>
        <w:t>9</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5.8631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39.4543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预测结果</w:t>
      </w:r>
      <w:r>
        <w:rPr>
          <w:rFonts w:hint="eastAsia" w:ascii="Times New Roman" w:hAnsi="Times New Roman" w:cs="Times New Roman"/>
          <w:color w:val="auto"/>
          <w:sz w:val="24"/>
          <w:highlight w:val="none"/>
          <w:lang w:val="en-US" w:eastAsia="zh-CN"/>
        </w:rPr>
        <w:t>不</w:t>
      </w:r>
      <w:r>
        <w:rPr>
          <w:rFonts w:hint="default" w:ascii="Times New Roman" w:hAnsi="Times New Roman" w:cs="Times New Roman"/>
          <w:color w:val="auto"/>
          <w:sz w:val="24"/>
          <w:highlight w:val="none"/>
        </w:rPr>
        <w:t>满足《电磁环境控制限值》（GB8702-2014）中工频电场4000V/m、工频磁场100μT公众曝露限值要求。</w:t>
      </w:r>
    </w:p>
    <w:p w14:paraId="0889DF99">
      <w:pPr>
        <w:adjustRightInd w:val="0"/>
        <w:snapToGrid w:val="0"/>
        <w:spacing w:line="440" w:lineRule="exact"/>
        <w:ind w:firstLine="480" w:firstLineChars="200"/>
        <w:rPr>
          <w:rFonts w:hint="eastAsia" w:ascii="Times New Roman" w:hAnsi="Times New Roman" w:cs="Times New Roman"/>
          <w:color w:val="auto"/>
        </w:rPr>
      </w:pPr>
      <w:r>
        <w:rPr>
          <w:rFonts w:hint="eastAsia" w:ascii="Times New Roman" w:hAnsi="Times New Roman" w:cs="Times New Roman"/>
          <w:color w:val="auto"/>
          <w:sz w:val="24"/>
          <w:highlight w:val="none"/>
          <w:lang w:val="en-US" w:eastAsia="zh-CN"/>
        </w:rPr>
        <w:t>因此，本项目要求按照设计导线最低高度进行架设，</w:t>
      </w:r>
      <w:r>
        <w:rPr>
          <w:rFonts w:hint="default" w:ascii="Times New Roman" w:hAnsi="Times New Roman" w:cs="Times New Roman"/>
          <w:color w:val="auto"/>
          <w:sz w:val="24"/>
          <w:highlight w:val="none"/>
        </w:rPr>
        <w:t>项目220kV架空线路采用单回架设</w:t>
      </w:r>
      <w:r>
        <w:rPr>
          <w:rFonts w:hint="default" w:ascii="Times New Roman" w:hAnsi="Times New Roman" w:cs="Times New Roman"/>
          <w:color w:val="auto"/>
          <w:sz w:val="24"/>
          <w:highlight w:val="none"/>
          <w:lang w:val="en-US" w:eastAsia="zh-CN"/>
        </w:rPr>
        <w:t>设计导线最低高度13.</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，线路下方距地面1.5m处的工频电场强度最大值出现在距离线路中心-</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m处，为</w:t>
      </w:r>
      <w:r>
        <w:rPr>
          <w:rFonts w:hint="eastAsia" w:ascii="Times New Roman" w:hAnsi="Times New Roman" w:cs="Times New Roman"/>
          <w:color w:val="auto"/>
          <w:sz w:val="24"/>
          <w:highlight w:val="none"/>
          <w:lang w:val="en-US" w:eastAsia="zh-CN"/>
        </w:rPr>
        <w:t>2.1391</w:t>
      </w:r>
      <w:r>
        <w:rPr>
          <w:rFonts w:hint="default" w:ascii="Times New Roman" w:hAnsi="Times New Roman" w:cs="Times New Roman"/>
          <w:color w:val="auto"/>
          <w:sz w:val="24"/>
          <w:highlight w:val="none"/>
        </w:rPr>
        <w:t>kV/m；工频磁感应强度最大值出现在距离线路中心-</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处，为</w:t>
      </w:r>
      <w:r>
        <w:rPr>
          <w:rFonts w:hint="eastAsia" w:ascii="Times New Roman" w:hAnsi="Times New Roman" w:cs="Times New Roman"/>
          <w:color w:val="auto"/>
          <w:sz w:val="24"/>
          <w:highlight w:val="none"/>
          <w:lang w:val="en-US" w:eastAsia="zh-CN"/>
        </w:rPr>
        <w:t>16.591</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工频电场、工频磁场能同时满足《电磁环境控制限值》（GB8702-2014）表1中工频电场4000V/m、工频磁场100μT公众曝露限值要求。</w:t>
      </w:r>
    </w:p>
    <w:p w14:paraId="1455C9C1">
      <w:pPr>
        <w:spacing w:line="360" w:lineRule="auto"/>
        <w:rPr>
          <w:rFonts w:ascii="Times New Roman" w:hAnsi="Times New Roman"/>
          <w:color w:val="auto"/>
        </w:rPr>
      </w:pPr>
    </w:p>
    <w:sectPr>
      <w:footerReference r:id="rId11" w:type="default"/>
      <w:pgSz w:w="11907" w:h="16839"/>
      <w:pgMar w:top="1418" w:right="1531" w:bottom="1418" w:left="1531" w:header="794" w:footer="90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1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1" w:fontKey="{ACE8D759-C55C-48F5-9E64-8440CBAAEBCA}"/>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方正仿宋_GB2312">
    <w:panose1 w:val="02000000000000000000"/>
    <w:charset w:val="86"/>
    <w:family w:val="auto"/>
    <w:pitch w:val="default"/>
    <w:sig w:usb0="A00002BF" w:usb1="184F6CFA" w:usb2="00000012" w:usb3="00000000" w:csb0="00040001" w:csb1="00000000"/>
    <w:embedRegular r:id="rId2" w:fontKey="{D4C6E8CD-47DE-4DC1-82BA-96D2A0985E98}"/>
  </w:font>
  <w:font w:name="Helvetica LT Pro">
    <w:panose1 w:val="020B0504020202020204"/>
    <w:charset w:val="00"/>
    <w:family w:val="auto"/>
    <w:pitch w:val="default"/>
    <w:sig w:usb0="A00002AF" w:usb1="5000204A" w:usb2="00000000" w:usb3="00000000" w:csb0="20000097" w:csb1="00000000"/>
  </w:font>
  <w:font w:name="Kata Bold">
    <w:panose1 w:val="00000000000000000000"/>
    <w:charset w:val="00"/>
    <w:family w:val="auto"/>
    <w:pitch w:val="default"/>
    <w:sig w:usb0="800000AF" w:usb1="1000204A" w:usb2="00000000" w:usb3="00000000" w:csb0="20000197" w:csb1="00000000"/>
  </w:font>
  <w:font w:name="Wingdings 2">
    <w:panose1 w:val="05020102010507070707"/>
    <w:charset w:val="02"/>
    <w:family w:val="roman"/>
    <w:pitch w:val="default"/>
    <w:sig w:usb0="00000000" w:usb1="00000000" w:usb2="00000000" w:usb3="00000000" w:csb0="80000000" w:csb1="00000000"/>
    <w:embedRegular r:id="rId3" w:fontKey="{B253E12B-4B91-4AFB-8A34-F1E778D1D176}"/>
  </w:font>
  <w:font w:name="仿宋">
    <w:panose1 w:val="02010609060101010101"/>
    <w:charset w:val="86"/>
    <w:family w:val="modern"/>
    <w:pitch w:val="default"/>
    <w:sig w:usb0="800002BF" w:usb1="38CF7CFA" w:usb2="00000016" w:usb3="00000000" w:csb0="00040001" w:csb1="00000000"/>
    <w:embedRegular r:id="rId4" w:fontKey="{1B03195E-EEC4-4C1A-B724-590055D111C4}"/>
  </w:font>
  <w:font w:name="方正楷体_GB2312">
    <w:panose1 w:val="02000000000000000000"/>
    <w:charset w:val="86"/>
    <w:family w:val="auto"/>
    <w:pitch w:val="default"/>
    <w:sig w:usb0="A00002BF" w:usb1="184F6CFA" w:usb2="00000012" w:usb3="00000000" w:csb0="00040001" w:csb1="00000000"/>
    <w:embedRegular r:id="rId5" w:fontKey="{5B88060E-65B0-4583-AF58-26A266605CCD}"/>
  </w:font>
  <w:font w:name="等线">
    <w:panose1 w:val="02010600030101010101"/>
    <w:charset w:val="86"/>
    <w:family w:val="auto"/>
    <w:pitch w:val="default"/>
    <w:sig w:usb0="A00002BF" w:usb1="38CF7CFA" w:usb2="00000016" w:usb3="00000000" w:csb0="0004000F" w:csb1="00000000"/>
    <w:embedRegular r:id="rId6" w:fontKey="{B7623DDC-C673-4AFC-9888-8D5CE3CCDFF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0F046">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84F905">
                          <w:pPr>
                            <w:pStyle w:val="17"/>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xvXo6AgAAc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L8b16OgIAAHMEAAAOAAAAAAAAAAEAIAAAAB8BAABkcnMvZTJvRG9j&#10;LnhtbFBLBQYAAAAABgAGAFkBAADLBQAAAAA=&#10;">
              <v:fill on="f" focussize="0,0"/>
              <v:stroke on="f" weight="0.5pt"/>
              <v:imagedata o:title=""/>
              <o:lock v:ext="edit" aspectratio="f"/>
              <v:textbox inset="0mm,0mm,0mm,0mm" style="mso-fit-shape-to-text:t;">
                <w:txbxContent>
                  <w:p w14:paraId="2D84F905">
                    <w:pPr>
                      <w:pStyle w:val="17"/>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79748">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7307C9">
                          <w:pPr>
                            <w:pStyle w:val="17"/>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7EJc6AgAAcw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rOxCXOgIAAHMEAAAOAAAAAAAAAAEAIAAAAB8BAABkcnMvZTJvRG9j&#10;LnhtbFBLBQYAAAAABgAGAFkBAADLBQAAAAA=&#10;">
              <v:fill on="f" focussize="0,0"/>
              <v:stroke on="f" weight="0.5pt"/>
              <v:imagedata o:title=""/>
              <o:lock v:ext="edit" aspectratio="f"/>
              <v:textbox inset="0mm,0mm,0mm,0mm" style="mso-fit-shape-to-text:t;">
                <w:txbxContent>
                  <w:p w14:paraId="507307C9">
                    <w:pPr>
                      <w:pStyle w:val="17"/>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3343">
    <w:pPr>
      <w:pStyle w:val="1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202565"/>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202565"/>
                      </a:xfrm>
                      <a:prstGeom prst="rect">
                        <a:avLst/>
                      </a:prstGeom>
                      <a:noFill/>
                      <a:ln w="6350">
                        <a:noFill/>
                      </a:ln>
                      <a:effectLst/>
                    </wps:spPr>
                    <wps:txbx>
                      <w:txbxContent>
                        <w:p w14:paraId="24B58CF2">
                          <w:pPr>
                            <w:pStyle w:val="17"/>
                            <w:rPr>
                              <w:rFonts w:ascii="Times New Roman" w:hAnsi="Times New Roman"/>
                              <w:sz w:val="21"/>
                              <w:szCs w:val="21"/>
                            </w:rPr>
                          </w:pPr>
                          <w:r>
                            <w:rPr>
                              <w:rFonts w:ascii="Times New Roman" w:hAnsi="Times New Roman"/>
                              <w:sz w:val="21"/>
                              <w:szCs w:val="21"/>
                            </w:rP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49</w:t>
                          </w:r>
                          <w:r>
                            <w:rPr>
                              <w:rFonts w:ascii="Times New Roman" w:hAnsi="Times New Roman"/>
                              <w:sz w:val="21"/>
                              <w:szCs w:val="21"/>
                            </w:rPr>
                            <w:fldChar w:fldCharType="end"/>
                          </w:r>
                          <w:r>
                            <w:rPr>
                              <w:rFonts w:ascii="Times New Roman" w:hAnsi="Times New Roman"/>
                              <w:sz w:val="21"/>
                              <w:szCs w:val="21"/>
                            </w:rPr>
                            <w:t xml:space="preserve">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5.95pt;width:144pt;mso-position-horizontal:outside;mso-position-horizontal-relative:margin;mso-wrap-style:none;z-index:251659264;mso-width-relative:page;mso-height-relative:page;" filled="f" stroked="f" coordsize="21600,21600" o:gfxdata="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LYIbA1QAAAAQBAAAPAAAAAAAAAAEAIAAAACIAAABkcnMvZG93bnJldi54&#10;bWxQSwECFAAUAAAACACHTuJAUGfxBjYCAABmBAAADgAAAAAAAAABACAAAAAkAQAAZHJzL2Uyb0Rv&#10;Yy54bWxQSwUGAAAAAAYABgBZAQAAzAUAAAAA&#10;">
              <v:fill on="f" focussize="0,0"/>
              <v:stroke on="f" weight="0.5pt"/>
              <v:imagedata o:title=""/>
              <o:lock v:ext="edit" aspectratio="f"/>
              <v:textbox inset="0mm,0mm,0mm,0mm">
                <w:txbxContent>
                  <w:p w14:paraId="24B58CF2">
                    <w:pPr>
                      <w:pStyle w:val="17"/>
                      <w:rPr>
                        <w:rFonts w:ascii="Times New Roman" w:hAnsi="Times New Roman"/>
                        <w:sz w:val="21"/>
                        <w:szCs w:val="21"/>
                      </w:rPr>
                    </w:pPr>
                    <w:r>
                      <w:rPr>
                        <w:rFonts w:ascii="Times New Roman" w:hAnsi="Times New Roman"/>
                        <w:sz w:val="21"/>
                        <w:szCs w:val="21"/>
                      </w:rP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49</w:t>
                    </w:r>
                    <w:r>
                      <w:rPr>
                        <w:rFonts w:ascii="Times New Roman" w:hAnsi="Times New Roman"/>
                        <w:sz w:val="21"/>
                        <w:szCs w:val="21"/>
                      </w:rPr>
                      <w:fldChar w:fldCharType="end"/>
                    </w:r>
                    <w:r>
                      <w:rPr>
                        <w:rFonts w:ascii="Times New Roman" w:hAnsi="Times New Roman"/>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5E964">
    <w:pPr>
      <w:pStyle w:val="17"/>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9F2152D">
                          <w:pPr>
                            <w:pStyle w:val="17"/>
                            <w:rPr>
                              <w:rFonts w:ascii="Times New Roman" w:hAnsi="Times New Roman" w:cs="Times New Roman"/>
                              <w:sz w:val="21"/>
                              <w:szCs w:val="21"/>
                            </w:rPr>
                          </w:pPr>
                          <w:r>
                            <w:rPr>
                              <w:rFonts w:ascii="Times New Roman" w:hAnsi="Times New Roman" w:cs="Times New Roman"/>
                              <w:sz w:val="21"/>
                              <w:szCs w:val="21"/>
                            </w:rPr>
                            <w:t xml:space="preserve">— </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38</w:t>
                          </w:r>
                          <w:r>
                            <w:rPr>
                              <w:rFonts w:ascii="Times New Roman" w:hAnsi="Times New Roman" w:cs="Times New Roman"/>
                              <w:sz w:val="21"/>
                              <w:szCs w:val="21"/>
                            </w:rPr>
                            <w:fldChar w:fldCharType="end"/>
                          </w:r>
                          <w:r>
                            <w:rPr>
                              <w:rFonts w:ascii="Times New Roman" w:hAnsi="Times New Roman" w:cs="Times New Roman"/>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yP7UxAgAAY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cyi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mDzLwlY/&#10;WB6hozzerg4BciaVoyi9EuhO3GD2Up+GdxKH+899in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Ecj+1MQIAAGMEAAAOAAAAAAAAAAEAIAAAAB8BAABkcnMvZTJvRG9jLnhtbFBLBQYA&#10;AAAABgAGAFkBAADCBQAAAAA=&#10;">
              <v:fill on="f" focussize="0,0"/>
              <v:stroke on="f" weight="0.5pt"/>
              <v:imagedata o:title=""/>
              <o:lock v:ext="edit" aspectratio="f"/>
              <v:textbox inset="0mm,0mm,0mm,0mm" style="mso-fit-shape-to-text:t;">
                <w:txbxContent>
                  <w:p w14:paraId="09F2152D">
                    <w:pPr>
                      <w:pStyle w:val="17"/>
                      <w:rPr>
                        <w:rFonts w:ascii="Times New Roman" w:hAnsi="Times New Roman" w:cs="Times New Roman"/>
                        <w:sz w:val="21"/>
                        <w:szCs w:val="21"/>
                      </w:rPr>
                    </w:pPr>
                    <w:r>
                      <w:rPr>
                        <w:rFonts w:ascii="Times New Roman" w:hAnsi="Times New Roman" w:cs="Times New Roman"/>
                        <w:sz w:val="21"/>
                        <w:szCs w:val="21"/>
                      </w:rPr>
                      <w:t xml:space="preserve">— </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38</w:t>
                    </w:r>
                    <w:r>
                      <w:rPr>
                        <w:rFonts w:ascii="Times New Roman" w:hAnsi="Times New Roman" w:cs="Times New Roman"/>
                        <w:sz w:val="21"/>
                        <w:szCs w:val="21"/>
                      </w:rPr>
                      <w:fldChar w:fldCharType="end"/>
                    </w:r>
                    <w:r>
                      <w:rPr>
                        <w:rFonts w:ascii="Times New Roman" w:hAnsi="Times New Roman" w:cs="Times New Roman"/>
                        <w:sz w:val="21"/>
                        <w:szCs w:val="21"/>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747AD">
    <w:pPr>
      <w:pStyle w:val="2"/>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7080" cy="219075"/>
              <wp:effectExtent l="0" t="0" r="0" b="0"/>
              <wp:wrapNone/>
              <wp:docPr id="97" name="文本框 57"/>
              <wp:cNvGraphicFramePr/>
              <a:graphic xmlns:a="http://schemas.openxmlformats.org/drawingml/2006/main">
                <a:graphicData uri="http://schemas.microsoft.com/office/word/2010/wordprocessingShape">
                  <wps:wsp>
                    <wps:cNvSpPr txBox="1"/>
                    <wps:spPr>
                      <a:xfrm>
                        <a:off x="0" y="0"/>
                        <a:ext cx="767080" cy="219075"/>
                      </a:xfrm>
                      <a:prstGeom prst="rect">
                        <a:avLst/>
                      </a:prstGeom>
                      <a:noFill/>
                      <a:ln>
                        <a:noFill/>
                      </a:ln>
                      <a:effectLst/>
                    </wps:spPr>
                    <wps:txbx>
                      <w:txbxContent>
                        <w:p w14:paraId="1295910D">
                          <w:pPr>
                            <w:spacing w:before="12"/>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 MERGEFORMAT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z w:val="18"/>
                            </w:rPr>
                            <w:t xml:space="preserve"> —</w:t>
                          </w:r>
                        </w:p>
                      </w:txbxContent>
                    </wps:txbx>
                    <wps:bodyPr lIns="0" tIns="0" rIns="0" bIns="0" upright="1"/>
                  </wps:wsp>
                </a:graphicData>
              </a:graphic>
            </wp:anchor>
          </w:drawing>
        </mc:Choice>
        <mc:Fallback>
          <w:pict>
            <v:shape id="文本框 57" o:spid="_x0000_s1026" o:spt="202" type="#_x0000_t202" style="position:absolute;left:0pt;margin-top:0pt;height:17.25pt;width:60.4pt;mso-position-horizontal:outside;mso-position-horizontal-relative:margin;z-index:251659264;mso-width-relative:page;mso-height-relative:page;" filled="f" stroked="f" coordsize="21600,21600" o:gfxdata="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54iCWdQAAAAEAQAADwAAAAAAAAABACAAAAAiAAAAZHJzL2Rvd25yZXYueG1sUEsB&#10;AhQAFAAAAAgAh07iQDrVJKrAAQAAgQMAAA4AAAAAAAAAAQAgAAAAIwEAAGRycy9lMm9Eb2MueG1s&#10;UEsFBgAAAAAGAAYAWQEAAFUFAAAAAA==&#10;">
              <v:fill on="f" focussize="0,0"/>
              <v:stroke on="f"/>
              <v:imagedata o:title=""/>
              <o:lock v:ext="edit" aspectratio="f"/>
              <v:textbox inset="0mm,0mm,0mm,0mm">
                <w:txbxContent>
                  <w:p w14:paraId="1295910D">
                    <w:pPr>
                      <w:spacing w:before="12"/>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 MERGEFORMAT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77D7E">
    <w:pPr>
      <w:pStyle w:val="18"/>
      <w:pBdr>
        <w:bottom w:val="double" w:color="auto" w:sz="8" w:space="1"/>
      </w:pBdr>
      <w:adjustRightInd w:val="0"/>
      <w:rPr>
        <w:sz w:val="21"/>
        <w:szCs w:val="21"/>
      </w:rPr>
    </w:pPr>
    <w:r>
      <w:rPr>
        <w:rFonts w:hint="eastAsia" w:ascii="Times New Roman" w:hAnsi="Times New Roman"/>
        <w:sz w:val="21"/>
        <w:szCs w:val="21"/>
      </w:rPr>
      <w:t>六合一至乐业变220kV送出线路工程</w:t>
    </w:r>
    <w:r>
      <w:rPr>
        <w:rFonts w:ascii="Times New Roman" w:hAnsi="Times New Roman"/>
        <w:sz w:val="21"/>
        <w:szCs w:val="21"/>
      </w:rPr>
      <w:t>环境影响报告表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52C6">
    <w:pPr>
      <w:pStyle w:val="18"/>
      <w:pBdr>
        <w:bottom w:val="double" w:color="auto" w:sz="8" w:space="1"/>
      </w:pBdr>
      <w:adjustRightInd w:val="0"/>
      <w:rPr>
        <w:sz w:val="21"/>
        <w:szCs w:val="21"/>
      </w:rPr>
    </w:pPr>
    <w:r>
      <w:rPr>
        <w:rFonts w:hint="eastAsia" w:ascii="Times New Roman" w:hAnsi="Times New Roman"/>
        <w:sz w:val="21"/>
        <w:szCs w:val="21"/>
      </w:rPr>
      <w:t>六合一至乐业变220kV送出线路工程</w:t>
    </w:r>
    <w:r>
      <w:rPr>
        <w:rFonts w:hint="eastAsia" w:ascii="Times New Roman" w:hAnsi="Times New Roman"/>
        <w:sz w:val="21"/>
        <w:szCs w:val="21"/>
        <w:lang w:val="en-US" w:eastAsia="zh-CN"/>
      </w:rPr>
      <w:t>生态</w:t>
    </w:r>
    <w:r>
      <w:rPr>
        <w:rFonts w:ascii="Times New Roman" w:hAnsi="Times New Roman"/>
        <w:sz w:val="21"/>
        <w:szCs w:val="21"/>
      </w:rPr>
      <w:t>环境影响报告表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D2257">
    <w:pPr>
      <w:pStyle w:val="18"/>
      <w:pBdr>
        <w:bottom w:val="double" w:color="auto" w:sz="8" w:space="1"/>
      </w:pBdr>
      <w:adjustRightInd w:val="0"/>
      <w:rPr>
        <w:rFonts w:ascii="Times New Roman" w:hAnsi="Times New Roman"/>
        <w:sz w:val="21"/>
        <w:szCs w:val="21"/>
      </w:rPr>
    </w:pPr>
    <w:r>
      <w:rPr>
        <w:rFonts w:hint="eastAsia" w:ascii="Times New Roman" w:hAnsi="Times New Roman"/>
        <w:sz w:val="21"/>
        <w:szCs w:val="21"/>
      </w:rPr>
      <w:t>六合一至乐业变220kV送出线路工程</w:t>
    </w:r>
    <w:r>
      <w:rPr>
        <w:rFonts w:hint="eastAsia" w:ascii="Times New Roman" w:hAnsi="Times New Roman"/>
        <w:sz w:val="21"/>
        <w:szCs w:val="21"/>
        <w:lang w:val="en-US" w:eastAsia="zh-CN"/>
      </w:rPr>
      <w:t>生态</w:t>
    </w:r>
    <w:r>
      <w:rPr>
        <w:rFonts w:ascii="Times New Roman" w:hAnsi="Times New Roman"/>
        <w:sz w:val="21"/>
        <w:szCs w:val="21"/>
      </w:rPr>
      <w:t>环境影响报告表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27BE6">
    <w:pPr>
      <w:pStyle w:val="18"/>
      <w:pBdr>
        <w:bottom w:val="double" w:color="auto" w:sz="8" w:space="1"/>
      </w:pBdr>
      <w:adjustRightInd w:val="0"/>
      <w:jc w:val="center"/>
      <w:rPr>
        <w:sz w:val="21"/>
        <w:szCs w:val="21"/>
      </w:rPr>
    </w:pPr>
    <w:r>
      <w:rPr>
        <w:rFonts w:hint="eastAsia" w:ascii="Times New Roman" w:hAnsi="Times New Roman"/>
        <w:sz w:val="21"/>
        <w:szCs w:val="21"/>
        <w:lang w:eastAsia="zh-CN"/>
      </w:rPr>
      <w:t>六合一至乐业变220kV送出线路工程</w:t>
    </w:r>
    <w:r>
      <w:rPr>
        <w:rFonts w:hint="eastAsia" w:ascii="Times New Roman" w:hAnsi="Times New Roman"/>
        <w:sz w:val="21"/>
        <w:szCs w:val="21"/>
        <w:lang w:val="en-US" w:eastAsia="zh-CN"/>
      </w:rPr>
      <w:t>生态</w:t>
    </w:r>
    <w:r>
      <w:rPr>
        <w:rFonts w:ascii="Times New Roman" w:hAnsi="Times New Roman"/>
        <w:sz w:val="21"/>
        <w:szCs w:val="21"/>
      </w:rPr>
      <w:t>环境影响报告表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19F8E"/>
    <w:multiLevelType w:val="singleLevel"/>
    <w:tmpl w:val="89C19F8E"/>
    <w:lvl w:ilvl="0" w:tentative="0">
      <w:start w:val="16"/>
      <w:numFmt w:val="decimal"/>
      <w:suff w:val="nothing"/>
      <w:lvlText w:val="%1、"/>
      <w:lvlJc w:val="left"/>
    </w:lvl>
  </w:abstractNum>
  <w:abstractNum w:abstractNumId="1">
    <w:nsid w:val="1C3F004F"/>
    <w:multiLevelType w:val="singleLevel"/>
    <w:tmpl w:val="1C3F004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xNmUzZWUyMDQ1MDZiNDQ2YTEwYjgwZDAzYjJiNmQifQ=="/>
  </w:docVars>
  <w:rsids>
    <w:rsidRoot w:val="00172A27"/>
    <w:rsid w:val="00003C80"/>
    <w:rsid w:val="0000701E"/>
    <w:rsid w:val="00012867"/>
    <w:rsid w:val="000134FF"/>
    <w:rsid w:val="00024B40"/>
    <w:rsid w:val="00026F86"/>
    <w:rsid w:val="00052A18"/>
    <w:rsid w:val="00055B3F"/>
    <w:rsid w:val="000A5F8A"/>
    <w:rsid w:val="000B2225"/>
    <w:rsid w:val="000B3D5D"/>
    <w:rsid w:val="000B42E9"/>
    <w:rsid w:val="000B5F7A"/>
    <w:rsid w:val="000C7539"/>
    <w:rsid w:val="000D6ACE"/>
    <w:rsid w:val="00106D8C"/>
    <w:rsid w:val="00106E8D"/>
    <w:rsid w:val="00127290"/>
    <w:rsid w:val="00134A9C"/>
    <w:rsid w:val="001353F2"/>
    <w:rsid w:val="001421D5"/>
    <w:rsid w:val="0015238D"/>
    <w:rsid w:val="00167137"/>
    <w:rsid w:val="001719A0"/>
    <w:rsid w:val="00172A27"/>
    <w:rsid w:val="00173318"/>
    <w:rsid w:val="001A35D7"/>
    <w:rsid w:val="001A73AC"/>
    <w:rsid w:val="001B3644"/>
    <w:rsid w:val="001D0DC1"/>
    <w:rsid w:val="001D111D"/>
    <w:rsid w:val="001D639D"/>
    <w:rsid w:val="001E2D06"/>
    <w:rsid w:val="001F1955"/>
    <w:rsid w:val="001F323E"/>
    <w:rsid w:val="002045C5"/>
    <w:rsid w:val="00204D0D"/>
    <w:rsid w:val="00217255"/>
    <w:rsid w:val="00251E11"/>
    <w:rsid w:val="002540BD"/>
    <w:rsid w:val="002718A2"/>
    <w:rsid w:val="00280D44"/>
    <w:rsid w:val="00286A97"/>
    <w:rsid w:val="00295F86"/>
    <w:rsid w:val="002966EC"/>
    <w:rsid w:val="002A748A"/>
    <w:rsid w:val="002D662C"/>
    <w:rsid w:val="002F38CD"/>
    <w:rsid w:val="00301557"/>
    <w:rsid w:val="00314836"/>
    <w:rsid w:val="003200A3"/>
    <w:rsid w:val="00330766"/>
    <w:rsid w:val="00335029"/>
    <w:rsid w:val="0035126C"/>
    <w:rsid w:val="00367AA2"/>
    <w:rsid w:val="0037597A"/>
    <w:rsid w:val="003766D8"/>
    <w:rsid w:val="003816AA"/>
    <w:rsid w:val="003823AE"/>
    <w:rsid w:val="00385114"/>
    <w:rsid w:val="003863D3"/>
    <w:rsid w:val="003940E5"/>
    <w:rsid w:val="00396A45"/>
    <w:rsid w:val="003A4774"/>
    <w:rsid w:val="003B6831"/>
    <w:rsid w:val="003D4943"/>
    <w:rsid w:val="003D5637"/>
    <w:rsid w:val="003E5889"/>
    <w:rsid w:val="00416D24"/>
    <w:rsid w:val="00425CE0"/>
    <w:rsid w:val="004327D2"/>
    <w:rsid w:val="00435906"/>
    <w:rsid w:val="004403DB"/>
    <w:rsid w:val="0044725E"/>
    <w:rsid w:val="00447D5B"/>
    <w:rsid w:val="00450776"/>
    <w:rsid w:val="00460AAB"/>
    <w:rsid w:val="004721D6"/>
    <w:rsid w:val="00473F8A"/>
    <w:rsid w:val="00481465"/>
    <w:rsid w:val="00483425"/>
    <w:rsid w:val="00491515"/>
    <w:rsid w:val="0049773E"/>
    <w:rsid w:val="004A3A9B"/>
    <w:rsid w:val="004E0561"/>
    <w:rsid w:val="00511759"/>
    <w:rsid w:val="00523D10"/>
    <w:rsid w:val="00524F1D"/>
    <w:rsid w:val="005314E3"/>
    <w:rsid w:val="005468EA"/>
    <w:rsid w:val="00552C05"/>
    <w:rsid w:val="00557C75"/>
    <w:rsid w:val="0056105E"/>
    <w:rsid w:val="00565121"/>
    <w:rsid w:val="00571C72"/>
    <w:rsid w:val="00573088"/>
    <w:rsid w:val="005857FC"/>
    <w:rsid w:val="005942B2"/>
    <w:rsid w:val="005A09CC"/>
    <w:rsid w:val="005B36B9"/>
    <w:rsid w:val="005B72B1"/>
    <w:rsid w:val="005B775B"/>
    <w:rsid w:val="005C6C0F"/>
    <w:rsid w:val="005F0DC9"/>
    <w:rsid w:val="006041D3"/>
    <w:rsid w:val="0060786F"/>
    <w:rsid w:val="00630250"/>
    <w:rsid w:val="00630470"/>
    <w:rsid w:val="00632F1C"/>
    <w:rsid w:val="00644597"/>
    <w:rsid w:val="00654ED5"/>
    <w:rsid w:val="00657211"/>
    <w:rsid w:val="00660777"/>
    <w:rsid w:val="00674522"/>
    <w:rsid w:val="00676262"/>
    <w:rsid w:val="006A4BCD"/>
    <w:rsid w:val="006B7EC0"/>
    <w:rsid w:val="006D4E21"/>
    <w:rsid w:val="006D5613"/>
    <w:rsid w:val="006D68AF"/>
    <w:rsid w:val="006F10B3"/>
    <w:rsid w:val="0070431B"/>
    <w:rsid w:val="00736831"/>
    <w:rsid w:val="00751B32"/>
    <w:rsid w:val="00765FEA"/>
    <w:rsid w:val="00771F15"/>
    <w:rsid w:val="00773095"/>
    <w:rsid w:val="00777C09"/>
    <w:rsid w:val="00787B29"/>
    <w:rsid w:val="007A48E1"/>
    <w:rsid w:val="007A60A4"/>
    <w:rsid w:val="007B5E22"/>
    <w:rsid w:val="007C1630"/>
    <w:rsid w:val="007C2D07"/>
    <w:rsid w:val="007D4FDC"/>
    <w:rsid w:val="007F1019"/>
    <w:rsid w:val="00805444"/>
    <w:rsid w:val="008114DF"/>
    <w:rsid w:val="00813D70"/>
    <w:rsid w:val="00816DD8"/>
    <w:rsid w:val="00821F6D"/>
    <w:rsid w:val="008220FA"/>
    <w:rsid w:val="0082275F"/>
    <w:rsid w:val="008268E2"/>
    <w:rsid w:val="008335A2"/>
    <w:rsid w:val="00837BD3"/>
    <w:rsid w:val="00837E59"/>
    <w:rsid w:val="008A5714"/>
    <w:rsid w:val="008A74DE"/>
    <w:rsid w:val="008B21EE"/>
    <w:rsid w:val="008D3DE4"/>
    <w:rsid w:val="008F1FA6"/>
    <w:rsid w:val="00907E7A"/>
    <w:rsid w:val="00924621"/>
    <w:rsid w:val="00924ED2"/>
    <w:rsid w:val="00927543"/>
    <w:rsid w:val="0093590F"/>
    <w:rsid w:val="00942684"/>
    <w:rsid w:val="009664C5"/>
    <w:rsid w:val="009761C2"/>
    <w:rsid w:val="009803A3"/>
    <w:rsid w:val="00990285"/>
    <w:rsid w:val="009A13B3"/>
    <w:rsid w:val="009A1B4E"/>
    <w:rsid w:val="009A238F"/>
    <w:rsid w:val="009B2698"/>
    <w:rsid w:val="009B67E3"/>
    <w:rsid w:val="009D1555"/>
    <w:rsid w:val="009E0002"/>
    <w:rsid w:val="009E41B2"/>
    <w:rsid w:val="009F7435"/>
    <w:rsid w:val="00A07794"/>
    <w:rsid w:val="00A24A68"/>
    <w:rsid w:val="00A32414"/>
    <w:rsid w:val="00A34207"/>
    <w:rsid w:val="00A376F6"/>
    <w:rsid w:val="00A437CA"/>
    <w:rsid w:val="00A44481"/>
    <w:rsid w:val="00A460B9"/>
    <w:rsid w:val="00A52BA9"/>
    <w:rsid w:val="00A53CE5"/>
    <w:rsid w:val="00A562DC"/>
    <w:rsid w:val="00A62154"/>
    <w:rsid w:val="00A659BB"/>
    <w:rsid w:val="00A6791F"/>
    <w:rsid w:val="00A70A99"/>
    <w:rsid w:val="00A717F9"/>
    <w:rsid w:val="00A83A82"/>
    <w:rsid w:val="00A84CE8"/>
    <w:rsid w:val="00A84F18"/>
    <w:rsid w:val="00A85BB8"/>
    <w:rsid w:val="00A90A41"/>
    <w:rsid w:val="00AA38DE"/>
    <w:rsid w:val="00AB3339"/>
    <w:rsid w:val="00AB651C"/>
    <w:rsid w:val="00AF1357"/>
    <w:rsid w:val="00AF6DB4"/>
    <w:rsid w:val="00B07D55"/>
    <w:rsid w:val="00B23DE4"/>
    <w:rsid w:val="00B27559"/>
    <w:rsid w:val="00B6085E"/>
    <w:rsid w:val="00B7040E"/>
    <w:rsid w:val="00B70AE8"/>
    <w:rsid w:val="00B70FCB"/>
    <w:rsid w:val="00B73C11"/>
    <w:rsid w:val="00B827F8"/>
    <w:rsid w:val="00B8771E"/>
    <w:rsid w:val="00B92181"/>
    <w:rsid w:val="00BA2829"/>
    <w:rsid w:val="00BB2728"/>
    <w:rsid w:val="00BB3326"/>
    <w:rsid w:val="00BB48FD"/>
    <w:rsid w:val="00BB6A81"/>
    <w:rsid w:val="00BC7214"/>
    <w:rsid w:val="00BC73EF"/>
    <w:rsid w:val="00BD2B31"/>
    <w:rsid w:val="00BD2DFA"/>
    <w:rsid w:val="00BD5160"/>
    <w:rsid w:val="00BF3EE4"/>
    <w:rsid w:val="00BF59FC"/>
    <w:rsid w:val="00C069BE"/>
    <w:rsid w:val="00C070B6"/>
    <w:rsid w:val="00C11CA8"/>
    <w:rsid w:val="00C12A4E"/>
    <w:rsid w:val="00C1724C"/>
    <w:rsid w:val="00C44E47"/>
    <w:rsid w:val="00C5749A"/>
    <w:rsid w:val="00C71671"/>
    <w:rsid w:val="00C72677"/>
    <w:rsid w:val="00C74D6E"/>
    <w:rsid w:val="00C76AD1"/>
    <w:rsid w:val="00C83280"/>
    <w:rsid w:val="00CA500F"/>
    <w:rsid w:val="00CB53FB"/>
    <w:rsid w:val="00CC2E3F"/>
    <w:rsid w:val="00CE7921"/>
    <w:rsid w:val="00D16EFC"/>
    <w:rsid w:val="00D43C41"/>
    <w:rsid w:val="00D468C2"/>
    <w:rsid w:val="00D51605"/>
    <w:rsid w:val="00D64CE0"/>
    <w:rsid w:val="00D702F6"/>
    <w:rsid w:val="00D74CC5"/>
    <w:rsid w:val="00D75D55"/>
    <w:rsid w:val="00D76791"/>
    <w:rsid w:val="00DB2092"/>
    <w:rsid w:val="00DB6A0F"/>
    <w:rsid w:val="00DC215C"/>
    <w:rsid w:val="00DD00BB"/>
    <w:rsid w:val="00DD407F"/>
    <w:rsid w:val="00E0187E"/>
    <w:rsid w:val="00E15A8C"/>
    <w:rsid w:val="00E4002F"/>
    <w:rsid w:val="00E83304"/>
    <w:rsid w:val="00E87EB3"/>
    <w:rsid w:val="00E90218"/>
    <w:rsid w:val="00EA1D20"/>
    <w:rsid w:val="00EB1862"/>
    <w:rsid w:val="00EB60B2"/>
    <w:rsid w:val="00ED2486"/>
    <w:rsid w:val="00EE1202"/>
    <w:rsid w:val="00EE6337"/>
    <w:rsid w:val="00EF1E5C"/>
    <w:rsid w:val="00EF288B"/>
    <w:rsid w:val="00EF342B"/>
    <w:rsid w:val="00EF3B06"/>
    <w:rsid w:val="00EF73A7"/>
    <w:rsid w:val="00F045A1"/>
    <w:rsid w:val="00F11121"/>
    <w:rsid w:val="00F11262"/>
    <w:rsid w:val="00F11827"/>
    <w:rsid w:val="00F15494"/>
    <w:rsid w:val="00F4300D"/>
    <w:rsid w:val="00F45578"/>
    <w:rsid w:val="00F543A1"/>
    <w:rsid w:val="00F60B28"/>
    <w:rsid w:val="00F61CC1"/>
    <w:rsid w:val="00F63318"/>
    <w:rsid w:val="00F645EF"/>
    <w:rsid w:val="00F66C7C"/>
    <w:rsid w:val="00F72EC3"/>
    <w:rsid w:val="00F74A57"/>
    <w:rsid w:val="00F761D7"/>
    <w:rsid w:val="00F8309B"/>
    <w:rsid w:val="00F92213"/>
    <w:rsid w:val="00FB179F"/>
    <w:rsid w:val="00FF14C5"/>
    <w:rsid w:val="0110155D"/>
    <w:rsid w:val="01111356"/>
    <w:rsid w:val="012960C0"/>
    <w:rsid w:val="01300338"/>
    <w:rsid w:val="01365A12"/>
    <w:rsid w:val="013E4D38"/>
    <w:rsid w:val="01451EA5"/>
    <w:rsid w:val="014C327B"/>
    <w:rsid w:val="014F009D"/>
    <w:rsid w:val="0160249E"/>
    <w:rsid w:val="01635C49"/>
    <w:rsid w:val="01722544"/>
    <w:rsid w:val="017377AB"/>
    <w:rsid w:val="0176597C"/>
    <w:rsid w:val="018856AF"/>
    <w:rsid w:val="018B10E9"/>
    <w:rsid w:val="01934C0B"/>
    <w:rsid w:val="019B3634"/>
    <w:rsid w:val="019C26CF"/>
    <w:rsid w:val="01A73D87"/>
    <w:rsid w:val="01BC5F60"/>
    <w:rsid w:val="01CA5CC8"/>
    <w:rsid w:val="01CB049F"/>
    <w:rsid w:val="01D60B10"/>
    <w:rsid w:val="01F22AA8"/>
    <w:rsid w:val="02005B8D"/>
    <w:rsid w:val="02062ECC"/>
    <w:rsid w:val="0213141D"/>
    <w:rsid w:val="02391EC8"/>
    <w:rsid w:val="023B79A0"/>
    <w:rsid w:val="024141DC"/>
    <w:rsid w:val="024F56D9"/>
    <w:rsid w:val="027F5837"/>
    <w:rsid w:val="02820350"/>
    <w:rsid w:val="02996783"/>
    <w:rsid w:val="029A53B8"/>
    <w:rsid w:val="02A97FD3"/>
    <w:rsid w:val="02C062AF"/>
    <w:rsid w:val="03064D65"/>
    <w:rsid w:val="031439CE"/>
    <w:rsid w:val="03163E1D"/>
    <w:rsid w:val="03226F63"/>
    <w:rsid w:val="0328714A"/>
    <w:rsid w:val="03340329"/>
    <w:rsid w:val="03451AAA"/>
    <w:rsid w:val="034572FF"/>
    <w:rsid w:val="034D7DF4"/>
    <w:rsid w:val="035C0C82"/>
    <w:rsid w:val="03910037"/>
    <w:rsid w:val="03912F41"/>
    <w:rsid w:val="039461BE"/>
    <w:rsid w:val="03971347"/>
    <w:rsid w:val="03B04EC3"/>
    <w:rsid w:val="03C95CF6"/>
    <w:rsid w:val="03D53369"/>
    <w:rsid w:val="03DD0A1F"/>
    <w:rsid w:val="03F50C28"/>
    <w:rsid w:val="03FC33C3"/>
    <w:rsid w:val="03FD567C"/>
    <w:rsid w:val="040C0819"/>
    <w:rsid w:val="0418429D"/>
    <w:rsid w:val="041B280B"/>
    <w:rsid w:val="042D7C0E"/>
    <w:rsid w:val="042E0900"/>
    <w:rsid w:val="044C0200"/>
    <w:rsid w:val="0450456D"/>
    <w:rsid w:val="047479E8"/>
    <w:rsid w:val="047D761A"/>
    <w:rsid w:val="048D3637"/>
    <w:rsid w:val="048E5C36"/>
    <w:rsid w:val="049109BF"/>
    <w:rsid w:val="04BA64C7"/>
    <w:rsid w:val="04C11FEC"/>
    <w:rsid w:val="04C32311"/>
    <w:rsid w:val="04DF5A55"/>
    <w:rsid w:val="04E80FEA"/>
    <w:rsid w:val="04F217BD"/>
    <w:rsid w:val="05007E4B"/>
    <w:rsid w:val="05045F76"/>
    <w:rsid w:val="051E7435"/>
    <w:rsid w:val="05211A4B"/>
    <w:rsid w:val="05310328"/>
    <w:rsid w:val="0532605E"/>
    <w:rsid w:val="0539694D"/>
    <w:rsid w:val="05767634"/>
    <w:rsid w:val="05793C8D"/>
    <w:rsid w:val="0579702F"/>
    <w:rsid w:val="057B2E93"/>
    <w:rsid w:val="05924D4E"/>
    <w:rsid w:val="05B60A3D"/>
    <w:rsid w:val="05C8557F"/>
    <w:rsid w:val="05D76C05"/>
    <w:rsid w:val="05EA7051"/>
    <w:rsid w:val="05ED2C76"/>
    <w:rsid w:val="060B7A81"/>
    <w:rsid w:val="062863DB"/>
    <w:rsid w:val="0629256F"/>
    <w:rsid w:val="062E1CEF"/>
    <w:rsid w:val="063002EF"/>
    <w:rsid w:val="063876A4"/>
    <w:rsid w:val="064D1BE8"/>
    <w:rsid w:val="06583ECE"/>
    <w:rsid w:val="065B1549"/>
    <w:rsid w:val="06610229"/>
    <w:rsid w:val="067B5B39"/>
    <w:rsid w:val="067D7FC4"/>
    <w:rsid w:val="068E5516"/>
    <w:rsid w:val="06A7411D"/>
    <w:rsid w:val="06B328A6"/>
    <w:rsid w:val="06B55096"/>
    <w:rsid w:val="06BD5EEF"/>
    <w:rsid w:val="06C84B1F"/>
    <w:rsid w:val="06E832AB"/>
    <w:rsid w:val="06F52E5A"/>
    <w:rsid w:val="06FB2CC6"/>
    <w:rsid w:val="07041C7C"/>
    <w:rsid w:val="07043A2A"/>
    <w:rsid w:val="071015E4"/>
    <w:rsid w:val="0727614D"/>
    <w:rsid w:val="073032C8"/>
    <w:rsid w:val="074D637C"/>
    <w:rsid w:val="0768220B"/>
    <w:rsid w:val="076D0643"/>
    <w:rsid w:val="07AA45D1"/>
    <w:rsid w:val="07BC7C73"/>
    <w:rsid w:val="07C70675"/>
    <w:rsid w:val="07CC279A"/>
    <w:rsid w:val="07E14CFA"/>
    <w:rsid w:val="07E90A86"/>
    <w:rsid w:val="07F97307"/>
    <w:rsid w:val="07FB3E59"/>
    <w:rsid w:val="08015DC3"/>
    <w:rsid w:val="081A1094"/>
    <w:rsid w:val="0826694D"/>
    <w:rsid w:val="082F4AD6"/>
    <w:rsid w:val="083C3DC4"/>
    <w:rsid w:val="084163BB"/>
    <w:rsid w:val="08482E72"/>
    <w:rsid w:val="086504F8"/>
    <w:rsid w:val="087A42D4"/>
    <w:rsid w:val="087B2E96"/>
    <w:rsid w:val="08854CE3"/>
    <w:rsid w:val="088E64E0"/>
    <w:rsid w:val="089E0EE2"/>
    <w:rsid w:val="089E7D38"/>
    <w:rsid w:val="08A03375"/>
    <w:rsid w:val="08A35B60"/>
    <w:rsid w:val="08AC3C47"/>
    <w:rsid w:val="08AD7DF5"/>
    <w:rsid w:val="08C76068"/>
    <w:rsid w:val="08D03AAE"/>
    <w:rsid w:val="08D2453B"/>
    <w:rsid w:val="08D93EAB"/>
    <w:rsid w:val="08E13A59"/>
    <w:rsid w:val="08E85FF2"/>
    <w:rsid w:val="08F14362"/>
    <w:rsid w:val="0908633C"/>
    <w:rsid w:val="093D726B"/>
    <w:rsid w:val="095F5721"/>
    <w:rsid w:val="09613387"/>
    <w:rsid w:val="0987739F"/>
    <w:rsid w:val="09995E79"/>
    <w:rsid w:val="099E28A5"/>
    <w:rsid w:val="099F7A3A"/>
    <w:rsid w:val="09A20DBE"/>
    <w:rsid w:val="09B253B3"/>
    <w:rsid w:val="09CC2D07"/>
    <w:rsid w:val="09D04D26"/>
    <w:rsid w:val="09DD3432"/>
    <w:rsid w:val="09E12241"/>
    <w:rsid w:val="09F204B1"/>
    <w:rsid w:val="09F258F5"/>
    <w:rsid w:val="09F86BCE"/>
    <w:rsid w:val="0A236D27"/>
    <w:rsid w:val="0A4867E9"/>
    <w:rsid w:val="0A4A2A36"/>
    <w:rsid w:val="0A8B7CE3"/>
    <w:rsid w:val="0A9A51B1"/>
    <w:rsid w:val="0AB12CA8"/>
    <w:rsid w:val="0AB45767"/>
    <w:rsid w:val="0AD329BC"/>
    <w:rsid w:val="0AD40624"/>
    <w:rsid w:val="0AEC6CAF"/>
    <w:rsid w:val="0AF05081"/>
    <w:rsid w:val="0AFD20DD"/>
    <w:rsid w:val="0B0C55A3"/>
    <w:rsid w:val="0B1A4010"/>
    <w:rsid w:val="0B207FD7"/>
    <w:rsid w:val="0B286260"/>
    <w:rsid w:val="0B2C17A1"/>
    <w:rsid w:val="0B453892"/>
    <w:rsid w:val="0B5003CE"/>
    <w:rsid w:val="0B537C77"/>
    <w:rsid w:val="0B7A42BB"/>
    <w:rsid w:val="0BA53A2D"/>
    <w:rsid w:val="0BA86F43"/>
    <w:rsid w:val="0BA92A20"/>
    <w:rsid w:val="0BC4684E"/>
    <w:rsid w:val="0BD75BB1"/>
    <w:rsid w:val="0BDB27E7"/>
    <w:rsid w:val="0BDC5030"/>
    <w:rsid w:val="0BDD0CF5"/>
    <w:rsid w:val="0BE07789"/>
    <w:rsid w:val="0BE12320"/>
    <w:rsid w:val="0BFD3257"/>
    <w:rsid w:val="0C1741FF"/>
    <w:rsid w:val="0C196D3B"/>
    <w:rsid w:val="0C2C6E69"/>
    <w:rsid w:val="0C3E1AA1"/>
    <w:rsid w:val="0C4A0DF7"/>
    <w:rsid w:val="0C4C1042"/>
    <w:rsid w:val="0C564B55"/>
    <w:rsid w:val="0C780EB0"/>
    <w:rsid w:val="0C95536B"/>
    <w:rsid w:val="0C9E047D"/>
    <w:rsid w:val="0C9E5669"/>
    <w:rsid w:val="0CA737D5"/>
    <w:rsid w:val="0CA830A9"/>
    <w:rsid w:val="0CB35CD6"/>
    <w:rsid w:val="0CB437FC"/>
    <w:rsid w:val="0CC91E6E"/>
    <w:rsid w:val="0CE6532D"/>
    <w:rsid w:val="0CF407EE"/>
    <w:rsid w:val="0CFA1A33"/>
    <w:rsid w:val="0D132C19"/>
    <w:rsid w:val="0D1F336B"/>
    <w:rsid w:val="0D2928F5"/>
    <w:rsid w:val="0D484B7B"/>
    <w:rsid w:val="0D4972E5"/>
    <w:rsid w:val="0D576FA9"/>
    <w:rsid w:val="0D6B7BC9"/>
    <w:rsid w:val="0D825F77"/>
    <w:rsid w:val="0D8E5E7B"/>
    <w:rsid w:val="0D8F7A7E"/>
    <w:rsid w:val="0D904269"/>
    <w:rsid w:val="0D995940"/>
    <w:rsid w:val="0D9A0C44"/>
    <w:rsid w:val="0DC874AD"/>
    <w:rsid w:val="0DD571D0"/>
    <w:rsid w:val="0DDC7AB4"/>
    <w:rsid w:val="0DDD6D83"/>
    <w:rsid w:val="0DDF16A5"/>
    <w:rsid w:val="0DFE5079"/>
    <w:rsid w:val="0E0B1B42"/>
    <w:rsid w:val="0E19366C"/>
    <w:rsid w:val="0E302ADA"/>
    <w:rsid w:val="0E3C0A3A"/>
    <w:rsid w:val="0E440BB0"/>
    <w:rsid w:val="0E64049B"/>
    <w:rsid w:val="0E694332"/>
    <w:rsid w:val="0E743784"/>
    <w:rsid w:val="0E795DF2"/>
    <w:rsid w:val="0E83792A"/>
    <w:rsid w:val="0E873546"/>
    <w:rsid w:val="0E896B75"/>
    <w:rsid w:val="0E8A0CB9"/>
    <w:rsid w:val="0E9F7FAF"/>
    <w:rsid w:val="0EA228D9"/>
    <w:rsid w:val="0EC5545D"/>
    <w:rsid w:val="0ECF4D0E"/>
    <w:rsid w:val="0ED5230E"/>
    <w:rsid w:val="0EF3685E"/>
    <w:rsid w:val="0EF40828"/>
    <w:rsid w:val="0EF46B07"/>
    <w:rsid w:val="0EF8445B"/>
    <w:rsid w:val="0EFE4019"/>
    <w:rsid w:val="0F1A79A1"/>
    <w:rsid w:val="0F2410E0"/>
    <w:rsid w:val="0F3343A6"/>
    <w:rsid w:val="0F4B23A5"/>
    <w:rsid w:val="0F531554"/>
    <w:rsid w:val="0F606466"/>
    <w:rsid w:val="0F796772"/>
    <w:rsid w:val="0F7F3D38"/>
    <w:rsid w:val="0F872210"/>
    <w:rsid w:val="0F87344A"/>
    <w:rsid w:val="0FC47E29"/>
    <w:rsid w:val="0FCC2DFA"/>
    <w:rsid w:val="100E75E5"/>
    <w:rsid w:val="1011710A"/>
    <w:rsid w:val="10224743"/>
    <w:rsid w:val="1024439D"/>
    <w:rsid w:val="103631DB"/>
    <w:rsid w:val="10466D90"/>
    <w:rsid w:val="104C5810"/>
    <w:rsid w:val="104D01F0"/>
    <w:rsid w:val="10554087"/>
    <w:rsid w:val="10616106"/>
    <w:rsid w:val="10623011"/>
    <w:rsid w:val="106C0880"/>
    <w:rsid w:val="107C59FA"/>
    <w:rsid w:val="108B6BA5"/>
    <w:rsid w:val="10954452"/>
    <w:rsid w:val="10A32505"/>
    <w:rsid w:val="10BE0819"/>
    <w:rsid w:val="10C03EDD"/>
    <w:rsid w:val="10C2693C"/>
    <w:rsid w:val="10DA48C8"/>
    <w:rsid w:val="10E723F2"/>
    <w:rsid w:val="10F43402"/>
    <w:rsid w:val="10F5586C"/>
    <w:rsid w:val="10FD79A5"/>
    <w:rsid w:val="11141170"/>
    <w:rsid w:val="11155124"/>
    <w:rsid w:val="11220014"/>
    <w:rsid w:val="1131221B"/>
    <w:rsid w:val="11330B44"/>
    <w:rsid w:val="11446C05"/>
    <w:rsid w:val="11485A88"/>
    <w:rsid w:val="11615A9B"/>
    <w:rsid w:val="117105FF"/>
    <w:rsid w:val="118653FD"/>
    <w:rsid w:val="11902A8A"/>
    <w:rsid w:val="11AA2F62"/>
    <w:rsid w:val="11BA5961"/>
    <w:rsid w:val="11C24C0D"/>
    <w:rsid w:val="11C269BB"/>
    <w:rsid w:val="11C53816"/>
    <w:rsid w:val="11CF0429"/>
    <w:rsid w:val="11D474BA"/>
    <w:rsid w:val="11E234B2"/>
    <w:rsid w:val="11E305CC"/>
    <w:rsid w:val="11F146AF"/>
    <w:rsid w:val="11F463C3"/>
    <w:rsid w:val="12035A9E"/>
    <w:rsid w:val="12274A70"/>
    <w:rsid w:val="12305A6B"/>
    <w:rsid w:val="12583D75"/>
    <w:rsid w:val="125E70C6"/>
    <w:rsid w:val="127A591F"/>
    <w:rsid w:val="127C6B6A"/>
    <w:rsid w:val="12A10CC7"/>
    <w:rsid w:val="12BC340B"/>
    <w:rsid w:val="12CB0581"/>
    <w:rsid w:val="12DC44B0"/>
    <w:rsid w:val="12DE1121"/>
    <w:rsid w:val="12E70EE2"/>
    <w:rsid w:val="12E806A4"/>
    <w:rsid w:val="12EA6DB9"/>
    <w:rsid w:val="12F63467"/>
    <w:rsid w:val="130126DE"/>
    <w:rsid w:val="1302354C"/>
    <w:rsid w:val="13086650"/>
    <w:rsid w:val="13174AE5"/>
    <w:rsid w:val="131A4F03"/>
    <w:rsid w:val="13291175"/>
    <w:rsid w:val="133B476D"/>
    <w:rsid w:val="134F0723"/>
    <w:rsid w:val="13511DA5"/>
    <w:rsid w:val="136D5C6B"/>
    <w:rsid w:val="138377EB"/>
    <w:rsid w:val="138B3BC6"/>
    <w:rsid w:val="13A97E33"/>
    <w:rsid w:val="13AB1409"/>
    <w:rsid w:val="13AB153A"/>
    <w:rsid w:val="13AE16BA"/>
    <w:rsid w:val="13B13E17"/>
    <w:rsid w:val="13B179BB"/>
    <w:rsid w:val="13B8719F"/>
    <w:rsid w:val="13BA776F"/>
    <w:rsid w:val="13BE354D"/>
    <w:rsid w:val="13C00A21"/>
    <w:rsid w:val="13C16461"/>
    <w:rsid w:val="13D33102"/>
    <w:rsid w:val="13D9065D"/>
    <w:rsid w:val="13E57B0C"/>
    <w:rsid w:val="13E946D3"/>
    <w:rsid w:val="13FC4407"/>
    <w:rsid w:val="140B5DE0"/>
    <w:rsid w:val="14127860"/>
    <w:rsid w:val="141A663B"/>
    <w:rsid w:val="14304142"/>
    <w:rsid w:val="143D5402"/>
    <w:rsid w:val="145142F5"/>
    <w:rsid w:val="145D4396"/>
    <w:rsid w:val="146975C2"/>
    <w:rsid w:val="146D70B2"/>
    <w:rsid w:val="147E1869"/>
    <w:rsid w:val="14837536"/>
    <w:rsid w:val="149566A6"/>
    <w:rsid w:val="149C76B6"/>
    <w:rsid w:val="14A17BBA"/>
    <w:rsid w:val="14A552DF"/>
    <w:rsid w:val="14B57617"/>
    <w:rsid w:val="14C30A80"/>
    <w:rsid w:val="14C842E9"/>
    <w:rsid w:val="14CE7932"/>
    <w:rsid w:val="14D90B08"/>
    <w:rsid w:val="15017BEE"/>
    <w:rsid w:val="150F0169"/>
    <w:rsid w:val="15126D01"/>
    <w:rsid w:val="151C1878"/>
    <w:rsid w:val="153450AA"/>
    <w:rsid w:val="153B740F"/>
    <w:rsid w:val="153C5C6D"/>
    <w:rsid w:val="15445B78"/>
    <w:rsid w:val="1546345F"/>
    <w:rsid w:val="15510956"/>
    <w:rsid w:val="15512110"/>
    <w:rsid w:val="155657DC"/>
    <w:rsid w:val="1565687E"/>
    <w:rsid w:val="156966C2"/>
    <w:rsid w:val="156B4BDA"/>
    <w:rsid w:val="156E6271"/>
    <w:rsid w:val="1571659F"/>
    <w:rsid w:val="157B75AD"/>
    <w:rsid w:val="1582093B"/>
    <w:rsid w:val="15842387"/>
    <w:rsid w:val="15863D5C"/>
    <w:rsid w:val="15BD0520"/>
    <w:rsid w:val="15CF10AA"/>
    <w:rsid w:val="15E05662"/>
    <w:rsid w:val="15E74C42"/>
    <w:rsid w:val="15EA716B"/>
    <w:rsid w:val="15FB195A"/>
    <w:rsid w:val="16136E08"/>
    <w:rsid w:val="161814DA"/>
    <w:rsid w:val="161A5018"/>
    <w:rsid w:val="16216CE8"/>
    <w:rsid w:val="16226372"/>
    <w:rsid w:val="163D00D8"/>
    <w:rsid w:val="16414353"/>
    <w:rsid w:val="164224B3"/>
    <w:rsid w:val="164B0D40"/>
    <w:rsid w:val="166444E5"/>
    <w:rsid w:val="16662565"/>
    <w:rsid w:val="167D1838"/>
    <w:rsid w:val="167E55A7"/>
    <w:rsid w:val="1695039F"/>
    <w:rsid w:val="16985F3D"/>
    <w:rsid w:val="169B423F"/>
    <w:rsid w:val="16A0512D"/>
    <w:rsid w:val="16A3139B"/>
    <w:rsid w:val="16B264B2"/>
    <w:rsid w:val="16B72867"/>
    <w:rsid w:val="16D01C72"/>
    <w:rsid w:val="16E716D9"/>
    <w:rsid w:val="16E91CD9"/>
    <w:rsid w:val="16EF4A10"/>
    <w:rsid w:val="17013E2A"/>
    <w:rsid w:val="170574BD"/>
    <w:rsid w:val="171F7AB3"/>
    <w:rsid w:val="17292EA9"/>
    <w:rsid w:val="172A41A6"/>
    <w:rsid w:val="172B01B1"/>
    <w:rsid w:val="173226F4"/>
    <w:rsid w:val="17374959"/>
    <w:rsid w:val="174A6AAE"/>
    <w:rsid w:val="174B6ED3"/>
    <w:rsid w:val="175C51BC"/>
    <w:rsid w:val="175D5E07"/>
    <w:rsid w:val="176C69FB"/>
    <w:rsid w:val="176F5397"/>
    <w:rsid w:val="17712A16"/>
    <w:rsid w:val="177F32BC"/>
    <w:rsid w:val="178E77A7"/>
    <w:rsid w:val="17991A6C"/>
    <w:rsid w:val="179B3F36"/>
    <w:rsid w:val="17A772A0"/>
    <w:rsid w:val="17A77A0D"/>
    <w:rsid w:val="17A859AC"/>
    <w:rsid w:val="17B61722"/>
    <w:rsid w:val="17B943BD"/>
    <w:rsid w:val="17C166E7"/>
    <w:rsid w:val="17CE0E41"/>
    <w:rsid w:val="17DD3D91"/>
    <w:rsid w:val="17E7717C"/>
    <w:rsid w:val="18012B5B"/>
    <w:rsid w:val="18054B32"/>
    <w:rsid w:val="18087426"/>
    <w:rsid w:val="180D6CAA"/>
    <w:rsid w:val="180E77CB"/>
    <w:rsid w:val="182869A6"/>
    <w:rsid w:val="183F0D66"/>
    <w:rsid w:val="18406BBD"/>
    <w:rsid w:val="18481362"/>
    <w:rsid w:val="184E71FB"/>
    <w:rsid w:val="18506ACF"/>
    <w:rsid w:val="186662F2"/>
    <w:rsid w:val="186C70AD"/>
    <w:rsid w:val="1881498A"/>
    <w:rsid w:val="18864BF5"/>
    <w:rsid w:val="188E5849"/>
    <w:rsid w:val="18A9301C"/>
    <w:rsid w:val="18AE730C"/>
    <w:rsid w:val="18B67F74"/>
    <w:rsid w:val="18C0169C"/>
    <w:rsid w:val="18C22F64"/>
    <w:rsid w:val="18C46222"/>
    <w:rsid w:val="18DC65B5"/>
    <w:rsid w:val="18DC7E45"/>
    <w:rsid w:val="18E22090"/>
    <w:rsid w:val="18E821FF"/>
    <w:rsid w:val="18EA6D60"/>
    <w:rsid w:val="18F733EE"/>
    <w:rsid w:val="1915043B"/>
    <w:rsid w:val="19221828"/>
    <w:rsid w:val="19241604"/>
    <w:rsid w:val="193E101D"/>
    <w:rsid w:val="1963359E"/>
    <w:rsid w:val="19876CC5"/>
    <w:rsid w:val="198B2F8A"/>
    <w:rsid w:val="19925906"/>
    <w:rsid w:val="199B021E"/>
    <w:rsid w:val="19D81AC5"/>
    <w:rsid w:val="19F3005A"/>
    <w:rsid w:val="1A047111"/>
    <w:rsid w:val="1A073B05"/>
    <w:rsid w:val="1A494467"/>
    <w:rsid w:val="1A572B81"/>
    <w:rsid w:val="1A5E17B4"/>
    <w:rsid w:val="1A61714E"/>
    <w:rsid w:val="1A681208"/>
    <w:rsid w:val="1A721710"/>
    <w:rsid w:val="1A7647E7"/>
    <w:rsid w:val="1A786F60"/>
    <w:rsid w:val="1A7A2A78"/>
    <w:rsid w:val="1A7A6085"/>
    <w:rsid w:val="1A8769F4"/>
    <w:rsid w:val="1A8F4C42"/>
    <w:rsid w:val="1A9A5531"/>
    <w:rsid w:val="1AA24C07"/>
    <w:rsid w:val="1AA43AE3"/>
    <w:rsid w:val="1AAC5DFB"/>
    <w:rsid w:val="1AB5530F"/>
    <w:rsid w:val="1AB969A8"/>
    <w:rsid w:val="1ABE26A9"/>
    <w:rsid w:val="1AC50F79"/>
    <w:rsid w:val="1AE41E3F"/>
    <w:rsid w:val="1AF07999"/>
    <w:rsid w:val="1AF57E02"/>
    <w:rsid w:val="1B00769B"/>
    <w:rsid w:val="1B0925B9"/>
    <w:rsid w:val="1B0F7C0E"/>
    <w:rsid w:val="1B131067"/>
    <w:rsid w:val="1B24234B"/>
    <w:rsid w:val="1B467417"/>
    <w:rsid w:val="1B5D4C6F"/>
    <w:rsid w:val="1B654F02"/>
    <w:rsid w:val="1B6C00BE"/>
    <w:rsid w:val="1B784394"/>
    <w:rsid w:val="1B80591D"/>
    <w:rsid w:val="1B836FFC"/>
    <w:rsid w:val="1B9C6059"/>
    <w:rsid w:val="1BA02115"/>
    <w:rsid w:val="1BA11579"/>
    <w:rsid w:val="1BA76F6C"/>
    <w:rsid w:val="1BC102F7"/>
    <w:rsid w:val="1BC13E66"/>
    <w:rsid w:val="1BD0173E"/>
    <w:rsid w:val="1BD67B89"/>
    <w:rsid w:val="1BE60A7D"/>
    <w:rsid w:val="1BFB7F2B"/>
    <w:rsid w:val="1BFC59B8"/>
    <w:rsid w:val="1BFF6030"/>
    <w:rsid w:val="1C0D1F8A"/>
    <w:rsid w:val="1C161943"/>
    <w:rsid w:val="1C203FC0"/>
    <w:rsid w:val="1C4A2FD8"/>
    <w:rsid w:val="1C4F709D"/>
    <w:rsid w:val="1C5801FE"/>
    <w:rsid w:val="1C646A1E"/>
    <w:rsid w:val="1C651DCF"/>
    <w:rsid w:val="1C653239"/>
    <w:rsid w:val="1C654B13"/>
    <w:rsid w:val="1C663030"/>
    <w:rsid w:val="1C6F6350"/>
    <w:rsid w:val="1C737D87"/>
    <w:rsid w:val="1C7A236C"/>
    <w:rsid w:val="1C7F545D"/>
    <w:rsid w:val="1C8B523A"/>
    <w:rsid w:val="1C9C6D7D"/>
    <w:rsid w:val="1CAE1BDF"/>
    <w:rsid w:val="1CB40663"/>
    <w:rsid w:val="1CB51117"/>
    <w:rsid w:val="1CBB3069"/>
    <w:rsid w:val="1CD5385E"/>
    <w:rsid w:val="1CD95612"/>
    <w:rsid w:val="1CDF6A28"/>
    <w:rsid w:val="1CE10AE9"/>
    <w:rsid w:val="1CE2569C"/>
    <w:rsid w:val="1CE343B6"/>
    <w:rsid w:val="1CF85987"/>
    <w:rsid w:val="1CFB0046"/>
    <w:rsid w:val="1D015959"/>
    <w:rsid w:val="1D0161B8"/>
    <w:rsid w:val="1D085BCA"/>
    <w:rsid w:val="1D0C79A7"/>
    <w:rsid w:val="1D0E5392"/>
    <w:rsid w:val="1D1A58FD"/>
    <w:rsid w:val="1D1E3640"/>
    <w:rsid w:val="1D1E44D1"/>
    <w:rsid w:val="1D2D7768"/>
    <w:rsid w:val="1D33430B"/>
    <w:rsid w:val="1D3930EB"/>
    <w:rsid w:val="1D3C3AC6"/>
    <w:rsid w:val="1D42184E"/>
    <w:rsid w:val="1D44297A"/>
    <w:rsid w:val="1D5232E9"/>
    <w:rsid w:val="1D5368AC"/>
    <w:rsid w:val="1D64032B"/>
    <w:rsid w:val="1D6A2408"/>
    <w:rsid w:val="1D787B4E"/>
    <w:rsid w:val="1D7B57CB"/>
    <w:rsid w:val="1D7C7FB5"/>
    <w:rsid w:val="1D8F44F7"/>
    <w:rsid w:val="1D9D65F3"/>
    <w:rsid w:val="1DA70920"/>
    <w:rsid w:val="1DB10911"/>
    <w:rsid w:val="1DB82052"/>
    <w:rsid w:val="1DD57A67"/>
    <w:rsid w:val="1DF56E15"/>
    <w:rsid w:val="1E0600EB"/>
    <w:rsid w:val="1E0B1AC4"/>
    <w:rsid w:val="1E2A28AD"/>
    <w:rsid w:val="1E357A6D"/>
    <w:rsid w:val="1E37603B"/>
    <w:rsid w:val="1E392021"/>
    <w:rsid w:val="1E3B246E"/>
    <w:rsid w:val="1E44603F"/>
    <w:rsid w:val="1E522E75"/>
    <w:rsid w:val="1E554357"/>
    <w:rsid w:val="1E5D378A"/>
    <w:rsid w:val="1E6123AB"/>
    <w:rsid w:val="1E6C1B14"/>
    <w:rsid w:val="1E7233A9"/>
    <w:rsid w:val="1E757C88"/>
    <w:rsid w:val="1E766E25"/>
    <w:rsid w:val="1E8216B4"/>
    <w:rsid w:val="1E8A314C"/>
    <w:rsid w:val="1E935967"/>
    <w:rsid w:val="1EA84B67"/>
    <w:rsid w:val="1EA87AD1"/>
    <w:rsid w:val="1EC10726"/>
    <w:rsid w:val="1EC23BE0"/>
    <w:rsid w:val="1EDF295B"/>
    <w:rsid w:val="1F0921EC"/>
    <w:rsid w:val="1F222A0B"/>
    <w:rsid w:val="1F301408"/>
    <w:rsid w:val="1F425E6E"/>
    <w:rsid w:val="1F4A5F8A"/>
    <w:rsid w:val="1F6410B2"/>
    <w:rsid w:val="1F6E0801"/>
    <w:rsid w:val="1F7C31AE"/>
    <w:rsid w:val="1F882FF2"/>
    <w:rsid w:val="1FA1212E"/>
    <w:rsid w:val="1FB01F49"/>
    <w:rsid w:val="1FDA4940"/>
    <w:rsid w:val="1FDB38BA"/>
    <w:rsid w:val="1FDC78B0"/>
    <w:rsid w:val="1FF25E2B"/>
    <w:rsid w:val="1FFA6D91"/>
    <w:rsid w:val="200434F3"/>
    <w:rsid w:val="202D3A67"/>
    <w:rsid w:val="203767C6"/>
    <w:rsid w:val="20395125"/>
    <w:rsid w:val="204131A1"/>
    <w:rsid w:val="20592AA2"/>
    <w:rsid w:val="206328A1"/>
    <w:rsid w:val="207417C9"/>
    <w:rsid w:val="20787964"/>
    <w:rsid w:val="207F3560"/>
    <w:rsid w:val="20BF5536"/>
    <w:rsid w:val="20C53A05"/>
    <w:rsid w:val="20CC5A40"/>
    <w:rsid w:val="20E04DE8"/>
    <w:rsid w:val="20E11288"/>
    <w:rsid w:val="20EA7A94"/>
    <w:rsid w:val="20F841A8"/>
    <w:rsid w:val="2107246B"/>
    <w:rsid w:val="21336272"/>
    <w:rsid w:val="21481B30"/>
    <w:rsid w:val="214A2B30"/>
    <w:rsid w:val="215C0571"/>
    <w:rsid w:val="21623EE3"/>
    <w:rsid w:val="216929AF"/>
    <w:rsid w:val="216A0F01"/>
    <w:rsid w:val="216D32B2"/>
    <w:rsid w:val="21730876"/>
    <w:rsid w:val="219E1544"/>
    <w:rsid w:val="219E6AFD"/>
    <w:rsid w:val="21A135AE"/>
    <w:rsid w:val="21AD0AEE"/>
    <w:rsid w:val="21BE3670"/>
    <w:rsid w:val="21C117F4"/>
    <w:rsid w:val="21E74B08"/>
    <w:rsid w:val="21ED7384"/>
    <w:rsid w:val="21EE5BE9"/>
    <w:rsid w:val="21EE63FD"/>
    <w:rsid w:val="220305CC"/>
    <w:rsid w:val="220628F4"/>
    <w:rsid w:val="22194CE1"/>
    <w:rsid w:val="2220749C"/>
    <w:rsid w:val="222B4109"/>
    <w:rsid w:val="222D32D7"/>
    <w:rsid w:val="222E5CD4"/>
    <w:rsid w:val="22515D39"/>
    <w:rsid w:val="225C42C2"/>
    <w:rsid w:val="226F3DB0"/>
    <w:rsid w:val="227074B9"/>
    <w:rsid w:val="227855A0"/>
    <w:rsid w:val="2283627B"/>
    <w:rsid w:val="228A0E2F"/>
    <w:rsid w:val="228B6D73"/>
    <w:rsid w:val="22933466"/>
    <w:rsid w:val="22A01309"/>
    <w:rsid w:val="22A31EF1"/>
    <w:rsid w:val="22A765B4"/>
    <w:rsid w:val="22D36C7A"/>
    <w:rsid w:val="22DE4CC3"/>
    <w:rsid w:val="22EC3898"/>
    <w:rsid w:val="22EF2D14"/>
    <w:rsid w:val="22F866E1"/>
    <w:rsid w:val="23073002"/>
    <w:rsid w:val="232A2F22"/>
    <w:rsid w:val="233D4C2E"/>
    <w:rsid w:val="234C5922"/>
    <w:rsid w:val="235910AB"/>
    <w:rsid w:val="236A0615"/>
    <w:rsid w:val="23702895"/>
    <w:rsid w:val="238A7D81"/>
    <w:rsid w:val="238C0BD7"/>
    <w:rsid w:val="239013BD"/>
    <w:rsid w:val="23985FD7"/>
    <w:rsid w:val="23AA6F10"/>
    <w:rsid w:val="23CE1DE6"/>
    <w:rsid w:val="23E62EBF"/>
    <w:rsid w:val="23F940DE"/>
    <w:rsid w:val="23FA586B"/>
    <w:rsid w:val="23FC0540"/>
    <w:rsid w:val="23FE7415"/>
    <w:rsid w:val="2405635C"/>
    <w:rsid w:val="24126C12"/>
    <w:rsid w:val="241B62F3"/>
    <w:rsid w:val="241E31AE"/>
    <w:rsid w:val="242D5F16"/>
    <w:rsid w:val="245869F4"/>
    <w:rsid w:val="24591B8E"/>
    <w:rsid w:val="246C085E"/>
    <w:rsid w:val="246E7F13"/>
    <w:rsid w:val="2472640B"/>
    <w:rsid w:val="247C0C4C"/>
    <w:rsid w:val="247C6E9E"/>
    <w:rsid w:val="24805FF9"/>
    <w:rsid w:val="24911375"/>
    <w:rsid w:val="249B2E0D"/>
    <w:rsid w:val="24A629C9"/>
    <w:rsid w:val="24B623B0"/>
    <w:rsid w:val="24C21763"/>
    <w:rsid w:val="24EE2F9E"/>
    <w:rsid w:val="24F451B6"/>
    <w:rsid w:val="24F627AC"/>
    <w:rsid w:val="251A33C7"/>
    <w:rsid w:val="251F3226"/>
    <w:rsid w:val="25326053"/>
    <w:rsid w:val="254E4FC8"/>
    <w:rsid w:val="255B6AB3"/>
    <w:rsid w:val="25653D41"/>
    <w:rsid w:val="256B3E92"/>
    <w:rsid w:val="257638ED"/>
    <w:rsid w:val="257B7624"/>
    <w:rsid w:val="257F1264"/>
    <w:rsid w:val="25861774"/>
    <w:rsid w:val="25880ED2"/>
    <w:rsid w:val="258A0C9B"/>
    <w:rsid w:val="2591641F"/>
    <w:rsid w:val="25965564"/>
    <w:rsid w:val="25A55F80"/>
    <w:rsid w:val="25B92B7B"/>
    <w:rsid w:val="25BC57A4"/>
    <w:rsid w:val="25D63141"/>
    <w:rsid w:val="25DB6C90"/>
    <w:rsid w:val="25DE4F9A"/>
    <w:rsid w:val="25E54AD1"/>
    <w:rsid w:val="25EB7E37"/>
    <w:rsid w:val="25F413E1"/>
    <w:rsid w:val="2603146C"/>
    <w:rsid w:val="260B672B"/>
    <w:rsid w:val="261110FF"/>
    <w:rsid w:val="261465EB"/>
    <w:rsid w:val="261B7D67"/>
    <w:rsid w:val="261F0F08"/>
    <w:rsid w:val="262477ED"/>
    <w:rsid w:val="26277997"/>
    <w:rsid w:val="26331EA2"/>
    <w:rsid w:val="263363D9"/>
    <w:rsid w:val="264B2051"/>
    <w:rsid w:val="26546EAC"/>
    <w:rsid w:val="26731E1F"/>
    <w:rsid w:val="268F44C5"/>
    <w:rsid w:val="26967E27"/>
    <w:rsid w:val="269778C2"/>
    <w:rsid w:val="269D0640"/>
    <w:rsid w:val="26A63739"/>
    <w:rsid w:val="26B16999"/>
    <w:rsid w:val="26D6547B"/>
    <w:rsid w:val="26DE2DEE"/>
    <w:rsid w:val="26E01966"/>
    <w:rsid w:val="26F324F4"/>
    <w:rsid w:val="26F853FE"/>
    <w:rsid w:val="27017343"/>
    <w:rsid w:val="27046DB7"/>
    <w:rsid w:val="27084A19"/>
    <w:rsid w:val="27141AA0"/>
    <w:rsid w:val="271A5DDB"/>
    <w:rsid w:val="271E0DFF"/>
    <w:rsid w:val="272E4E7F"/>
    <w:rsid w:val="27431AFF"/>
    <w:rsid w:val="274570EF"/>
    <w:rsid w:val="2749521D"/>
    <w:rsid w:val="275A3C56"/>
    <w:rsid w:val="276050DB"/>
    <w:rsid w:val="27682B55"/>
    <w:rsid w:val="27685CEF"/>
    <w:rsid w:val="27713C37"/>
    <w:rsid w:val="27771FB6"/>
    <w:rsid w:val="27772458"/>
    <w:rsid w:val="27895097"/>
    <w:rsid w:val="27913769"/>
    <w:rsid w:val="279544FE"/>
    <w:rsid w:val="279B001D"/>
    <w:rsid w:val="279C6A5F"/>
    <w:rsid w:val="27AC4656"/>
    <w:rsid w:val="27B95B8F"/>
    <w:rsid w:val="27C06994"/>
    <w:rsid w:val="27C12651"/>
    <w:rsid w:val="27C77797"/>
    <w:rsid w:val="27EA0CF1"/>
    <w:rsid w:val="27F8683B"/>
    <w:rsid w:val="27FD386F"/>
    <w:rsid w:val="28162610"/>
    <w:rsid w:val="282E28F9"/>
    <w:rsid w:val="283050FB"/>
    <w:rsid w:val="283108AE"/>
    <w:rsid w:val="28430C00"/>
    <w:rsid w:val="285919D0"/>
    <w:rsid w:val="2859243C"/>
    <w:rsid w:val="28650375"/>
    <w:rsid w:val="28690D73"/>
    <w:rsid w:val="287329AA"/>
    <w:rsid w:val="288C36D2"/>
    <w:rsid w:val="28936362"/>
    <w:rsid w:val="28A0026A"/>
    <w:rsid w:val="28B80A8F"/>
    <w:rsid w:val="28BB3519"/>
    <w:rsid w:val="28BC6DC4"/>
    <w:rsid w:val="28CE1BFE"/>
    <w:rsid w:val="28FF69D9"/>
    <w:rsid w:val="290B2BE1"/>
    <w:rsid w:val="29262DDF"/>
    <w:rsid w:val="293329DB"/>
    <w:rsid w:val="294944E6"/>
    <w:rsid w:val="294E705B"/>
    <w:rsid w:val="294F1F97"/>
    <w:rsid w:val="295D0339"/>
    <w:rsid w:val="295F6C16"/>
    <w:rsid w:val="296634CD"/>
    <w:rsid w:val="2993089C"/>
    <w:rsid w:val="29A128FC"/>
    <w:rsid w:val="29C70BBB"/>
    <w:rsid w:val="29CA6A4C"/>
    <w:rsid w:val="29CC0C40"/>
    <w:rsid w:val="29D15B1F"/>
    <w:rsid w:val="29D82DC8"/>
    <w:rsid w:val="29E7300B"/>
    <w:rsid w:val="29FB48FD"/>
    <w:rsid w:val="2A006F21"/>
    <w:rsid w:val="2A13795C"/>
    <w:rsid w:val="2A2474D0"/>
    <w:rsid w:val="2A473AAA"/>
    <w:rsid w:val="2A4B359A"/>
    <w:rsid w:val="2A4D7312"/>
    <w:rsid w:val="2A617418"/>
    <w:rsid w:val="2A707A61"/>
    <w:rsid w:val="2A753BDA"/>
    <w:rsid w:val="2A7B3FAC"/>
    <w:rsid w:val="2A7D57AB"/>
    <w:rsid w:val="2A7E3970"/>
    <w:rsid w:val="2A897129"/>
    <w:rsid w:val="2AA42A4B"/>
    <w:rsid w:val="2AB64EC1"/>
    <w:rsid w:val="2AC1560A"/>
    <w:rsid w:val="2AE31A25"/>
    <w:rsid w:val="2AEF228A"/>
    <w:rsid w:val="2AF91248"/>
    <w:rsid w:val="2B006A9E"/>
    <w:rsid w:val="2B082D16"/>
    <w:rsid w:val="2B114D48"/>
    <w:rsid w:val="2B137E7E"/>
    <w:rsid w:val="2B1716CE"/>
    <w:rsid w:val="2B2838DB"/>
    <w:rsid w:val="2B3E4EAD"/>
    <w:rsid w:val="2B435443"/>
    <w:rsid w:val="2B4F0123"/>
    <w:rsid w:val="2B5C71EC"/>
    <w:rsid w:val="2B7E7772"/>
    <w:rsid w:val="2B8060E2"/>
    <w:rsid w:val="2B8723B0"/>
    <w:rsid w:val="2B8A0DEE"/>
    <w:rsid w:val="2B8F5708"/>
    <w:rsid w:val="2B91024B"/>
    <w:rsid w:val="2B913F0E"/>
    <w:rsid w:val="2B97212D"/>
    <w:rsid w:val="2B991AB0"/>
    <w:rsid w:val="2B9920E3"/>
    <w:rsid w:val="2B9B5267"/>
    <w:rsid w:val="2BBA1982"/>
    <w:rsid w:val="2BBB64FD"/>
    <w:rsid w:val="2BEA56D2"/>
    <w:rsid w:val="2BF15144"/>
    <w:rsid w:val="2BF31866"/>
    <w:rsid w:val="2C10281A"/>
    <w:rsid w:val="2C1C7CD3"/>
    <w:rsid w:val="2C2220D9"/>
    <w:rsid w:val="2C24071B"/>
    <w:rsid w:val="2C2E0A7D"/>
    <w:rsid w:val="2C2E3169"/>
    <w:rsid w:val="2C314D44"/>
    <w:rsid w:val="2C327A22"/>
    <w:rsid w:val="2C4615DE"/>
    <w:rsid w:val="2C4C6C47"/>
    <w:rsid w:val="2C552D26"/>
    <w:rsid w:val="2C6C428F"/>
    <w:rsid w:val="2C70517B"/>
    <w:rsid w:val="2C7A44F4"/>
    <w:rsid w:val="2C8C4FDA"/>
    <w:rsid w:val="2CA31973"/>
    <w:rsid w:val="2CA638D3"/>
    <w:rsid w:val="2CA64DEA"/>
    <w:rsid w:val="2CBF1D70"/>
    <w:rsid w:val="2CC44BBB"/>
    <w:rsid w:val="2CDC6042"/>
    <w:rsid w:val="2CE06F89"/>
    <w:rsid w:val="2CE1319C"/>
    <w:rsid w:val="2CF540CF"/>
    <w:rsid w:val="2D1A603A"/>
    <w:rsid w:val="2D1D5116"/>
    <w:rsid w:val="2D214A86"/>
    <w:rsid w:val="2D417B98"/>
    <w:rsid w:val="2D436712"/>
    <w:rsid w:val="2D5503F3"/>
    <w:rsid w:val="2D765527"/>
    <w:rsid w:val="2D866D5D"/>
    <w:rsid w:val="2D9336D7"/>
    <w:rsid w:val="2D9D410D"/>
    <w:rsid w:val="2DBC44BB"/>
    <w:rsid w:val="2DBF56C9"/>
    <w:rsid w:val="2DC345BB"/>
    <w:rsid w:val="2DC36678"/>
    <w:rsid w:val="2DC449F8"/>
    <w:rsid w:val="2DC80B55"/>
    <w:rsid w:val="2DC871AF"/>
    <w:rsid w:val="2DD34C40"/>
    <w:rsid w:val="2DE0049D"/>
    <w:rsid w:val="2DE47F8D"/>
    <w:rsid w:val="2DFA101D"/>
    <w:rsid w:val="2DFC052F"/>
    <w:rsid w:val="2E007876"/>
    <w:rsid w:val="2E0152AB"/>
    <w:rsid w:val="2E034446"/>
    <w:rsid w:val="2E0B6079"/>
    <w:rsid w:val="2E123C13"/>
    <w:rsid w:val="2E3C7806"/>
    <w:rsid w:val="2E467984"/>
    <w:rsid w:val="2E5F1792"/>
    <w:rsid w:val="2E721C0E"/>
    <w:rsid w:val="2E8F3A7D"/>
    <w:rsid w:val="2E936858"/>
    <w:rsid w:val="2EA32AF0"/>
    <w:rsid w:val="2EA4763E"/>
    <w:rsid w:val="2EB90954"/>
    <w:rsid w:val="2EC044AC"/>
    <w:rsid w:val="2ECB4CA9"/>
    <w:rsid w:val="2ED95618"/>
    <w:rsid w:val="2EE2359E"/>
    <w:rsid w:val="2EF51616"/>
    <w:rsid w:val="2F092FBA"/>
    <w:rsid w:val="2F0C6B65"/>
    <w:rsid w:val="2F2C0E88"/>
    <w:rsid w:val="2F343D41"/>
    <w:rsid w:val="2F3C1703"/>
    <w:rsid w:val="2F450B12"/>
    <w:rsid w:val="2F4C6BF5"/>
    <w:rsid w:val="2F575B4E"/>
    <w:rsid w:val="2F5C2E50"/>
    <w:rsid w:val="2F6B4544"/>
    <w:rsid w:val="2F6C1D87"/>
    <w:rsid w:val="2F7013AD"/>
    <w:rsid w:val="2F9840B9"/>
    <w:rsid w:val="2FA87A49"/>
    <w:rsid w:val="2FAD720B"/>
    <w:rsid w:val="2FB55484"/>
    <w:rsid w:val="2FB76453"/>
    <w:rsid w:val="2FC35981"/>
    <w:rsid w:val="2FCF6758"/>
    <w:rsid w:val="2FD86F99"/>
    <w:rsid w:val="2FDA22E9"/>
    <w:rsid w:val="2FE112A9"/>
    <w:rsid w:val="2FEA743E"/>
    <w:rsid w:val="2FF63FA8"/>
    <w:rsid w:val="300F6E18"/>
    <w:rsid w:val="301E2EEA"/>
    <w:rsid w:val="302F1268"/>
    <w:rsid w:val="304620BF"/>
    <w:rsid w:val="3052455C"/>
    <w:rsid w:val="3055026F"/>
    <w:rsid w:val="30677A95"/>
    <w:rsid w:val="307A7B94"/>
    <w:rsid w:val="30890978"/>
    <w:rsid w:val="308C6234"/>
    <w:rsid w:val="308F0A11"/>
    <w:rsid w:val="30986283"/>
    <w:rsid w:val="30B11C7D"/>
    <w:rsid w:val="30DC4F4C"/>
    <w:rsid w:val="30E079F1"/>
    <w:rsid w:val="30E770AD"/>
    <w:rsid w:val="31161692"/>
    <w:rsid w:val="31193D91"/>
    <w:rsid w:val="311D3DF9"/>
    <w:rsid w:val="312149A8"/>
    <w:rsid w:val="3138414C"/>
    <w:rsid w:val="313919F7"/>
    <w:rsid w:val="315A0286"/>
    <w:rsid w:val="31604053"/>
    <w:rsid w:val="31654EA5"/>
    <w:rsid w:val="316618A6"/>
    <w:rsid w:val="317119AA"/>
    <w:rsid w:val="31747736"/>
    <w:rsid w:val="31833164"/>
    <w:rsid w:val="318B24CE"/>
    <w:rsid w:val="318D5F0F"/>
    <w:rsid w:val="3198356F"/>
    <w:rsid w:val="319D5971"/>
    <w:rsid w:val="31AE283C"/>
    <w:rsid w:val="31B1462B"/>
    <w:rsid w:val="31B303EB"/>
    <w:rsid w:val="31B934DF"/>
    <w:rsid w:val="31C04FAC"/>
    <w:rsid w:val="31C67C3F"/>
    <w:rsid w:val="31EB11BF"/>
    <w:rsid w:val="31FE0EF2"/>
    <w:rsid w:val="3203475A"/>
    <w:rsid w:val="3210786C"/>
    <w:rsid w:val="32146967"/>
    <w:rsid w:val="321F6C35"/>
    <w:rsid w:val="322C20DD"/>
    <w:rsid w:val="322D4A55"/>
    <w:rsid w:val="324334C6"/>
    <w:rsid w:val="32441C1D"/>
    <w:rsid w:val="324E4F94"/>
    <w:rsid w:val="325F2048"/>
    <w:rsid w:val="32730029"/>
    <w:rsid w:val="328C0BF4"/>
    <w:rsid w:val="32951856"/>
    <w:rsid w:val="32AA1B1E"/>
    <w:rsid w:val="32AC3F18"/>
    <w:rsid w:val="32B83797"/>
    <w:rsid w:val="32C62814"/>
    <w:rsid w:val="32D0398F"/>
    <w:rsid w:val="32D3237F"/>
    <w:rsid w:val="32D7062D"/>
    <w:rsid w:val="32EA5689"/>
    <w:rsid w:val="32FA3DAF"/>
    <w:rsid w:val="32FB2FAA"/>
    <w:rsid w:val="33051D6D"/>
    <w:rsid w:val="330A0862"/>
    <w:rsid w:val="331035D3"/>
    <w:rsid w:val="33152CAC"/>
    <w:rsid w:val="33196039"/>
    <w:rsid w:val="331F09CB"/>
    <w:rsid w:val="3338475E"/>
    <w:rsid w:val="33523A3E"/>
    <w:rsid w:val="33530E7B"/>
    <w:rsid w:val="336D08D2"/>
    <w:rsid w:val="33727901"/>
    <w:rsid w:val="337A51C3"/>
    <w:rsid w:val="33836FD0"/>
    <w:rsid w:val="339424E1"/>
    <w:rsid w:val="33B25B92"/>
    <w:rsid w:val="33BC2CDE"/>
    <w:rsid w:val="33C148CD"/>
    <w:rsid w:val="33C60189"/>
    <w:rsid w:val="33C866BF"/>
    <w:rsid w:val="33DC00FA"/>
    <w:rsid w:val="33DD41F7"/>
    <w:rsid w:val="33DE0EF4"/>
    <w:rsid w:val="33F87759"/>
    <w:rsid w:val="340725CB"/>
    <w:rsid w:val="341964B7"/>
    <w:rsid w:val="34221788"/>
    <w:rsid w:val="3428491F"/>
    <w:rsid w:val="34425A0E"/>
    <w:rsid w:val="3446343F"/>
    <w:rsid w:val="345D45F6"/>
    <w:rsid w:val="345F1355"/>
    <w:rsid w:val="34645CBF"/>
    <w:rsid w:val="34806E53"/>
    <w:rsid w:val="3482526E"/>
    <w:rsid w:val="34842F15"/>
    <w:rsid w:val="34AA01AC"/>
    <w:rsid w:val="34AE173C"/>
    <w:rsid w:val="34B05F45"/>
    <w:rsid w:val="34BD575B"/>
    <w:rsid w:val="34BF2BBB"/>
    <w:rsid w:val="34D92FE0"/>
    <w:rsid w:val="34D9351E"/>
    <w:rsid w:val="34E02B31"/>
    <w:rsid w:val="34E471D2"/>
    <w:rsid w:val="34E66780"/>
    <w:rsid w:val="352240A6"/>
    <w:rsid w:val="353E3236"/>
    <w:rsid w:val="354D466A"/>
    <w:rsid w:val="35510676"/>
    <w:rsid w:val="356A2329"/>
    <w:rsid w:val="356B63E6"/>
    <w:rsid w:val="357A4BB0"/>
    <w:rsid w:val="357A7E3A"/>
    <w:rsid w:val="3596711D"/>
    <w:rsid w:val="35A12EEF"/>
    <w:rsid w:val="35A77E8C"/>
    <w:rsid w:val="35E773BC"/>
    <w:rsid w:val="35F530FB"/>
    <w:rsid w:val="35FB2318"/>
    <w:rsid w:val="360016DD"/>
    <w:rsid w:val="360729A3"/>
    <w:rsid w:val="360B5F8E"/>
    <w:rsid w:val="363370D0"/>
    <w:rsid w:val="363807BF"/>
    <w:rsid w:val="36426F87"/>
    <w:rsid w:val="36530226"/>
    <w:rsid w:val="3662106F"/>
    <w:rsid w:val="36794B72"/>
    <w:rsid w:val="369C7F24"/>
    <w:rsid w:val="36D641EB"/>
    <w:rsid w:val="36ED4116"/>
    <w:rsid w:val="36F445B4"/>
    <w:rsid w:val="36F73BB8"/>
    <w:rsid w:val="36FA142C"/>
    <w:rsid w:val="36FC6815"/>
    <w:rsid w:val="371A7C4F"/>
    <w:rsid w:val="372F1B4E"/>
    <w:rsid w:val="37351EFD"/>
    <w:rsid w:val="37467542"/>
    <w:rsid w:val="375043CD"/>
    <w:rsid w:val="37542595"/>
    <w:rsid w:val="375D236D"/>
    <w:rsid w:val="375D3DD6"/>
    <w:rsid w:val="37647A49"/>
    <w:rsid w:val="376637C1"/>
    <w:rsid w:val="376E2676"/>
    <w:rsid w:val="377F0AA2"/>
    <w:rsid w:val="37832265"/>
    <w:rsid w:val="379B202D"/>
    <w:rsid w:val="37A1598C"/>
    <w:rsid w:val="37CC48F6"/>
    <w:rsid w:val="37D53FE9"/>
    <w:rsid w:val="37D902F7"/>
    <w:rsid w:val="37F14E85"/>
    <w:rsid w:val="37F442AD"/>
    <w:rsid w:val="380149EC"/>
    <w:rsid w:val="38060035"/>
    <w:rsid w:val="38083F02"/>
    <w:rsid w:val="38111296"/>
    <w:rsid w:val="382334FB"/>
    <w:rsid w:val="384D725F"/>
    <w:rsid w:val="384E238F"/>
    <w:rsid w:val="38514F6E"/>
    <w:rsid w:val="38574C01"/>
    <w:rsid w:val="385A46E4"/>
    <w:rsid w:val="38872450"/>
    <w:rsid w:val="389C112D"/>
    <w:rsid w:val="38A84432"/>
    <w:rsid w:val="38AD2C91"/>
    <w:rsid w:val="38B5364E"/>
    <w:rsid w:val="38CC0AB7"/>
    <w:rsid w:val="38CF70C2"/>
    <w:rsid w:val="38D330D8"/>
    <w:rsid w:val="38D429AD"/>
    <w:rsid w:val="38D71355"/>
    <w:rsid w:val="38E7517B"/>
    <w:rsid w:val="38E96FEE"/>
    <w:rsid w:val="38EA0422"/>
    <w:rsid w:val="38FB43DD"/>
    <w:rsid w:val="390E3C58"/>
    <w:rsid w:val="392751D2"/>
    <w:rsid w:val="392B5597"/>
    <w:rsid w:val="392D6B12"/>
    <w:rsid w:val="393055FC"/>
    <w:rsid w:val="394D3EEE"/>
    <w:rsid w:val="3953787E"/>
    <w:rsid w:val="397A3554"/>
    <w:rsid w:val="398E0C02"/>
    <w:rsid w:val="39954B62"/>
    <w:rsid w:val="399654D7"/>
    <w:rsid w:val="399E5950"/>
    <w:rsid w:val="39AD0E77"/>
    <w:rsid w:val="39AD539F"/>
    <w:rsid w:val="39B747A8"/>
    <w:rsid w:val="39E956EA"/>
    <w:rsid w:val="39F8091D"/>
    <w:rsid w:val="3A00614F"/>
    <w:rsid w:val="3A027062"/>
    <w:rsid w:val="3A052D00"/>
    <w:rsid w:val="3A151A45"/>
    <w:rsid w:val="3A1964E9"/>
    <w:rsid w:val="3A1C202A"/>
    <w:rsid w:val="3A241712"/>
    <w:rsid w:val="3A306341"/>
    <w:rsid w:val="3A360EB6"/>
    <w:rsid w:val="3A4B1EEC"/>
    <w:rsid w:val="3A4B5D9F"/>
    <w:rsid w:val="3A4C0374"/>
    <w:rsid w:val="3A52466D"/>
    <w:rsid w:val="3A850988"/>
    <w:rsid w:val="3A8C4DBE"/>
    <w:rsid w:val="3A905018"/>
    <w:rsid w:val="3AA30888"/>
    <w:rsid w:val="3AAB10BD"/>
    <w:rsid w:val="3B067270"/>
    <w:rsid w:val="3B091033"/>
    <w:rsid w:val="3B0D5CC2"/>
    <w:rsid w:val="3B0F23C2"/>
    <w:rsid w:val="3B620744"/>
    <w:rsid w:val="3B6343D7"/>
    <w:rsid w:val="3B734E28"/>
    <w:rsid w:val="3B815155"/>
    <w:rsid w:val="3B844B5E"/>
    <w:rsid w:val="3B914B85"/>
    <w:rsid w:val="3BA859B9"/>
    <w:rsid w:val="3BB108E1"/>
    <w:rsid w:val="3BB5440F"/>
    <w:rsid w:val="3BC00AAF"/>
    <w:rsid w:val="3BC2474E"/>
    <w:rsid w:val="3BC97DE9"/>
    <w:rsid w:val="3BDC187E"/>
    <w:rsid w:val="3BE455FD"/>
    <w:rsid w:val="3BFD046C"/>
    <w:rsid w:val="3BFE66BE"/>
    <w:rsid w:val="3C060031"/>
    <w:rsid w:val="3C0C42C3"/>
    <w:rsid w:val="3C2B4FD9"/>
    <w:rsid w:val="3C332D04"/>
    <w:rsid w:val="3C3A3CBF"/>
    <w:rsid w:val="3C3C5246"/>
    <w:rsid w:val="3C4944FC"/>
    <w:rsid w:val="3C565ECE"/>
    <w:rsid w:val="3C5C460E"/>
    <w:rsid w:val="3C627CD3"/>
    <w:rsid w:val="3C642299"/>
    <w:rsid w:val="3C6D70DA"/>
    <w:rsid w:val="3C8C58FB"/>
    <w:rsid w:val="3C9B71B8"/>
    <w:rsid w:val="3CA628B2"/>
    <w:rsid w:val="3CA8487C"/>
    <w:rsid w:val="3CBB2B97"/>
    <w:rsid w:val="3CBE65BD"/>
    <w:rsid w:val="3CC24A3E"/>
    <w:rsid w:val="3CC60A87"/>
    <w:rsid w:val="3CDC2DED"/>
    <w:rsid w:val="3CED6715"/>
    <w:rsid w:val="3CF11D7F"/>
    <w:rsid w:val="3CF63839"/>
    <w:rsid w:val="3D1D0DC6"/>
    <w:rsid w:val="3D2F2D84"/>
    <w:rsid w:val="3D41168B"/>
    <w:rsid w:val="3D4445A5"/>
    <w:rsid w:val="3D525CCC"/>
    <w:rsid w:val="3D53241F"/>
    <w:rsid w:val="3D54332A"/>
    <w:rsid w:val="3D5E22AE"/>
    <w:rsid w:val="3D602F7B"/>
    <w:rsid w:val="3D614EFB"/>
    <w:rsid w:val="3D6604A8"/>
    <w:rsid w:val="3D914F13"/>
    <w:rsid w:val="3D947C09"/>
    <w:rsid w:val="3D9A0F25"/>
    <w:rsid w:val="3DEC0798"/>
    <w:rsid w:val="3E077380"/>
    <w:rsid w:val="3E17653D"/>
    <w:rsid w:val="3E2466D6"/>
    <w:rsid w:val="3E432AAE"/>
    <w:rsid w:val="3E455AAA"/>
    <w:rsid w:val="3E5527E2"/>
    <w:rsid w:val="3E5820E0"/>
    <w:rsid w:val="3E6673A8"/>
    <w:rsid w:val="3E676AF4"/>
    <w:rsid w:val="3E6773DC"/>
    <w:rsid w:val="3E8804C1"/>
    <w:rsid w:val="3E8B03E4"/>
    <w:rsid w:val="3E961948"/>
    <w:rsid w:val="3E9E10BD"/>
    <w:rsid w:val="3EDE6333"/>
    <w:rsid w:val="3F0C10F2"/>
    <w:rsid w:val="3F0D4E6A"/>
    <w:rsid w:val="3F1461F9"/>
    <w:rsid w:val="3F2B11DA"/>
    <w:rsid w:val="3F3270D6"/>
    <w:rsid w:val="3F353781"/>
    <w:rsid w:val="3F482847"/>
    <w:rsid w:val="3F650802"/>
    <w:rsid w:val="3F6A7BC7"/>
    <w:rsid w:val="3F7F7B16"/>
    <w:rsid w:val="3F94000D"/>
    <w:rsid w:val="3F9573B4"/>
    <w:rsid w:val="3FB60F14"/>
    <w:rsid w:val="3FD17C46"/>
    <w:rsid w:val="3FD24547"/>
    <w:rsid w:val="3FD4285D"/>
    <w:rsid w:val="3FEF28A8"/>
    <w:rsid w:val="40132F63"/>
    <w:rsid w:val="40196700"/>
    <w:rsid w:val="402D2791"/>
    <w:rsid w:val="4036277C"/>
    <w:rsid w:val="4047615A"/>
    <w:rsid w:val="40532D51"/>
    <w:rsid w:val="405463C0"/>
    <w:rsid w:val="405F16F6"/>
    <w:rsid w:val="4074471B"/>
    <w:rsid w:val="407D057E"/>
    <w:rsid w:val="40977948"/>
    <w:rsid w:val="40992AF3"/>
    <w:rsid w:val="409E59BE"/>
    <w:rsid w:val="40BB21DD"/>
    <w:rsid w:val="40C652D1"/>
    <w:rsid w:val="40D41676"/>
    <w:rsid w:val="40E11719"/>
    <w:rsid w:val="40E345BE"/>
    <w:rsid w:val="40E54ADF"/>
    <w:rsid w:val="40EF2A79"/>
    <w:rsid w:val="40F31123"/>
    <w:rsid w:val="40F40090"/>
    <w:rsid w:val="41040E37"/>
    <w:rsid w:val="410620B5"/>
    <w:rsid w:val="41147CE3"/>
    <w:rsid w:val="41166B31"/>
    <w:rsid w:val="411F28AD"/>
    <w:rsid w:val="412235B6"/>
    <w:rsid w:val="41261DCB"/>
    <w:rsid w:val="412C1699"/>
    <w:rsid w:val="4142704D"/>
    <w:rsid w:val="41474664"/>
    <w:rsid w:val="414A556D"/>
    <w:rsid w:val="415C44C9"/>
    <w:rsid w:val="41662610"/>
    <w:rsid w:val="41875386"/>
    <w:rsid w:val="41876808"/>
    <w:rsid w:val="418B25C4"/>
    <w:rsid w:val="41A75102"/>
    <w:rsid w:val="41A80C4D"/>
    <w:rsid w:val="41B300EA"/>
    <w:rsid w:val="41B65DF0"/>
    <w:rsid w:val="41B830B4"/>
    <w:rsid w:val="41C04416"/>
    <w:rsid w:val="41C23CEA"/>
    <w:rsid w:val="41C97EA7"/>
    <w:rsid w:val="41D463ED"/>
    <w:rsid w:val="41E06866"/>
    <w:rsid w:val="42002A64"/>
    <w:rsid w:val="420626FE"/>
    <w:rsid w:val="42091762"/>
    <w:rsid w:val="4210163E"/>
    <w:rsid w:val="42247EFC"/>
    <w:rsid w:val="42254279"/>
    <w:rsid w:val="422F7A5E"/>
    <w:rsid w:val="423170C2"/>
    <w:rsid w:val="423F4833"/>
    <w:rsid w:val="424218EC"/>
    <w:rsid w:val="42613503"/>
    <w:rsid w:val="4265600A"/>
    <w:rsid w:val="426C77E0"/>
    <w:rsid w:val="42701F10"/>
    <w:rsid w:val="42A63774"/>
    <w:rsid w:val="42C40DB3"/>
    <w:rsid w:val="42C56F2E"/>
    <w:rsid w:val="42E23AB3"/>
    <w:rsid w:val="42E44134"/>
    <w:rsid w:val="42F44377"/>
    <w:rsid w:val="42F871B0"/>
    <w:rsid w:val="42FA4177"/>
    <w:rsid w:val="43120CA1"/>
    <w:rsid w:val="433B49C4"/>
    <w:rsid w:val="43404E07"/>
    <w:rsid w:val="434D117E"/>
    <w:rsid w:val="434F15AD"/>
    <w:rsid w:val="436A7809"/>
    <w:rsid w:val="436F2BE5"/>
    <w:rsid w:val="439B0C97"/>
    <w:rsid w:val="439B47F3"/>
    <w:rsid w:val="43A17EF3"/>
    <w:rsid w:val="43B0717E"/>
    <w:rsid w:val="43C746C6"/>
    <w:rsid w:val="43D710BC"/>
    <w:rsid w:val="43E85EA9"/>
    <w:rsid w:val="43F57949"/>
    <w:rsid w:val="4401779D"/>
    <w:rsid w:val="440E2133"/>
    <w:rsid w:val="442567B2"/>
    <w:rsid w:val="442C7B41"/>
    <w:rsid w:val="44300132"/>
    <w:rsid w:val="4436451B"/>
    <w:rsid w:val="443B54C2"/>
    <w:rsid w:val="44446C38"/>
    <w:rsid w:val="44590106"/>
    <w:rsid w:val="445F7945"/>
    <w:rsid w:val="44721276"/>
    <w:rsid w:val="44722C0D"/>
    <w:rsid w:val="44755E05"/>
    <w:rsid w:val="44973E09"/>
    <w:rsid w:val="44A05C4E"/>
    <w:rsid w:val="44AA0FE9"/>
    <w:rsid w:val="44B70D69"/>
    <w:rsid w:val="44C1472D"/>
    <w:rsid w:val="44C7620D"/>
    <w:rsid w:val="44DE708D"/>
    <w:rsid w:val="44E4666D"/>
    <w:rsid w:val="44EF62EC"/>
    <w:rsid w:val="44F32CF2"/>
    <w:rsid w:val="44F40CE5"/>
    <w:rsid w:val="44FF34A7"/>
    <w:rsid w:val="450831D4"/>
    <w:rsid w:val="450F36EA"/>
    <w:rsid w:val="451E0B93"/>
    <w:rsid w:val="452F395C"/>
    <w:rsid w:val="45401AF6"/>
    <w:rsid w:val="454215C9"/>
    <w:rsid w:val="45591C85"/>
    <w:rsid w:val="456926CF"/>
    <w:rsid w:val="45702958"/>
    <w:rsid w:val="45813EBC"/>
    <w:rsid w:val="458A4055"/>
    <w:rsid w:val="458F65D9"/>
    <w:rsid w:val="45950524"/>
    <w:rsid w:val="45A571C9"/>
    <w:rsid w:val="45A656D1"/>
    <w:rsid w:val="45B45068"/>
    <w:rsid w:val="45BE1328"/>
    <w:rsid w:val="45BF0ECF"/>
    <w:rsid w:val="45CF4C28"/>
    <w:rsid w:val="45DB537A"/>
    <w:rsid w:val="45E4202E"/>
    <w:rsid w:val="45E66709"/>
    <w:rsid w:val="45EA1A61"/>
    <w:rsid w:val="45F75F2C"/>
    <w:rsid w:val="460E05EA"/>
    <w:rsid w:val="46113D1E"/>
    <w:rsid w:val="464A2500"/>
    <w:rsid w:val="464A73BB"/>
    <w:rsid w:val="46534AB0"/>
    <w:rsid w:val="46612A5D"/>
    <w:rsid w:val="46684492"/>
    <w:rsid w:val="468131F3"/>
    <w:rsid w:val="46817F1B"/>
    <w:rsid w:val="46845A12"/>
    <w:rsid w:val="468974CC"/>
    <w:rsid w:val="468F19F6"/>
    <w:rsid w:val="46A41C10"/>
    <w:rsid w:val="46A9696E"/>
    <w:rsid w:val="46B163B6"/>
    <w:rsid w:val="46B209D9"/>
    <w:rsid w:val="46B868DE"/>
    <w:rsid w:val="46C46F3C"/>
    <w:rsid w:val="46CD4B75"/>
    <w:rsid w:val="46D3084B"/>
    <w:rsid w:val="46D35FF3"/>
    <w:rsid w:val="46DB2979"/>
    <w:rsid w:val="46DD5122"/>
    <w:rsid w:val="46E1647E"/>
    <w:rsid w:val="46EA6D1D"/>
    <w:rsid w:val="47047057"/>
    <w:rsid w:val="4705240C"/>
    <w:rsid w:val="472E3986"/>
    <w:rsid w:val="47307948"/>
    <w:rsid w:val="475902AC"/>
    <w:rsid w:val="475C073D"/>
    <w:rsid w:val="47646FBC"/>
    <w:rsid w:val="477744A4"/>
    <w:rsid w:val="47804A62"/>
    <w:rsid w:val="47992A44"/>
    <w:rsid w:val="479B27F3"/>
    <w:rsid w:val="479C322F"/>
    <w:rsid w:val="479F69E2"/>
    <w:rsid w:val="47A83982"/>
    <w:rsid w:val="47B265AF"/>
    <w:rsid w:val="47B64F88"/>
    <w:rsid w:val="47B73BC5"/>
    <w:rsid w:val="47B8644D"/>
    <w:rsid w:val="47BB09EC"/>
    <w:rsid w:val="47BC1EF7"/>
    <w:rsid w:val="47C81D4B"/>
    <w:rsid w:val="47D57865"/>
    <w:rsid w:val="47D604EF"/>
    <w:rsid w:val="48192A19"/>
    <w:rsid w:val="481B23A6"/>
    <w:rsid w:val="483153FC"/>
    <w:rsid w:val="483A3131"/>
    <w:rsid w:val="484418DC"/>
    <w:rsid w:val="485B09F4"/>
    <w:rsid w:val="48637683"/>
    <w:rsid w:val="48643D4D"/>
    <w:rsid w:val="48706D04"/>
    <w:rsid w:val="48780BE2"/>
    <w:rsid w:val="487C1D00"/>
    <w:rsid w:val="48855A71"/>
    <w:rsid w:val="489207AC"/>
    <w:rsid w:val="48C06FEC"/>
    <w:rsid w:val="48C269D7"/>
    <w:rsid w:val="48C97444"/>
    <w:rsid w:val="48D12A65"/>
    <w:rsid w:val="48EE33B9"/>
    <w:rsid w:val="48F84978"/>
    <w:rsid w:val="49061B74"/>
    <w:rsid w:val="490B41C9"/>
    <w:rsid w:val="492E435B"/>
    <w:rsid w:val="4945326D"/>
    <w:rsid w:val="494A0AAA"/>
    <w:rsid w:val="494A4957"/>
    <w:rsid w:val="495B4771"/>
    <w:rsid w:val="495B7B9D"/>
    <w:rsid w:val="49746212"/>
    <w:rsid w:val="4981092F"/>
    <w:rsid w:val="498109EF"/>
    <w:rsid w:val="49817C4D"/>
    <w:rsid w:val="499D578A"/>
    <w:rsid w:val="49A95790"/>
    <w:rsid w:val="49C17CD5"/>
    <w:rsid w:val="49DC598B"/>
    <w:rsid w:val="49E2660C"/>
    <w:rsid w:val="49F35E41"/>
    <w:rsid w:val="4A017280"/>
    <w:rsid w:val="4A071975"/>
    <w:rsid w:val="4A132FEA"/>
    <w:rsid w:val="4A1355EC"/>
    <w:rsid w:val="4A1E27C0"/>
    <w:rsid w:val="4A2E73B2"/>
    <w:rsid w:val="4A311065"/>
    <w:rsid w:val="4A4C0CA0"/>
    <w:rsid w:val="4A4F4589"/>
    <w:rsid w:val="4A6022F2"/>
    <w:rsid w:val="4A7434AD"/>
    <w:rsid w:val="4A7E380F"/>
    <w:rsid w:val="4A7E525B"/>
    <w:rsid w:val="4A8D00A4"/>
    <w:rsid w:val="4AA523FB"/>
    <w:rsid w:val="4AAF3238"/>
    <w:rsid w:val="4AB97AC7"/>
    <w:rsid w:val="4AC23A8F"/>
    <w:rsid w:val="4AEC0717"/>
    <w:rsid w:val="4AF61840"/>
    <w:rsid w:val="4AF77C11"/>
    <w:rsid w:val="4AF907C3"/>
    <w:rsid w:val="4AFD3FE5"/>
    <w:rsid w:val="4B2B078C"/>
    <w:rsid w:val="4B452A46"/>
    <w:rsid w:val="4B4B5D42"/>
    <w:rsid w:val="4B533C05"/>
    <w:rsid w:val="4B667DDC"/>
    <w:rsid w:val="4B773663"/>
    <w:rsid w:val="4B7A34A3"/>
    <w:rsid w:val="4B8863B3"/>
    <w:rsid w:val="4B8E6D47"/>
    <w:rsid w:val="4BAD7B06"/>
    <w:rsid w:val="4BBF1503"/>
    <w:rsid w:val="4BCC41A2"/>
    <w:rsid w:val="4BD61538"/>
    <w:rsid w:val="4BDC3F3B"/>
    <w:rsid w:val="4BE11211"/>
    <w:rsid w:val="4C013FBD"/>
    <w:rsid w:val="4C1C049B"/>
    <w:rsid w:val="4C201DD4"/>
    <w:rsid w:val="4C361139"/>
    <w:rsid w:val="4C3E18C1"/>
    <w:rsid w:val="4C4969FA"/>
    <w:rsid w:val="4C4D76C9"/>
    <w:rsid w:val="4C661132"/>
    <w:rsid w:val="4C704914"/>
    <w:rsid w:val="4C800A2A"/>
    <w:rsid w:val="4CA478EC"/>
    <w:rsid w:val="4CB61310"/>
    <w:rsid w:val="4CB72305"/>
    <w:rsid w:val="4CBF59F6"/>
    <w:rsid w:val="4CC96874"/>
    <w:rsid w:val="4CD6689C"/>
    <w:rsid w:val="4D051826"/>
    <w:rsid w:val="4D0F7FFF"/>
    <w:rsid w:val="4D185106"/>
    <w:rsid w:val="4D3F1202"/>
    <w:rsid w:val="4D70743E"/>
    <w:rsid w:val="4D7309A3"/>
    <w:rsid w:val="4D752558"/>
    <w:rsid w:val="4D9A485F"/>
    <w:rsid w:val="4DA05CC7"/>
    <w:rsid w:val="4DA836B4"/>
    <w:rsid w:val="4DAE370E"/>
    <w:rsid w:val="4DB80F63"/>
    <w:rsid w:val="4DCC2604"/>
    <w:rsid w:val="4DDD6DE8"/>
    <w:rsid w:val="4DEA4AD3"/>
    <w:rsid w:val="4E04568A"/>
    <w:rsid w:val="4E2411F9"/>
    <w:rsid w:val="4E2A3343"/>
    <w:rsid w:val="4E374E89"/>
    <w:rsid w:val="4E5449C9"/>
    <w:rsid w:val="4E615A47"/>
    <w:rsid w:val="4E6C40DA"/>
    <w:rsid w:val="4E6F51FA"/>
    <w:rsid w:val="4E883264"/>
    <w:rsid w:val="4EAA2422"/>
    <w:rsid w:val="4EAA6947"/>
    <w:rsid w:val="4EAC1966"/>
    <w:rsid w:val="4EC34E95"/>
    <w:rsid w:val="4EC53911"/>
    <w:rsid w:val="4EC54E1A"/>
    <w:rsid w:val="4ECD1091"/>
    <w:rsid w:val="4ED41ACC"/>
    <w:rsid w:val="4F1A4144"/>
    <w:rsid w:val="4F455C82"/>
    <w:rsid w:val="4F480F98"/>
    <w:rsid w:val="4F4C1097"/>
    <w:rsid w:val="4F5B7129"/>
    <w:rsid w:val="4F6B6A32"/>
    <w:rsid w:val="4F774650"/>
    <w:rsid w:val="4F820F5D"/>
    <w:rsid w:val="4F877B67"/>
    <w:rsid w:val="4F8A3233"/>
    <w:rsid w:val="4FC13833"/>
    <w:rsid w:val="4FC41575"/>
    <w:rsid w:val="4FD23C92"/>
    <w:rsid w:val="4FD52BBB"/>
    <w:rsid w:val="4FD63DB0"/>
    <w:rsid w:val="4FE60655"/>
    <w:rsid w:val="5008305D"/>
    <w:rsid w:val="50120532"/>
    <w:rsid w:val="50137E6B"/>
    <w:rsid w:val="50195F7C"/>
    <w:rsid w:val="504B439D"/>
    <w:rsid w:val="50502E09"/>
    <w:rsid w:val="5053344D"/>
    <w:rsid w:val="50560BFF"/>
    <w:rsid w:val="50597248"/>
    <w:rsid w:val="505E1082"/>
    <w:rsid w:val="50640DB0"/>
    <w:rsid w:val="5068522B"/>
    <w:rsid w:val="507D3E22"/>
    <w:rsid w:val="50897E71"/>
    <w:rsid w:val="509640BA"/>
    <w:rsid w:val="509D5DF5"/>
    <w:rsid w:val="50A51F45"/>
    <w:rsid w:val="50BA5ED1"/>
    <w:rsid w:val="50BF057B"/>
    <w:rsid w:val="50C437E8"/>
    <w:rsid w:val="50CB4F4E"/>
    <w:rsid w:val="50CF5018"/>
    <w:rsid w:val="50DB26D2"/>
    <w:rsid w:val="50E0558D"/>
    <w:rsid w:val="50ED7FB1"/>
    <w:rsid w:val="50F21C05"/>
    <w:rsid w:val="50F639B0"/>
    <w:rsid w:val="51182B81"/>
    <w:rsid w:val="511C58E7"/>
    <w:rsid w:val="512A3350"/>
    <w:rsid w:val="513460A7"/>
    <w:rsid w:val="5137016C"/>
    <w:rsid w:val="51453FF0"/>
    <w:rsid w:val="5153670D"/>
    <w:rsid w:val="51583D23"/>
    <w:rsid w:val="516473EA"/>
    <w:rsid w:val="517D2798"/>
    <w:rsid w:val="517F429F"/>
    <w:rsid w:val="518C2CC6"/>
    <w:rsid w:val="519D756C"/>
    <w:rsid w:val="51A77645"/>
    <w:rsid w:val="51E15B62"/>
    <w:rsid w:val="51F06651"/>
    <w:rsid w:val="5201085F"/>
    <w:rsid w:val="52243497"/>
    <w:rsid w:val="5233653E"/>
    <w:rsid w:val="523F5C74"/>
    <w:rsid w:val="524A4C2F"/>
    <w:rsid w:val="525218F8"/>
    <w:rsid w:val="52540A31"/>
    <w:rsid w:val="52677416"/>
    <w:rsid w:val="526F42A7"/>
    <w:rsid w:val="528172AA"/>
    <w:rsid w:val="528374C6"/>
    <w:rsid w:val="52904819"/>
    <w:rsid w:val="52A7388C"/>
    <w:rsid w:val="52AD4542"/>
    <w:rsid w:val="52B2351E"/>
    <w:rsid w:val="52B54768"/>
    <w:rsid w:val="52B94C95"/>
    <w:rsid w:val="52D23FA9"/>
    <w:rsid w:val="52E52156"/>
    <w:rsid w:val="52E74FD5"/>
    <w:rsid w:val="52ED3AD0"/>
    <w:rsid w:val="52F97788"/>
    <w:rsid w:val="531B7580"/>
    <w:rsid w:val="531E1084"/>
    <w:rsid w:val="53343E7A"/>
    <w:rsid w:val="53455288"/>
    <w:rsid w:val="535D1AC5"/>
    <w:rsid w:val="536A3C81"/>
    <w:rsid w:val="537A2677"/>
    <w:rsid w:val="53851287"/>
    <w:rsid w:val="5391176E"/>
    <w:rsid w:val="5392486B"/>
    <w:rsid w:val="539506F7"/>
    <w:rsid w:val="53A1637A"/>
    <w:rsid w:val="53AC0BFD"/>
    <w:rsid w:val="53B55EC5"/>
    <w:rsid w:val="53C102A5"/>
    <w:rsid w:val="53E47AF0"/>
    <w:rsid w:val="53E84474"/>
    <w:rsid w:val="53EC4BF7"/>
    <w:rsid w:val="53F21222"/>
    <w:rsid w:val="54091C4C"/>
    <w:rsid w:val="540B1091"/>
    <w:rsid w:val="540D3C39"/>
    <w:rsid w:val="540E1011"/>
    <w:rsid w:val="540F6B5A"/>
    <w:rsid w:val="541C7820"/>
    <w:rsid w:val="542A1416"/>
    <w:rsid w:val="542B3809"/>
    <w:rsid w:val="54640C31"/>
    <w:rsid w:val="546724CF"/>
    <w:rsid w:val="547C70A9"/>
    <w:rsid w:val="549B049E"/>
    <w:rsid w:val="54A14038"/>
    <w:rsid w:val="54B20328"/>
    <w:rsid w:val="54C17E31"/>
    <w:rsid w:val="54CF26A0"/>
    <w:rsid w:val="54EB245C"/>
    <w:rsid w:val="55003C35"/>
    <w:rsid w:val="550559F2"/>
    <w:rsid w:val="55106F91"/>
    <w:rsid w:val="551C33A0"/>
    <w:rsid w:val="555E3509"/>
    <w:rsid w:val="55712681"/>
    <w:rsid w:val="55833339"/>
    <w:rsid w:val="55955C20"/>
    <w:rsid w:val="559E65D4"/>
    <w:rsid w:val="55A71475"/>
    <w:rsid w:val="55A859D5"/>
    <w:rsid w:val="55DD2CF0"/>
    <w:rsid w:val="55DF0EB7"/>
    <w:rsid w:val="55F27845"/>
    <w:rsid w:val="55F52488"/>
    <w:rsid w:val="55F64B50"/>
    <w:rsid w:val="55FA184D"/>
    <w:rsid w:val="55FA274D"/>
    <w:rsid w:val="562005FF"/>
    <w:rsid w:val="5646622C"/>
    <w:rsid w:val="56501C49"/>
    <w:rsid w:val="5660157F"/>
    <w:rsid w:val="56680B28"/>
    <w:rsid w:val="566E3E25"/>
    <w:rsid w:val="56763C45"/>
    <w:rsid w:val="567B23A6"/>
    <w:rsid w:val="56871B8F"/>
    <w:rsid w:val="56B063AF"/>
    <w:rsid w:val="56D02529"/>
    <w:rsid w:val="56D0300D"/>
    <w:rsid w:val="56D7393C"/>
    <w:rsid w:val="56ED713F"/>
    <w:rsid w:val="56EF66B6"/>
    <w:rsid w:val="56F12ADE"/>
    <w:rsid w:val="56F95FA8"/>
    <w:rsid w:val="57011665"/>
    <w:rsid w:val="57081D5F"/>
    <w:rsid w:val="571C44FE"/>
    <w:rsid w:val="57212AE0"/>
    <w:rsid w:val="57352FAB"/>
    <w:rsid w:val="57407733"/>
    <w:rsid w:val="57686C8A"/>
    <w:rsid w:val="577839AF"/>
    <w:rsid w:val="57867F01"/>
    <w:rsid w:val="578C139E"/>
    <w:rsid w:val="578C4726"/>
    <w:rsid w:val="579A6FF5"/>
    <w:rsid w:val="57AD03E1"/>
    <w:rsid w:val="57CC51EB"/>
    <w:rsid w:val="57E30CE5"/>
    <w:rsid w:val="57E76CE3"/>
    <w:rsid w:val="5803087B"/>
    <w:rsid w:val="58042C0C"/>
    <w:rsid w:val="581E72E5"/>
    <w:rsid w:val="581F37ED"/>
    <w:rsid w:val="58515822"/>
    <w:rsid w:val="586D2AC4"/>
    <w:rsid w:val="587578B0"/>
    <w:rsid w:val="589C66BA"/>
    <w:rsid w:val="58A367BB"/>
    <w:rsid w:val="58AB0992"/>
    <w:rsid w:val="58BA5CA5"/>
    <w:rsid w:val="58CC6B46"/>
    <w:rsid w:val="58CE4804"/>
    <w:rsid w:val="58DC2F21"/>
    <w:rsid w:val="58E04357"/>
    <w:rsid w:val="58F30223"/>
    <w:rsid w:val="58FB0E2F"/>
    <w:rsid w:val="591470C9"/>
    <w:rsid w:val="591D3819"/>
    <w:rsid w:val="592B7501"/>
    <w:rsid w:val="593212FE"/>
    <w:rsid w:val="59344016"/>
    <w:rsid w:val="594338D6"/>
    <w:rsid w:val="5943526B"/>
    <w:rsid w:val="59462FFB"/>
    <w:rsid w:val="59611C11"/>
    <w:rsid w:val="596A347D"/>
    <w:rsid w:val="59761A2C"/>
    <w:rsid w:val="59805CB4"/>
    <w:rsid w:val="59994EFD"/>
    <w:rsid w:val="59A215B5"/>
    <w:rsid w:val="59A87D09"/>
    <w:rsid w:val="59B80961"/>
    <w:rsid w:val="59B87197"/>
    <w:rsid w:val="59ED4E0C"/>
    <w:rsid w:val="59F705C5"/>
    <w:rsid w:val="5A151C64"/>
    <w:rsid w:val="5A1D32C8"/>
    <w:rsid w:val="5A336484"/>
    <w:rsid w:val="5A357D7D"/>
    <w:rsid w:val="5A490FF5"/>
    <w:rsid w:val="5A5B099B"/>
    <w:rsid w:val="5A5E6259"/>
    <w:rsid w:val="5A67147B"/>
    <w:rsid w:val="5A743BED"/>
    <w:rsid w:val="5A827552"/>
    <w:rsid w:val="5A8E7D4D"/>
    <w:rsid w:val="5A93401E"/>
    <w:rsid w:val="5A9D4E9D"/>
    <w:rsid w:val="5AA37D2B"/>
    <w:rsid w:val="5AAC7CA6"/>
    <w:rsid w:val="5AB05D52"/>
    <w:rsid w:val="5ABD7CBF"/>
    <w:rsid w:val="5AC652FE"/>
    <w:rsid w:val="5ACA171B"/>
    <w:rsid w:val="5AD55A47"/>
    <w:rsid w:val="5ADC6581"/>
    <w:rsid w:val="5AF144D0"/>
    <w:rsid w:val="5AFC0BA0"/>
    <w:rsid w:val="5B0B44FC"/>
    <w:rsid w:val="5B101B12"/>
    <w:rsid w:val="5B197C74"/>
    <w:rsid w:val="5B1A029B"/>
    <w:rsid w:val="5B2B0740"/>
    <w:rsid w:val="5B2D03BF"/>
    <w:rsid w:val="5B3329A6"/>
    <w:rsid w:val="5B341262"/>
    <w:rsid w:val="5B37029B"/>
    <w:rsid w:val="5B3B27B6"/>
    <w:rsid w:val="5B47552E"/>
    <w:rsid w:val="5B486B51"/>
    <w:rsid w:val="5B4C65BA"/>
    <w:rsid w:val="5B5063B8"/>
    <w:rsid w:val="5B5D48E4"/>
    <w:rsid w:val="5B631C42"/>
    <w:rsid w:val="5B711BB9"/>
    <w:rsid w:val="5B9457B5"/>
    <w:rsid w:val="5B9B762E"/>
    <w:rsid w:val="5B9E2C7A"/>
    <w:rsid w:val="5BA8693E"/>
    <w:rsid w:val="5BBB3AF8"/>
    <w:rsid w:val="5BBC49F9"/>
    <w:rsid w:val="5BC33CC0"/>
    <w:rsid w:val="5BC8419B"/>
    <w:rsid w:val="5BD3609E"/>
    <w:rsid w:val="5BD753BF"/>
    <w:rsid w:val="5BF84A80"/>
    <w:rsid w:val="5C115B42"/>
    <w:rsid w:val="5C1209A4"/>
    <w:rsid w:val="5C1509A3"/>
    <w:rsid w:val="5C2F5519"/>
    <w:rsid w:val="5C6043D4"/>
    <w:rsid w:val="5C781005"/>
    <w:rsid w:val="5C786DC5"/>
    <w:rsid w:val="5C8465A7"/>
    <w:rsid w:val="5C8A3266"/>
    <w:rsid w:val="5CA304A2"/>
    <w:rsid w:val="5CB12E81"/>
    <w:rsid w:val="5CC24E7F"/>
    <w:rsid w:val="5CCA4E96"/>
    <w:rsid w:val="5CE40A51"/>
    <w:rsid w:val="5CEE4C8D"/>
    <w:rsid w:val="5CFD57E6"/>
    <w:rsid w:val="5D0E2082"/>
    <w:rsid w:val="5D270346"/>
    <w:rsid w:val="5D320ADF"/>
    <w:rsid w:val="5D3B1522"/>
    <w:rsid w:val="5D3B17C6"/>
    <w:rsid w:val="5D417F4C"/>
    <w:rsid w:val="5D4C2B41"/>
    <w:rsid w:val="5D6A17FC"/>
    <w:rsid w:val="5D6F1B40"/>
    <w:rsid w:val="5D804D2D"/>
    <w:rsid w:val="5D9A50C1"/>
    <w:rsid w:val="5DC04054"/>
    <w:rsid w:val="5DC041B9"/>
    <w:rsid w:val="5DE25E5D"/>
    <w:rsid w:val="5DF01070"/>
    <w:rsid w:val="5E073EA8"/>
    <w:rsid w:val="5E1D0765"/>
    <w:rsid w:val="5E3265CF"/>
    <w:rsid w:val="5E354CE4"/>
    <w:rsid w:val="5E3C6796"/>
    <w:rsid w:val="5E5F0909"/>
    <w:rsid w:val="5E5F0DE7"/>
    <w:rsid w:val="5E5F5D16"/>
    <w:rsid w:val="5E6301AB"/>
    <w:rsid w:val="5E6A153A"/>
    <w:rsid w:val="5E6B55B4"/>
    <w:rsid w:val="5E750CAB"/>
    <w:rsid w:val="5E7A79CF"/>
    <w:rsid w:val="5E8720EC"/>
    <w:rsid w:val="5E873CC8"/>
    <w:rsid w:val="5EA32C64"/>
    <w:rsid w:val="5EAB402C"/>
    <w:rsid w:val="5EAC5EC6"/>
    <w:rsid w:val="5EAE2DBB"/>
    <w:rsid w:val="5ECE3853"/>
    <w:rsid w:val="5EDC1404"/>
    <w:rsid w:val="5EEC1F4F"/>
    <w:rsid w:val="5EF17565"/>
    <w:rsid w:val="5EF23FD5"/>
    <w:rsid w:val="5EFB5D9F"/>
    <w:rsid w:val="5F1020E1"/>
    <w:rsid w:val="5F166FCB"/>
    <w:rsid w:val="5F1B0F29"/>
    <w:rsid w:val="5F1D6083"/>
    <w:rsid w:val="5F41229A"/>
    <w:rsid w:val="5F474F0A"/>
    <w:rsid w:val="5F5044C0"/>
    <w:rsid w:val="5F5371DE"/>
    <w:rsid w:val="5F582DAC"/>
    <w:rsid w:val="5F5F5432"/>
    <w:rsid w:val="5F60509B"/>
    <w:rsid w:val="5F655DAB"/>
    <w:rsid w:val="5F8927A1"/>
    <w:rsid w:val="5F9B33EF"/>
    <w:rsid w:val="5FAB005C"/>
    <w:rsid w:val="5FC8357E"/>
    <w:rsid w:val="600E33F2"/>
    <w:rsid w:val="60104CB7"/>
    <w:rsid w:val="60120E71"/>
    <w:rsid w:val="601D0773"/>
    <w:rsid w:val="602B4CD7"/>
    <w:rsid w:val="602F2A3B"/>
    <w:rsid w:val="60314474"/>
    <w:rsid w:val="6042276E"/>
    <w:rsid w:val="6043133F"/>
    <w:rsid w:val="604B09AE"/>
    <w:rsid w:val="60563B24"/>
    <w:rsid w:val="606C4655"/>
    <w:rsid w:val="606D70BF"/>
    <w:rsid w:val="607F0E7E"/>
    <w:rsid w:val="608727E6"/>
    <w:rsid w:val="608E1F26"/>
    <w:rsid w:val="608F7035"/>
    <w:rsid w:val="609A0127"/>
    <w:rsid w:val="609C09CF"/>
    <w:rsid w:val="60A01AD4"/>
    <w:rsid w:val="60A83B07"/>
    <w:rsid w:val="60AD2528"/>
    <w:rsid w:val="60B116A2"/>
    <w:rsid w:val="60B435AF"/>
    <w:rsid w:val="60D373D4"/>
    <w:rsid w:val="60E76EF5"/>
    <w:rsid w:val="6110461A"/>
    <w:rsid w:val="611B32EC"/>
    <w:rsid w:val="612E2CF2"/>
    <w:rsid w:val="61396C6B"/>
    <w:rsid w:val="615304FE"/>
    <w:rsid w:val="615D3ED0"/>
    <w:rsid w:val="61652F93"/>
    <w:rsid w:val="61732EEE"/>
    <w:rsid w:val="6175250D"/>
    <w:rsid w:val="61834DEC"/>
    <w:rsid w:val="61952D71"/>
    <w:rsid w:val="61A13B83"/>
    <w:rsid w:val="61B054B5"/>
    <w:rsid w:val="61CD6067"/>
    <w:rsid w:val="61EC3CCE"/>
    <w:rsid w:val="61F4250A"/>
    <w:rsid w:val="61FB4BA5"/>
    <w:rsid w:val="62022DBF"/>
    <w:rsid w:val="62127F1E"/>
    <w:rsid w:val="621858FA"/>
    <w:rsid w:val="621912AD"/>
    <w:rsid w:val="621974FF"/>
    <w:rsid w:val="621E4B15"/>
    <w:rsid w:val="622B0FE0"/>
    <w:rsid w:val="622E6349"/>
    <w:rsid w:val="6235545E"/>
    <w:rsid w:val="62543494"/>
    <w:rsid w:val="626764BC"/>
    <w:rsid w:val="62784E2A"/>
    <w:rsid w:val="627D5CDF"/>
    <w:rsid w:val="628A6A3B"/>
    <w:rsid w:val="629B595B"/>
    <w:rsid w:val="629C42F2"/>
    <w:rsid w:val="62A019CE"/>
    <w:rsid w:val="62A8428D"/>
    <w:rsid w:val="62A96AD4"/>
    <w:rsid w:val="62BA2CFA"/>
    <w:rsid w:val="62BC6743"/>
    <w:rsid w:val="62BF1DD5"/>
    <w:rsid w:val="62C00FFA"/>
    <w:rsid w:val="62C023FC"/>
    <w:rsid w:val="62E45AE7"/>
    <w:rsid w:val="62E571E6"/>
    <w:rsid w:val="62F27950"/>
    <w:rsid w:val="63004582"/>
    <w:rsid w:val="63183F0C"/>
    <w:rsid w:val="63387E58"/>
    <w:rsid w:val="63451804"/>
    <w:rsid w:val="635C3B47"/>
    <w:rsid w:val="635D55A0"/>
    <w:rsid w:val="63606CD7"/>
    <w:rsid w:val="636824DE"/>
    <w:rsid w:val="636D5D54"/>
    <w:rsid w:val="636E690B"/>
    <w:rsid w:val="638805AE"/>
    <w:rsid w:val="63BC45E5"/>
    <w:rsid w:val="63D9349A"/>
    <w:rsid w:val="63EB7B12"/>
    <w:rsid w:val="63EE04D9"/>
    <w:rsid w:val="63FC7A0E"/>
    <w:rsid w:val="64277091"/>
    <w:rsid w:val="642E6B65"/>
    <w:rsid w:val="644F1EBF"/>
    <w:rsid w:val="645962D8"/>
    <w:rsid w:val="64710F8E"/>
    <w:rsid w:val="647244E8"/>
    <w:rsid w:val="647924D6"/>
    <w:rsid w:val="649C7200"/>
    <w:rsid w:val="64C86DE4"/>
    <w:rsid w:val="64D0253C"/>
    <w:rsid w:val="64DC5915"/>
    <w:rsid w:val="64DD0F38"/>
    <w:rsid w:val="64E536C8"/>
    <w:rsid w:val="64F56AFB"/>
    <w:rsid w:val="64FE478A"/>
    <w:rsid w:val="6501500B"/>
    <w:rsid w:val="65086E8C"/>
    <w:rsid w:val="65095CDF"/>
    <w:rsid w:val="65116D01"/>
    <w:rsid w:val="65145463"/>
    <w:rsid w:val="65147FE0"/>
    <w:rsid w:val="652A32A7"/>
    <w:rsid w:val="652A7A57"/>
    <w:rsid w:val="653B3C30"/>
    <w:rsid w:val="65485CBC"/>
    <w:rsid w:val="65495F14"/>
    <w:rsid w:val="654C1999"/>
    <w:rsid w:val="655A4987"/>
    <w:rsid w:val="656A2F30"/>
    <w:rsid w:val="656E7D97"/>
    <w:rsid w:val="65743B60"/>
    <w:rsid w:val="65764C68"/>
    <w:rsid w:val="65877A6B"/>
    <w:rsid w:val="659F2386"/>
    <w:rsid w:val="65B37C6A"/>
    <w:rsid w:val="65B61545"/>
    <w:rsid w:val="65C30382"/>
    <w:rsid w:val="65DA56DA"/>
    <w:rsid w:val="65DE5C49"/>
    <w:rsid w:val="65DF0DC7"/>
    <w:rsid w:val="65E16585"/>
    <w:rsid w:val="65FB7547"/>
    <w:rsid w:val="65FE7137"/>
    <w:rsid w:val="661943BB"/>
    <w:rsid w:val="661A1F8E"/>
    <w:rsid w:val="662E75B1"/>
    <w:rsid w:val="664A1A41"/>
    <w:rsid w:val="66750653"/>
    <w:rsid w:val="667E42E9"/>
    <w:rsid w:val="668C3AB9"/>
    <w:rsid w:val="66AA66EF"/>
    <w:rsid w:val="66BE141F"/>
    <w:rsid w:val="66D17151"/>
    <w:rsid w:val="66E31E89"/>
    <w:rsid w:val="66E55148"/>
    <w:rsid w:val="66FA1AFD"/>
    <w:rsid w:val="66FF1DEB"/>
    <w:rsid w:val="6706364D"/>
    <w:rsid w:val="670D78A8"/>
    <w:rsid w:val="67144738"/>
    <w:rsid w:val="6721695D"/>
    <w:rsid w:val="67241AD4"/>
    <w:rsid w:val="67260306"/>
    <w:rsid w:val="676925C3"/>
    <w:rsid w:val="67882268"/>
    <w:rsid w:val="678E2670"/>
    <w:rsid w:val="67920261"/>
    <w:rsid w:val="67963918"/>
    <w:rsid w:val="679B4E9C"/>
    <w:rsid w:val="67AE7005"/>
    <w:rsid w:val="67BA3DA7"/>
    <w:rsid w:val="67C955A3"/>
    <w:rsid w:val="67D55C76"/>
    <w:rsid w:val="67D90381"/>
    <w:rsid w:val="67D976EB"/>
    <w:rsid w:val="67DB7BB9"/>
    <w:rsid w:val="680622D3"/>
    <w:rsid w:val="6813146A"/>
    <w:rsid w:val="68191B43"/>
    <w:rsid w:val="68257883"/>
    <w:rsid w:val="682A21C6"/>
    <w:rsid w:val="683464C2"/>
    <w:rsid w:val="68437083"/>
    <w:rsid w:val="684828EC"/>
    <w:rsid w:val="6849552D"/>
    <w:rsid w:val="68530749"/>
    <w:rsid w:val="68591B10"/>
    <w:rsid w:val="68637AFB"/>
    <w:rsid w:val="689877D2"/>
    <w:rsid w:val="689B0497"/>
    <w:rsid w:val="68A13ED7"/>
    <w:rsid w:val="68AF64C7"/>
    <w:rsid w:val="68B83684"/>
    <w:rsid w:val="68D221B5"/>
    <w:rsid w:val="68DB3D9D"/>
    <w:rsid w:val="690449D6"/>
    <w:rsid w:val="690E1E75"/>
    <w:rsid w:val="691353BE"/>
    <w:rsid w:val="691A2D97"/>
    <w:rsid w:val="692C7CF4"/>
    <w:rsid w:val="693132B0"/>
    <w:rsid w:val="693A65CC"/>
    <w:rsid w:val="695452C0"/>
    <w:rsid w:val="69575CDB"/>
    <w:rsid w:val="695A0B28"/>
    <w:rsid w:val="69653D33"/>
    <w:rsid w:val="69673DB9"/>
    <w:rsid w:val="696B4D9E"/>
    <w:rsid w:val="69732837"/>
    <w:rsid w:val="6974326C"/>
    <w:rsid w:val="699865DF"/>
    <w:rsid w:val="69B10AAA"/>
    <w:rsid w:val="69B24431"/>
    <w:rsid w:val="69C8604E"/>
    <w:rsid w:val="69D5416E"/>
    <w:rsid w:val="69D72179"/>
    <w:rsid w:val="69D86DE2"/>
    <w:rsid w:val="69F72A92"/>
    <w:rsid w:val="69FC5A51"/>
    <w:rsid w:val="69FE4E0F"/>
    <w:rsid w:val="6A165B70"/>
    <w:rsid w:val="6A214474"/>
    <w:rsid w:val="6A2E66AC"/>
    <w:rsid w:val="6A442422"/>
    <w:rsid w:val="6A461499"/>
    <w:rsid w:val="6A4E1D0F"/>
    <w:rsid w:val="6A4E6669"/>
    <w:rsid w:val="6A6136E2"/>
    <w:rsid w:val="6A675257"/>
    <w:rsid w:val="6A6E6011"/>
    <w:rsid w:val="6A7F724F"/>
    <w:rsid w:val="6A9A31A7"/>
    <w:rsid w:val="6A9F24C1"/>
    <w:rsid w:val="6AA162E3"/>
    <w:rsid w:val="6AA7186A"/>
    <w:rsid w:val="6AAF0D92"/>
    <w:rsid w:val="6AB02AB9"/>
    <w:rsid w:val="6ACA02F0"/>
    <w:rsid w:val="6AD27F47"/>
    <w:rsid w:val="6AEF520E"/>
    <w:rsid w:val="6AF00DEB"/>
    <w:rsid w:val="6AF16786"/>
    <w:rsid w:val="6B0074AE"/>
    <w:rsid w:val="6B017603"/>
    <w:rsid w:val="6B3367AA"/>
    <w:rsid w:val="6B380E3C"/>
    <w:rsid w:val="6B3F6177"/>
    <w:rsid w:val="6B506E08"/>
    <w:rsid w:val="6B5B2E93"/>
    <w:rsid w:val="6B7D1FBC"/>
    <w:rsid w:val="6B853A16"/>
    <w:rsid w:val="6B8D6CBA"/>
    <w:rsid w:val="6B8E5E3B"/>
    <w:rsid w:val="6B9B1070"/>
    <w:rsid w:val="6BB4368B"/>
    <w:rsid w:val="6BBF7251"/>
    <w:rsid w:val="6BC73B27"/>
    <w:rsid w:val="6BED2A8A"/>
    <w:rsid w:val="6BF012D0"/>
    <w:rsid w:val="6C030DBF"/>
    <w:rsid w:val="6C0840F1"/>
    <w:rsid w:val="6C092392"/>
    <w:rsid w:val="6C101972"/>
    <w:rsid w:val="6C1278EF"/>
    <w:rsid w:val="6C305B70"/>
    <w:rsid w:val="6C31120C"/>
    <w:rsid w:val="6C414414"/>
    <w:rsid w:val="6C44786E"/>
    <w:rsid w:val="6C491E30"/>
    <w:rsid w:val="6C494E84"/>
    <w:rsid w:val="6C496009"/>
    <w:rsid w:val="6C506CEC"/>
    <w:rsid w:val="6C5446C6"/>
    <w:rsid w:val="6C551648"/>
    <w:rsid w:val="6C5D53CB"/>
    <w:rsid w:val="6C615D2A"/>
    <w:rsid w:val="6C7110F4"/>
    <w:rsid w:val="6C7748D6"/>
    <w:rsid w:val="6C931EE3"/>
    <w:rsid w:val="6CA94F8E"/>
    <w:rsid w:val="6CB43BD9"/>
    <w:rsid w:val="6CB70040"/>
    <w:rsid w:val="6CBC7B76"/>
    <w:rsid w:val="6CC04577"/>
    <w:rsid w:val="6CC40168"/>
    <w:rsid w:val="6CCC5EBA"/>
    <w:rsid w:val="6CD01D77"/>
    <w:rsid w:val="6CD05F31"/>
    <w:rsid w:val="6CDA4C16"/>
    <w:rsid w:val="6CEC3B73"/>
    <w:rsid w:val="6CED358E"/>
    <w:rsid w:val="6CF63A92"/>
    <w:rsid w:val="6CF925DB"/>
    <w:rsid w:val="6D1E5CFF"/>
    <w:rsid w:val="6D2A0812"/>
    <w:rsid w:val="6D2C7A13"/>
    <w:rsid w:val="6D5D6773"/>
    <w:rsid w:val="6D6253EC"/>
    <w:rsid w:val="6D7777CF"/>
    <w:rsid w:val="6D7B24B5"/>
    <w:rsid w:val="6D7D3413"/>
    <w:rsid w:val="6D803DD5"/>
    <w:rsid w:val="6D8A453E"/>
    <w:rsid w:val="6D8F2D6B"/>
    <w:rsid w:val="6DB1425B"/>
    <w:rsid w:val="6DEB4DC0"/>
    <w:rsid w:val="6DEF04BC"/>
    <w:rsid w:val="6DFD5140"/>
    <w:rsid w:val="6E021AF4"/>
    <w:rsid w:val="6E315BD0"/>
    <w:rsid w:val="6E38553F"/>
    <w:rsid w:val="6E44241D"/>
    <w:rsid w:val="6E5042A8"/>
    <w:rsid w:val="6E606C78"/>
    <w:rsid w:val="6EA1129C"/>
    <w:rsid w:val="6EA56D0B"/>
    <w:rsid w:val="6ECC3C23"/>
    <w:rsid w:val="6EDC5763"/>
    <w:rsid w:val="6EED5F9B"/>
    <w:rsid w:val="6F025FC0"/>
    <w:rsid w:val="6F0D3B5C"/>
    <w:rsid w:val="6F0E4791"/>
    <w:rsid w:val="6F2572E9"/>
    <w:rsid w:val="6F267133"/>
    <w:rsid w:val="6F2E510C"/>
    <w:rsid w:val="6F471605"/>
    <w:rsid w:val="6F5222A2"/>
    <w:rsid w:val="6F5833B5"/>
    <w:rsid w:val="6F5C1A85"/>
    <w:rsid w:val="6F68304B"/>
    <w:rsid w:val="6F733ECF"/>
    <w:rsid w:val="6F7364EF"/>
    <w:rsid w:val="6F964099"/>
    <w:rsid w:val="6FB95826"/>
    <w:rsid w:val="6FC52A7B"/>
    <w:rsid w:val="6FC9267D"/>
    <w:rsid w:val="6FD70686"/>
    <w:rsid w:val="6FE0677F"/>
    <w:rsid w:val="70063363"/>
    <w:rsid w:val="7026309C"/>
    <w:rsid w:val="703215AA"/>
    <w:rsid w:val="70420332"/>
    <w:rsid w:val="70433998"/>
    <w:rsid w:val="705D1A67"/>
    <w:rsid w:val="707B1BB4"/>
    <w:rsid w:val="70864CAF"/>
    <w:rsid w:val="70A25785"/>
    <w:rsid w:val="70A95EF1"/>
    <w:rsid w:val="70CA59B8"/>
    <w:rsid w:val="70D42214"/>
    <w:rsid w:val="70E64133"/>
    <w:rsid w:val="713E6B63"/>
    <w:rsid w:val="715720AF"/>
    <w:rsid w:val="71575889"/>
    <w:rsid w:val="715873E6"/>
    <w:rsid w:val="715C7408"/>
    <w:rsid w:val="715E2DB4"/>
    <w:rsid w:val="71983DA5"/>
    <w:rsid w:val="71A76383"/>
    <w:rsid w:val="71B40FF2"/>
    <w:rsid w:val="71B60927"/>
    <w:rsid w:val="71C51A39"/>
    <w:rsid w:val="71CD4615"/>
    <w:rsid w:val="71D64AC4"/>
    <w:rsid w:val="71E568C9"/>
    <w:rsid w:val="71E63182"/>
    <w:rsid w:val="720535FB"/>
    <w:rsid w:val="720A716D"/>
    <w:rsid w:val="720C5324"/>
    <w:rsid w:val="72145B4E"/>
    <w:rsid w:val="722D0157"/>
    <w:rsid w:val="72405602"/>
    <w:rsid w:val="724D45AC"/>
    <w:rsid w:val="725956F5"/>
    <w:rsid w:val="725E4ABA"/>
    <w:rsid w:val="72610E01"/>
    <w:rsid w:val="7271046F"/>
    <w:rsid w:val="728C4A86"/>
    <w:rsid w:val="729A01E8"/>
    <w:rsid w:val="72B43F65"/>
    <w:rsid w:val="72BF4612"/>
    <w:rsid w:val="72C9287B"/>
    <w:rsid w:val="72D603E0"/>
    <w:rsid w:val="72DD0EA7"/>
    <w:rsid w:val="72E43211"/>
    <w:rsid w:val="72EE5E3E"/>
    <w:rsid w:val="72EF7E69"/>
    <w:rsid w:val="730766B7"/>
    <w:rsid w:val="7311093D"/>
    <w:rsid w:val="73120645"/>
    <w:rsid w:val="732935C9"/>
    <w:rsid w:val="732E2FFB"/>
    <w:rsid w:val="73312A09"/>
    <w:rsid w:val="73416B3D"/>
    <w:rsid w:val="736D04AF"/>
    <w:rsid w:val="737148C0"/>
    <w:rsid w:val="737D18B8"/>
    <w:rsid w:val="738B7900"/>
    <w:rsid w:val="73B02317"/>
    <w:rsid w:val="73B312BF"/>
    <w:rsid w:val="73B40E35"/>
    <w:rsid w:val="73CB7882"/>
    <w:rsid w:val="73E04AFC"/>
    <w:rsid w:val="73F3185D"/>
    <w:rsid w:val="73FE47A6"/>
    <w:rsid w:val="74143FCA"/>
    <w:rsid w:val="741A001C"/>
    <w:rsid w:val="741A35F5"/>
    <w:rsid w:val="74212243"/>
    <w:rsid w:val="74374EFF"/>
    <w:rsid w:val="7439183D"/>
    <w:rsid w:val="743E4BA3"/>
    <w:rsid w:val="744A3012"/>
    <w:rsid w:val="74546A09"/>
    <w:rsid w:val="745A6272"/>
    <w:rsid w:val="746F1551"/>
    <w:rsid w:val="7471036D"/>
    <w:rsid w:val="74772DEC"/>
    <w:rsid w:val="749173C8"/>
    <w:rsid w:val="749519AC"/>
    <w:rsid w:val="74A76484"/>
    <w:rsid w:val="74BB4445"/>
    <w:rsid w:val="74C668F3"/>
    <w:rsid w:val="74D41E8A"/>
    <w:rsid w:val="74D66AB8"/>
    <w:rsid w:val="74E26E5B"/>
    <w:rsid w:val="74EF50E1"/>
    <w:rsid w:val="751977E6"/>
    <w:rsid w:val="752062B5"/>
    <w:rsid w:val="752077E9"/>
    <w:rsid w:val="752A6794"/>
    <w:rsid w:val="75341B56"/>
    <w:rsid w:val="753535B7"/>
    <w:rsid w:val="75353AD4"/>
    <w:rsid w:val="753D4675"/>
    <w:rsid w:val="75681F2D"/>
    <w:rsid w:val="756845CD"/>
    <w:rsid w:val="75920A6C"/>
    <w:rsid w:val="75B20338"/>
    <w:rsid w:val="75C8164B"/>
    <w:rsid w:val="75EF3920"/>
    <w:rsid w:val="75EF568C"/>
    <w:rsid w:val="75FB2773"/>
    <w:rsid w:val="760311D3"/>
    <w:rsid w:val="760429DC"/>
    <w:rsid w:val="76047546"/>
    <w:rsid w:val="76097D04"/>
    <w:rsid w:val="760B4F58"/>
    <w:rsid w:val="76102BB8"/>
    <w:rsid w:val="76157B85"/>
    <w:rsid w:val="762A4A92"/>
    <w:rsid w:val="763077AC"/>
    <w:rsid w:val="76356C2C"/>
    <w:rsid w:val="763D7808"/>
    <w:rsid w:val="76432944"/>
    <w:rsid w:val="7645320A"/>
    <w:rsid w:val="766D3AAF"/>
    <w:rsid w:val="76726D86"/>
    <w:rsid w:val="7682134D"/>
    <w:rsid w:val="76824F41"/>
    <w:rsid w:val="76834ECA"/>
    <w:rsid w:val="76950BB7"/>
    <w:rsid w:val="76962663"/>
    <w:rsid w:val="769A350B"/>
    <w:rsid w:val="76A5715B"/>
    <w:rsid w:val="76A821CE"/>
    <w:rsid w:val="76BC358C"/>
    <w:rsid w:val="76BF646F"/>
    <w:rsid w:val="76CC43D4"/>
    <w:rsid w:val="76D56769"/>
    <w:rsid w:val="76D73E94"/>
    <w:rsid w:val="76DA5057"/>
    <w:rsid w:val="76DE408C"/>
    <w:rsid w:val="76E31E32"/>
    <w:rsid w:val="771542E1"/>
    <w:rsid w:val="774C794D"/>
    <w:rsid w:val="775E5C88"/>
    <w:rsid w:val="7776366D"/>
    <w:rsid w:val="777914D1"/>
    <w:rsid w:val="778E5E41"/>
    <w:rsid w:val="77AA0F4D"/>
    <w:rsid w:val="77C10E5A"/>
    <w:rsid w:val="77CB710B"/>
    <w:rsid w:val="77D03288"/>
    <w:rsid w:val="77DE46D3"/>
    <w:rsid w:val="77E65C7D"/>
    <w:rsid w:val="77E76A1C"/>
    <w:rsid w:val="77F92FB5"/>
    <w:rsid w:val="78104AA8"/>
    <w:rsid w:val="78105353"/>
    <w:rsid w:val="781C51FB"/>
    <w:rsid w:val="782517FB"/>
    <w:rsid w:val="783F2558"/>
    <w:rsid w:val="78445B9F"/>
    <w:rsid w:val="78713799"/>
    <w:rsid w:val="78743289"/>
    <w:rsid w:val="7881284E"/>
    <w:rsid w:val="788428FD"/>
    <w:rsid w:val="788D434B"/>
    <w:rsid w:val="789B6A68"/>
    <w:rsid w:val="78AA3BFB"/>
    <w:rsid w:val="78AD2A41"/>
    <w:rsid w:val="78AF606F"/>
    <w:rsid w:val="78B96EEE"/>
    <w:rsid w:val="78BD69DE"/>
    <w:rsid w:val="78C338C8"/>
    <w:rsid w:val="78F255AA"/>
    <w:rsid w:val="78F3345F"/>
    <w:rsid w:val="79006398"/>
    <w:rsid w:val="79054A76"/>
    <w:rsid w:val="790C526F"/>
    <w:rsid w:val="79156B0C"/>
    <w:rsid w:val="791B55C6"/>
    <w:rsid w:val="79202AC9"/>
    <w:rsid w:val="79211596"/>
    <w:rsid w:val="79340CF5"/>
    <w:rsid w:val="793F3017"/>
    <w:rsid w:val="794A7131"/>
    <w:rsid w:val="79517183"/>
    <w:rsid w:val="79652BD2"/>
    <w:rsid w:val="79653CEF"/>
    <w:rsid w:val="79830AA0"/>
    <w:rsid w:val="79A8176F"/>
    <w:rsid w:val="79B6298E"/>
    <w:rsid w:val="79BC3D3E"/>
    <w:rsid w:val="79C1605A"/>
    <w:rsid w:val="79CA0341"/>
    <w:rsid w:val="79D77E23"/>
    <w:rsid w:val="79DE5064"/>
    <w:rsid w:val="79EC247E"/>
    <w:rsid w:val="79F364C0"/>
    <w:rsid w:val="79FD5E80"/>
    <w:rsid w:val="7A021182"/>
    <w:rsid w:val="7A0329D6"/>
    <w:rsid w:val="7A0D5743"/>
    <w:rsid w:val="7A291A95"/>
    <w:rsid w:val="7A2B06AD"/>
    <w:rsid w:val="7A304F8E"/>
    <w:rsid w:val="7A33089D"/>
    <w:rsid w:val="7A3410D9"/>
    <w:rsid w:val="7A4112CA"/>
    <w:rsid w:val="7A4A6104"/>
    <w:rsid w:val="7A4E283A"/>
    <w:rsid w:val="7A6D0FE2"/>
    <w:rsid w:val="7A7F7733"/>
    <w:rsid w:val="7A944185"/>
    <w:rsid w:val="7A9B42E4"/>
    <w:rsid w:val="7AB64546"/>
    <w:rsid w:val="7AD60DA7"/>
    <w:rsid w:val="7AE332ED"/>
    <w:rsid w:val="7AF67F85"/>
    <w:rsid w:val="7AFF7D72"/>
    <w:rsid w:val="7B02797C"/>
    <w:rsid w:val="7B153402"/>
    <w:rsid w:val="7B1E74DC"/>
    <w:rsid w:val="7B2C4791"/>
    <w:rsid w:val="7B30793B"/>
    <w:rsid w:val="7B337A57"/>
    <w:rsid w:val="7B346CFF"/>
    <w:rsid w:val="7B4A5522"/>
    <w:rsid w:val="7B696F09"/>
    <w:rsid w:val="7B75534E"/>
    <w:rsid w:val="7B7C0F57"/>
    <w:rsid w:val="7B7C55CA"/>
    <w:rsid w:val="7B7D774F"/>
    <w:rsid w:val="7B954C58"/>
    <w:rsid w:val="7B9E15CE"/>
    <w:rsid w:val="7BAC2BD6"/>
    <w:rsid w:val="7BBA0FB3"/>
    <w:rsid w:val="7BC62E65"/>
    <w:rsid w:val="7BD24FA1"/>
    <w:rsid w:val="7BDF3751"/>
    <w:rsid w:val="7BE3798A"/>
    <w:rsid w:val="7BE543B4"/>
    <w:rsid w:val="7BF8489C"/>
    <w:rsid w:val="7C0714E4"/>
    <w:rsid w:val="7C097FED"/>
    <w:rsid w:val="7C1467FD"/>
    <w:rsid w:val="7C2B6FA4"/>
    <w:rsid w:val="7C384EF2"/>
    <w:rsid w:val="7C4A6B3F"/>
    <w:rsid w:val="7C4C127B"/>
    <w:rsid w:val="7C4C222B"/>
    <w:rsid w:val="7C4D5F7F"/>
    <w:rsid w:val="7C546DEB"/>
    <w:rsid w:val="7C570EF7"/>
    <w:rsid w:val="7C5F74F0"/>
    <w:rsid w:val="7C6F0B02"/>
    <w:rsid w:val="7C7D5693"/>
    <w:rsid w:val="7C8617DD"/>
    <w:rsid w:val="7C887A16"/>
    <w:rsid w:val="7C8C08B8"/>
    <w:rsid w:val="7C95162B"/>
    <w:rsid w:val="7C9A1B28"/>
    <w:rsid w:val="7C9C2FD3"/>
    <w:rsid w:val="7CB43BBE"/>
    <w:rsid w:val="7CB5654A"/>
    <w:rsid w:val="7CE02C9B"/>
    <w:rsid w:val="7CE04F16"/>
    <w:rsid w:val="7CF42B29"/>
    <w:rsid w:val="7D02665D"/>
    <w:rsid w:val="7D0F0CA4"/>
    <w:rsid w:val="7D20578D"/>
    <w:rsid w:val="7D37185A"/>
    <w:rsid w:val="7D602651"/>
    <w:rsid w:val="7D797D18"/>
    <w:rsid w:val="7D8201F6"/>
    <w:rsid w:val="7D8527B0"/>
    <w:rsid w:val="7D8921FF"/>
    <w:rsid w:val="7DA360E3"/>
    <w:rsid w:val="7DAE0569"/>
    <w:rsid w:val="7DAF64F1"/>
    <w:rsid w:val="7DB34468"/>
    <w:rsid w:val="7DB41059"/>
    <w:rsid w:val="7DB47838"/>
    <w:rsid w:val="7DBA34EC"/>
    <w:rsid w:val="7DCD0E09"/>
    <w:rsid w:val="7DDA593C"/>
    <w:rsid w:val="7DDC13AC"/>
    <w:rsid w:val="7DE153DA"/>
    <w:rsid w:val="7DE642E1"/>
    <w:rsid w:val="7DE71495"/>
    <w:rsid w:val="7DEA6080"/>
    <w:rsid w:val="7E1A042F"/>
    <w:rsid w:val="7E1A3F8B"/>
    <w:rsid w:val="7E205AAD"/>
    <w:rsid w:val="7E2B6198"/>
    <w:rsid w:val="7E3E236F"/>
    <w:rsid w:val="7E4E5754"/>
    <w:rsid w:val="7E5B7219"/>
    <w:rsid w:val="7E5F2E3A"/>
    <w:rsid w:val="7E617E0B"/>
    <w:rsid w:val="7E712228"/>
    <w:rsid w:val="7E7228ED"/>
    <w:rsid w:val="7E7C4C45"/>
    <w:rsid w:val="7E7E7C32"/>
    <w:rsid w:val="7E7F3DED"/>
    <w:rsid w:val="7E8104AE"/>
    <w:rsid w:val="7E813F71"/>
    <w:rsid w:val="7E86346F"/>
    <w:rsid w:val="7E8634FE"/>
    <w:rsid w:val="7E885C7D"/>
    <w:rsid w:val="7E9D3A76"/>
    <w:rsid w:val="7EAA3DFA"/>
    <w:rsid w:val="7EC375C3"/>
    <w:rsid w:val="7EE879B2"/>
    <w:rsid w:val="7EF741D5"/>
    <w:rsid w:val="7F000C59"/>
    <w:rsid w:val="7F0F1D84"/>
    <w:rsid w:val="7F4B4A7F"/>
    <w:rsid w:val="7F6428B8"/>
    <w:rsid w:val="7FB86EEC"/>
    <w:rsid w:val="7FBB248E"/>
    <w:rsid w:val="7FC02587"/>
    <w:rsid w:val="7FCB5E84"/>
    <w:rsid w:val="7FD74296"/>
    <w:rsid w:val="7FDD34C2"/>
    <w:rsid w:val="7FE7404F"/>
    <w:rsid w:val="7FE9630A"/>
    <w:rsid w:val="7FF627D5"/>
    <w:rsid w:val="7FFA4F18"/>
    <w:rsid w:val="7FFC1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9"/>
    <w:qFormat/>
    <w:uiPriority w:val="9"/>
    <w:pPr>
      <w:keepNext/>
      <w:keepLines/>
      <w:spacing w:line="360" w:lineRule="auto"/>
      <w:jc w:val="center"/>
      <w:outlineLvl w:val="0"/>
    </w:pPr>
    <w:rPr>
      <w:b/>
      <w:bCs/>
      <w:kern w:val="44"/>
      <w:sz w:val="28"/>
      <w:szCs w:val="44"/>
    </w:rPr>
  </w:style>
  <w:style w:type="paragraph" w:styleId="4">
    <w:name w:val="heading 2"/>
    <w:basedOn w:val="1"/>
    <w:next w:val="1"/>
    <w:link w:val="34"/>
    <w:unhideWhenUsed/>
    <w:qFormat/>
    <w:uiPriority w:val="9"/>
    <w:pPr>
      <w:keepNext/>
      <w:keepLines/>
      <w:spacing w:line="360" w:lineRule="auto"/>
      <w:outlineLvl w:val="1"/>
    </w:pPr>
    <w:rPr>
      <w:rFonts w:ascii="Cambria" w:hAnsi="Cambria"/>
      <w:b/>
      <w:bCs/>
      <w:sz w:val="24"/>
      <w:szCs w:val="32"/>
    </w:rPr>
  </w:style>
  <w:style w:type="paragraph" w:styleId="5">
    <w:name w:val="heading 3"/>
    <w:basedOn w:val="1"/>
    <w:next w:val="1"/>
    <w:link w:val="57"/>
    <w:unhideWhenUsed/>
    <w:qFormat/>
    <w:uiPriority w:val="9"/>
    <w:pPr>
      <w:keepNext/>
      <w:keepLines/>
      <w:outlineLvl w:val="2"/>
    </w:pPr>
    <w:rPr>
      <w:b/>
      <w:bCs/>
      <w:sz w:val="24"/>
      <w:szCs w:val="32"/>
    </w:rPr>
  </w:style>
  <w:style w:type="paragraph" w:styleId="6">
    <w:name w:val="heading 4"/>
    <w:basedOn w:val="1"/>
    <w:next w:val="1"/>
    <w:link w:val="58"/>
    <w:unhideWhenUsed/>
    <w:qFormat/>
    <w:uiPriority w:val="9"/>
    <w:pPr>
      <w:keepNext/>
      <w:keepLines/>
      <w:spacing w:line="360" w:lineRule="auto"/>
      <w:outlineLvl w:val="3"/>
    </w:pPr>
    <w:rPr>
      <w:rFonts w:ascii="Cambria" w:hAnsi="Cambria"/>
      <w:b/>
      <w:bCs/>
      <w:sz w:val="24"/>
      <w:szCs w:val="28"/>
    </w:rPr>
  </w:style>
  <w:style w:type="paragraph" w:styleId="7">
    <w:name w:val="heading 6"/>
    <w:basedOn w:val="1"/>
    <w:next w:val="1"/>
    <w:semiHidden/>
    <w:unhideWhenUsed/>
    <w:qFormat/>
    <w:uiPriority w:val="0"/>
    <w:pPr>
      <w:ind w:left="780"/>
      <w:outlineLvl w:val="5"/>
    </w:pPr>
    <w:rPr>
      <w:rFonts w:ascii="宋体" w:hAnsi="宋体" w:cs="宋体"/>
      <w:b/>
      <w:bCs/>
      <w:sz w:val="24"/>
      <w:szCs w:val="24"/>
      <w:lang w:val="zh-CN" w:bidi="zh-CN"/>
    </w:rPr>
  </w:style>
  <w:style w:type="paragraph" w:styleId="8">
    <w:name w:val="heading 9"/>
    <w:basedOn w:val="1"/>
    <w:next w:val="1"/>
    <w:qFormat/>
    <w:uiPriority w:val="1"/>
    <w:pPr>
      <w:ind w:left="1202"/>
      <w:outlineLvl w:val="8"/>
    </w:pPr>
    <w:rPr>
      <w:rFonts w:ascii="宋体" w:hAnsi="宋体" w:cs="宋体"/>
      <w:b/>
      <w:bCs/>
      <w:sz w:val="24"/>
      <w:szCs w:val="24"/>
      <w:lang w:val="zh-CN" w:bidi="zh-CN"/>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3"/>
    <w:qFormat/>
    <w:uiPriority w:val="99"/>
    <w:pPr>
      <w:spacing w:after="120"/>
    </w:pPr>
    <w:rPr>
      <w:rFonts w:ascii="Times New Roman" w:hAnsi="Times New Roman"/>
      <w:szCs w:val="24"/>
    </w:rPr>
  </w:style>
  <w:style w:type="paragraph" w:styleId="9">
    <w:name w:val="Normal Indent"/>
    <w:basedOn w:val="1"/>
    <w:link w:val="48"/>
    <w:qFormat/>
    <w:uiPriority w:val="0"/>
    <w:pPr>
      <w:widowControl/>
      <w:spacing w:line="360" w:lineRule="auto"/>
      <w:ind w:firstLine="420"/>
      <w:jc w:val="left"/>
    </w:pPr>
    <w:rPr>
      <w:sz w:val="24"/>
    </w:rPr>
  </w:style>
  <w:style w:type="paragraph" w:styleId="10">
    <w:name w:val="annotation text"/>
    <w:basedOn w:val="1"/>
    <w:link w:val="64"/>
    <w:qFormat/>
    <w:uiPriority w:val="0"/>
    <w:pPr>
      <w:jc w:val="left"/>
    </w:pPr>
  </w:style>
  <w:style w:type="paragraph" w:styleId="11">
    <w:name w:val="Body Text Indent"/>
    <w:basedOn w:val="1"/>
    <w:next w:val="12"/>
    <w:semiHidden/>
    <w:qFormat/>
    <w:uiPriority w:val="0"/>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List 2"/>
    <w:basedOn w:val="1"/>
    <w:qFormat/>
    <w:uiPriority w:val="0"/>
    <w:pPr>
      <w:ind w:left="100" w:leftChars="200" w:hanging="200" w:hangingChars="200"/>
    </w:pPr>
    <w:rPr>
      <w:rFonts w:ascii="Times New Roman" w:hAnsi="Times New Roman"/>
      <w:szCs w:val="24"/>
    </w:rPr>
  </w:style>
  <w:style w:type="paragraph" w:styleId="14">
    <w:name w:val="toc 3"/>
    <w:basedOn w:val="1"/>
    <w:next w:val="1"/>
    <w:qFormat/>
    <w:uiPriority w:val="0"/>
    <w:pPr>
      <w:ind w:left="840" w:leftChars="400"/>
    </w:pPr>
  </w:style>
  <w:style w:type="paragraph" w:styleId="15">
    <w:name w:val="Plain Text"/>
    <w:basedOn w:val="1"/>
    <w:next w:val="1"/>
    <w:qFormat/>
    <w:uiPriority w:val="99"/>
    <w:pPr>
      <w:spacing w:line="240" w:lineRule="atLeast"/>
    </w:pPr>
    <w:rPr>
      <w:rFonts w:ascii="宋体" w:hAnsi="Courier New"/>
      <w:sz w:val="28"/>
    </w:rPr>
  </w:style>
  <w:style w:type="paragraph" w:styleId="16">
    <w:name w:val="Balloon Text"/>
    <w:basedOn w:val="1"/>
    <w:link w:val="46"/>
    <w:qFormat/>
    <w:uiPriority w:val="0"/>
    <w:rPr>
      <w:sz w:val="18"/>
      <w:szCs w:val="18"/>
    </w:rPr>
  </w:style>
  <w:style w:type="paragraph" w:styleId="17">
    <w:name w:val="footer"/>
    <w:basedOn w:val="1"/>
    <w:link w:val="41"/>
    <w:unhideWhenUsed/>
    <w:qFormat/>
    <w:uiPriority w:val="99"/>
    <w:pPr>
      <w:tabs>
        <w:tab w:val="center" w:pos="4153"/>
        <w:tab w:val="right" w:pos="8306"/>
      </w:tabs>
      <w:snapToGrid w:val="0"/>
      <w:jc w:val="left"/>
    </w:pPr>
    <w:rPr>
      <w:sz w:val="18"/>
      <w:szCs w:val="18"/>
    </w:rPr>
  </w:style>
  <w:style w:type="paragraph" w:styleId="18">
    <w:name w:val="header"/>
    <w:basedOn w:val="1"/>
    <w:next w:val="17"/>
    <w:link w:val="40"/>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style>
  <w:style w:type="paragraph" w:styleId="20">
    <w:name w:val="toc 2"/>
    <w:basedOn w:val="1"/>
    <w:next w:val="1"/>
    <w:qFormat/>
    <w:uiPriority w:val="39"/>
    <w:pPr>
      <w:spacing w:line="400" w:lineRule="exact"/>
      <w:ind w:left="210"/>
      <w:jc w:val="left"/>
    </w:pPr>
    <w:rPr>
      <w:b/>
      <w:smallCaps/>
      <w:sz w:val="24"/>
      <w:szCs w:val="24"/>
    </w:rPr>
  </w:style>
  <w:style w:type="paragraph" w:styleId="2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3">
    <w:name w:val="Title"/>
    <w:basedOn w:val="1"/>
    <w:next w:val="1"/>
    <w:link w:val="42"/>
    <w:qFormat/>
    <w:uiPriority w:val="0"/>
    <w:pPr>
      <w:spacing w:before="240" w:after="60"/>
      <w:jc w:val="center"/>
      <w:outlineLvl w:val="0"/>
    </w:pPr>
    <w:rPr>
      <w:rFonts w:ascii="Cambria" w:hAnsi="Cambria"/>
      <w:b/>
      <w:bCs/>
      <w:kern w:val="0"/>
      <w:sz w:val="32"/>
      <w:szCs w:val="32"/>
    </w:rPr>
  </w:style>
  <w:style w:type="paragraph" w:styleId="24">
    <w:name w:val="annotation subject"/>
    <w:basedOn w:val="10"/>
    <w:next w:val="10"/>
    <w:link w:val="65"/>
    <w:qFormat/>
    <w:uiPriority w:val="0"/>
    <w:rPr>
      <w:b/>
      <w:bCs/>
    </w:rPr>
  </w:style>
  <w:style w:type="paragraph" w:styleId="25">
    <w:name w:val="Body Text First Indent"/>
    <w:basedOn w:val="2"/>
    <w:next w:val="1"/>
    <w:link w:val="44"/>
    <w:qFormat/>
    <w:uiPriority w:val="0"/>
    <w:pPr>
      <w:ind w:firstLine="420" w:firstLineChars="100"/>
    </w:pPr>
  </w:style>
  <w:style w:type="paragraph" w:styleId="26">
    <w:name w:val="Body Text First Indent 2"/>
    <w:basedOn w:val="11"/>
    <w:qFormat/>
    <w:uiPriority w:val="0"/>
    <w:pPr>
      <w:ind w:firstLine="420"/>
    </w:p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Emphasis"/>
    <w:qFormat/>
    <w:uiPriority w:val="0"/>
    <w:rPr>
      <w:i/>
    </w:rPr>
  </w:style>
  <w:style w:type="character" w:styleId="32">
    <w:name w:val="Hyperlink"/>
    <w:qFormat/>
    <w:uiPriority w:val="0"/>
    <w:rPr>
      <w:color w:val="0000FF"/>
      <w:u w:val="single"/>
    </w:rPr>
  </w:style>
  <w:style w:type="character" w:styleId="33">
    <w:name w:val="annotation reference"/>
    <w:qFormat/>
    <w:uiPriority w:val="0"/>
    <w:rPr>
      <w:sz w:val="21"/>
      <w:szCs w:val="21"/>
    </w:rPr>
  </w:style>
  <w:style w:type="character" w:customStyle="1" w:styleId="34">
    <w:name w:val="标题 2 字符"/>
    <w:link w:val="4"/>
    <w:qFormat/>
    <w:uiPriority w:val="9"/>
    <w:rPr>
      <w:rFonts w:ascii="Cambria" w:hAnsi="Cambria" w:eastAsia="宋体" w:cs="Times New Roman"/>
      <w:b/>
      <w:bCs/>
      <w:sz w:val="24"/>
      <w:szCs w:val="32"/>
    </w:rPr>
  </w:style>
  <w:style w:type="paragraph" w:customStyle="1" w:styleId="35">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36">
    <w:name w:val="Default"/>
    <w:basedOn w:val="37"/>
    <w:next w:val="1"/>
    <w:unhideWhenUsed/>
    <w:qFormat/>
    <w:uiPriority w:val="99"/>
    <w:pPr>
      <w:autoSpaceDE w:val="0"/>
      <w:autoSpaceDN w:val="0"/>
      <w:adjustRightInd w:val="0"/>
    </w:pPr>
    <w:rPr>
      <w:rFonts w:hint="eastAsia" w:ascii="Times New Roman" w:hAnsi="Times New Roman" w:eastAsia="Times New Roman" w:cs="Times New Roman"/>
      <w:color w:val="000000"/>
      <w:szCs w:val="24"/>
    </w:rPr>
  </w:style>
  <w:style w:type="paragraph" w:customStyle="1" w:styleId="37">
    <w:name w:val="纯文本1"/>
    <w:basedOn w:val="1"/>
    <w:qFormat/>
    <w:uiPriority w:val="0"/>
    <w:rPr>
      <w:rFonts w:hAnsi="Courier New" w:cs="Courier New"/>
      <w:bCs/>
      <w:sz w:val="24"/>
    </w:rPr>
  </w:style>
  <w:style w:type="paragraph" w:customStyle="1" w:styleId="38">
    <w:name w:val="报告正文"/>
    <w:basedOn w:val="1"/>
    <w:qFormat/>
    <w:uiPriority w:val="0"/>
    <w:pPr>
      <w:spacing w:line="360" w:lineRule="auto"/>
      <w:ind w:firstLine="536" w:firstLineChars="200"/>
    </w:pPr>
    <w:rPr>
      <w:spacing w:val="14"/>
      <w:sz w:val="24"/>
    </w:rPr>
  </w:style>
  <w:style w:type="character" w:customStyle="1" w:styleId="39">
    <w:name w:val="标题 1 字符"/>
    <w:link w:val="3"/>
    <w:qFormat/>
    <w:uiPriority w:val="9"/>
    <w:rPr>
      <w:rFonts w:ascii="Calibri" w:hAnsi="Calibri" w:eastAsia="宋体" w:cs="Times New Roman"/>
      <w:b/>
      <w:bCs/>
      <w:kern w:val="44"/>
      <w:sz w:val="28"/>
      <w:szCs w:val="44"/>
    </w:rPr>
  </w:style>
  <w:style w:type="character" w:customStyle="1" w:styleId="40">
    <w:name w:val="页眉 字符"/>
    <w:link w:val="18"/>
    <w:qFormat/>
    <w:uiPriority w:val="99"/>
    <w:rPr>
      <w:sz w:val="18"/>
      <w:szCs w:val="18"/>
    </w:rPr>
  </w:style>
  <w:style w:type="character" w:customStyle="1" w:styleId="41">
    <w:name w:val="页脚 字符"/>
    <w:link w:val="17"/>
    <w:qFormat/>
    <w:uiPriority w:val="99"/>
    <w:rPr>
      <w:sz w:val="18"/>
      <w:szCs w:val="18"/>
    </w:rPr>
  </w:style>
  <w:style w:type="character" w:customStyle="1" w:styleId="42">
    <w:name w:val="标题 字符"/>
    <w:link w:val="23"/>
    <w:qFormat/>
    <w:uiPriority w:val="0"/>
    <w:rPr>
      <w:rFonts w:ascii="Cambria" w:hAnsi="Cambria" w:eastAsia="宋体" w:cs="Times New Roman"/>
      <w:b/>
      <w:bCs/>
      <w:kern w:val="0"/>
      <w:sz w:val="32"/>
      <w:szCs w:val="32"/>
    </w:rPr>
  </w:style>
  <w:style w:type="character" w:customStyle="1" w:styleId="43">
    <w:name w:val="正文文本 字符"/>
    <w:link w:val="2"/>
    <w:qFormat/>
    <w:uiPriority w:val="99"/>
    <w:rPr>
      <w:rFonts w:ascii="Times New Roman" w:hAnsi="Times New Roman" w:eastAsia="宋体" w:cs="Times New Roman"/>
      <w:szCs w:val="24"/>
    </w:rPr>
  </w:style>
  <w:style w:type="character" w:customStyle="1" w:styleId="44">
    <w:name w:val="正文文本首行缩进 字符"/>
    <w:link w:val="25"/>
    <w:qFormat/>
    <w:uiPriority w:val="0"/>
    <w:rPr>
      <w:rFonts w:ascii="Times New Roman" w:hAnsi="Times New Roman" w:eastAsia="宋体" w:cs="Times New Roman"/>
      <w:szCs w:val="24"/>
    </w:rPr>
  </w:style>
  <w:style w:type="character" w:customStyle="1" w:styleId="45">
    <w:name w:val="newstitle"/>
    <w:basedOn w:val="29"/>
    <w:qFormat/>
    <w:uiPriority w:val="0"/>
  </w:style>
  <w:style w:type="character" w:customStyle="1" w:styleId="46">
    <w:name w:val="批注框文本 字符"/>
    <w:basedOn w:val="29"/>
    <w:link w:val="16"/>
    <w:semiHidden/>
    <w:qFormat/>
    <w:uiPriority w:val="99"/>
    <w:rPr>
      <w:rFonts w:ascii="Calibri" w:hAnsi="Calibri" w:eastAsia="宋体" w:cs="Times New Roman"/>
      <w:sz w:val="18"/>
      <w:szCs w:val="18"/>
    </w:rPr>
  </w:style>
  <w:style w:type="paragraph" w:customStyle="1" w:styleId="47">
    <w:name w:val="普通(网站)1"/>
    <w:basedOn w:val="1"/>
    <w:qFormat/>
    <w:uiPriority w:val="0"/>
    <w:pPr>
      <w:widowControl/>
      <w:spacing w:before="100" w:beforeAutospacing="1" w:after="100" w:afterAutospacing="1"/>
      <w:jc w:val="left"/>
    </w:pPr>
    <w:rPr>
      <w:rFonts w:hint="eastAsia" w:ascii="宋体" w:hAnsi="宋体"/>
      <w:sz w:val="24"/>
      <w:szCs w:val="20"/>
    </w:rPr>
  </w:style>
  <w:style w:type="character" w:customStyle="1" w:styleId="48">
    <w:name w:val="正文缩进 字符"/>
    <w:link w:val="9"/>
    <w:qFormat/>
    <w:uiPriority w:val="0"/>
    <w:rPr>
      <w:rFonts w:eastAsia="宋体"/>
      <w:sz w:val="24"/>
    </w:rPr>
  </w:style>
  <w:style w:type="paragraph" w:customStyle="1" w:styleId="49">
    <w:name w:val="列出段落4"/>
    <w:basedOn w:val="1"/>
    <w:qFormat/>
    <w:uiPriority w:val="99"/>
    <w:pPr>
      <w:ind w:firstLine="420" w:firstLineChars="200"/>
    </w:pPr>
    <w:rPr>
      <w:rFonts w:ascii="Segoe Print" w:hAnsi="Segoe Print" w:eastAsia="微软雅黑" w:cs="Arial Unicode MS"/>
      <w:szCs w:val="20"/>
    </w:rPr>
  </w:style>
  <w:style w:type="paragraph" w:customStyle="1" w:styleId="50">
    <w:name w:val="msolistparagraph"/>
    <w:basedOn w:val="1"/>
    <w:qFormat/>
    <w:uiPriority w:val="0"/>
    <w:pPr>
      <w:ind w:firstLine="420" w:firstLineChars="200"/>
    </w:pPr>
    <w:rPr>
      <w:rFonts w:ascii="Segoe Print" w:hAnsi="Segoe Print" w:eastAsia="微软雅黑" w:cs="Arial Unicode MS"/>
      <w:szCs w:val="20"/>
    </w:rPr>
  </w:style>
  <w:style w:type="paragraph" w:customStyle="1" w:styleId="51">
    <w:name w:val="Table Paragraph"/>
    <w:basedOn w:val="1"/>
    <w:qFormat/>
    <w:uiPriority w:val="1"/>
    <w:pPr>
      <w:autoSpaceDE w:val="0"/>
      <w:autoSpaceDN w:val="0"/>
      <w:jc w:val="center"/>
    </w:pPr>
    <w:rPr>
      <w:rFonts w:ascii="宋体" w:hAnsi="宋体" w:cs="宋体"/>
      <w:kern w:val="0"/>
      <w:sz w:val="22"/>
    </w:rPr>
  </w:style>
  <w:style w:type="table" w:customStyle="1" w:styleId="52">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3">
    <w:name w:val="页脚 Char1"/>
    <w:semiHidden/>
    <w:qFormat/>
    <w:uiPriority w:val="99"/>
    <w:rPr>
      <w:sz w:val="18"/>
      <w:szCs w:val="18"/>
    </w:rPr>
  </w:style>
  <w:style w:type="paragraph" w:customStyle="1" w:styleId="54">
    <w:name w:val="xl24"/>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kern w:val="0"/>
      <w:sz w:val="24"/>
      <w:szCs w:val="20"/>
    </w:rPr>
  </w:style>
  <w:style w:type="paragraph" w:customStyle="1" w:styleId="55">
    <w:name w:val="表格文字"/>
    <w:basedOn w:val="2"/>
    <w:next w:val="1"/>
    <w:qFormat/>
    <w:uiPriority w:val="0"/>
    <w:pPr>
      <w:tabs>
        <w:tab w:val="left" w:pos="3720"/>
      </w:tabs>
      <w:autoSpaceDE w:val="0"/>
      <w:autoSpaceDN w:val="0"/>
      <w:adjustRightInd w:val="0"/>
      <w:spacing w:after="0" w:line="315" w:lineRule="exact"/>
      <w:jc w:val="center"/>
      <w:textAlignment w:val="bottom"/>
    </w:pPr>
    <w:rPr>
      <w:rFonts w:ascii="宋体" w:hAnsi="宋体"/>
      <w:kern w:val="0"/>
      <w:szCs w:val="20"/>
    </w:rPr>
  </w:style>
  <w:style w:type="paragraph" w:customStyle="1" w:styleId="56">
    <w:name w:val="p0"/>
    <w:basedOn w:val="1"/>
    <w:qFormat/>
    <w:uiPriority w:val="0"/>
    <w:pPr>
      <w:widowControl/>
    </w:pPr>
    <w:rPr>
      <w:rFonts w:ascii="Times New Roman" w:hAnsi="Times New Roman"/>
      <w:kern w:val="0"/>
      <w:szCs w:val="21"/>
    </w:rPr>
  </w:style>
  <w:style w:type="character" w:customStyle="1" w:styleId="57">
    <w:name w:val="标题 3 字符"/>
    <w:link w:val="5"/>
    <w:qFormat/>
    <w:uiPriority w:val="9"/>
    <w:rPr>
      <w:rFonts w:ascii="Calibri" w:hAnsi="Calibri" w:eastAsia="宋体" w:cs="Times New Roman"/>
      <w:b/>
      <w:bCs/>
      <w:kern w:val="2"/>
      <w:sz w:val="24"/>
      <w:szCs w:val="32"/>
    </w:rPr>
  </w:style>
  <w:style w:type="character" w:customStyle="1" w:styleId="58">
    <w:name w:val="标题 4 字符"/>
    <w:link w:val="6"/>
    <w:qFormat/>
    <w:uiPriority w:val="9"/>
    <w:rPr>
      <w:rFonts w:ascii="Cambria" w:hAnsi="Cambria" w:eastAsia="宋体" w:cs="Times New Roman"/>
      <w:b/>
      <w:bCs/>
      <w:kern w:val="2"/>
      <w:sz w:val="24"/>
      <w:szCs w:val="28"/>
    </w:rPr>
  </w:style>
  <w:style w:type="paragraph" w:customStyle="1" w:styleId="59">
    <w:name w:val="列出段落1"/>
    <w:basedOn w:val="1"/>
    <w:qFormat/>
    <w:uiPriority w:val="0"/>
    <w:pPr>
      <w:widowControl/>
      <w:spacing w:beforeAutospacing="1" w:afterAutospacing="1" w:line="60" w:lineRule="auto"/>
      <w:ind w:firstLine="420" w:firstLineChars="200"/>
      <w:jc w:val="left"/>
    </w:pPr>
    <w:rPr>
      <w:bCs/>
      <w:kern w:val="0"/>
    </w:rPr>
  </w:style>
  <w:style w:type="paragraph" w:customStyle="1" w:styleId="60">
    <w:name w:val="正文1"/>
    <w:basedOn w:val="1"/>
    <w:qFormat/>
    <w:uiPriority w:val="0"/>
    <w:pPr>
      <w:widowControl/>
      <w:spacing w:line="360" w:lineRule="auto"/>
      <w:ind w:firstLine="200" w:firstLineChars="200"/>
      <w:jc w:val="left"/>
    </w:pPr>
    <w:rPr>
      <w:kern w:val="0"/>
      <w:sz w:val="24"/>
    </w:rPr>
  </w:style>
  <w:style w:type="paragraph" w:customStyle="1" w:styleId="61">
    <w:name w:val="自定义2"/>
    <w:basedOn w:val="62"/>
    <w:qFormat/>
    <w:uiPriority w:val="0"/>
    <w:pPr>
      <w:ind w:firstLine="480" w:firstLineChars="200"/>
    </w:pPr>
  </w:style>
  <w:style w:type="paragraph" w:customStyle="1" w:styleId="62">
    <w:name w:val="自定样式1"/>
    <w:basedOn w:val="1"/>
    <w:qFormat/>
    <w:uiPriority w:val="0"/>
    <w:pPr>
      <w:spacing w:line="360" w:lineRule="auto"/>
    </w:pPr>
    <w:rPr>
      <w:rFonts w:hAnsi="宋体"/>
      <w:sz w:val="24"/>
    </w:rPr>
  </w:style>
  <w:style w:type="paragraph" w:customStyle="1" w:styleId="63">
    <w:name w:val="首行缩进"/>
    <w:basedOn w:val="1"/>
    <w:qFormat/>
    <w:uiPriority w:val="0"/>
    <w:pPr>
      <w:widowControl/>
      <w:spacing w:line="360" w:lineRule="auto"/>
      <w:ind w:firstLine="200" w:firstLineChars="200"/>
      <w:jc w:val="left"/>
    </w:pPr>
    <w:rPr>
      <w:rFonts w:cs="宋体"/>
      <w:sz w:val="24"/>
    </w:rPr>
  </w:style>
  <w:style w:type="character" w:customStyle="1" w:styleId="64">
    <w:name w:val="批注文字 字符"/>
    <w:basedOn w:val="29"/>
    <w:link w:val="10"/>
    <w:semiHidden/>
    <w:qFormat/>
    <w:uiPriority w:val="99"/>
    <w:rPr>
      <w:rFonts w:ascii="Calibri" w:hAnsi="Calibri"/>
      <w:kern w:val="2"/>
      <w:sz w:val="21"/>
      <w:szCs w:val="22"/>
    </w:rPr>
  </w:style>
  <w:style w:type="character" w:customStyle="1" w:styleId="65">
    <w:name w:val="批注主题 字符"/>
    <w:basedOn w:val="64"/>
    <w:link w:val="24"/>
    <w:semiHidden/>
    <w:qFormat/>
    <w:uiPriority w:val="99"/>
    <w:rPr>
      <w:rFonts w:ascii="Calibri" w:hAnsi="Calibri"/>
      <w:b/>
      <w:bCs/>
      <w:kern w:val="2"/>
      <w:sz w:val="21"/>
      <w:szCs w:val="22"/>
    </w:rPr>
  </w:style>
  <w:style w:type="paragraph" w:customStyle="1" w:styleId="66">
    <w:name w:val="中文报告书样式"/>
    <w:basedOn w:val="1"/>
    <w:qFormat/>
    <w:uiPriority w:val="0"/>
    <w:pPr>
      <w:adjustRightInd w:val="0"/>
      <w:spacing w:line="480" w:lineRule="atLeast"/>
      <w:ind w:firstLine="482"/>
      <w:textAlignment w:val="baseline"/>
    </w:pPr>
    <w:rPr>
      <w:kern w:val="24"/>
      <w:szCs w:val="24"/>
    </w:rPr>
  </w:style>
  <w:style w:type="character" w:customStyle="1" w:styleId="67">
    <w:name w:val="拉丁名书写 Char"/>
    <w:link w:val="68"/>
    <w:qFormat/>
    <w:uiPriority w:val="0"/>
    <w:rPr>
      <w:rFonts w:ascii="Times New Roman" w:hAnsi="Times New Roman" w:eastAsia="宋体" w:cs="Times New Roman"/>
      <w:i/>
      <w:sz w:val="24"/>
      <w:szCs w:val="24"/>
    </w:rPr>
  </w:style>
  <w:style w:type="paragraph" w:customStyle="1" w:styleId="68">
    <w:name w:val="拉丁名书写"/>
    <w:basedOn w:val="1"/>
    <w:link w:val="67"/>
    <w:qFormat/>
    <w:uiPriority w:val="0"/>
    <w:pPr>
      <w:spacing w:line="360" w:lineRule="auto"/>
      <w:ind w:left="200" w:leftChars="200" w:firstLine="480" w:firstLineChars="200"/>
      <w:jc w:val="left"/>
    </w:pPr>
    <w:rPr>
      <w:rFonts w:ascii="Times New Roman" w:hAnsi="Times New Roman"/>
      <w:i/>
      <w:sz w:val="24"/>
      <w:szCs w:val="24"/>
    </w:rPr>
  </w:style>
  <w:style w:type="paragraph" w:customStyle="1" w:styleId="69">
    <w:name w:val="表内1"/>
    <w:basedOn w:val="1"/>
    <w:qFormat/>
    <w:uiPriority w:val="0"/>
    <w:pPr>
      <w:autoSpaceDE w:val="0"/>
      <w:autoSpaceDN w:val="0"/>
      <w:adjustRightInd w:val="0"/>
      <w:snapToGrid w:val="0"/>
    </w:pPr>
    <w:rPr>
      <w:rFonts w:cs="宋体"/>
      <w:spacing w:val="20"/>
      <w:kern w:val="0"/>
      <w:szCs w:val="21"/>
    </w:rPr>
  </w:style>
  <w:style w:type="paragraph" w:customStyle="1" w:styleId="70">
    <w:name w:val="正文（标准）"/>
    <w:basedOn w:val="1"/>
    <w:next w:val="1"/>
    <w:semiHidden/>
    <w:qFormat/>
    <w:uiPriority w:val="0"/>
    <w:pPr>
      <w:ind w:firstLine="525"/>
    </w:pPr>
    <w:rPr>
      <w:rFonts w:ascii="宋体" w:hAnsi="宋体"/>
    </w:rPr>
  </w:style>
  <w:style w:type="paragraph" w:customStyle="1" w:styleId="71">
    <w:name w:val="样式111"/>
    <w:basedOn w:val="9"/>
    <w:qFormat/>
    <w:uiPriority w:val="0"/>
    <w:pPr>
      <w:ind w:firstLine="560"/>
    </w:pPr>
    <w:rPr>
      <w:kern w:val="0"/>
      <w:sz w:val="28"/>
      <w:szCs w:val="28"/>
    </w:rPr>
  </w:style>
  <w:style w:type="paragraph" w:customStyle="1" w:styleId="72">
    <w:name w:val="表格样式"/>
    <w:basedOn w:val="1"/>
    <w:qFormat/>
    <w:uiPriority w:val="0"/>
    <w:pPr>
      <w:adjustRightInd w:val="0"/>
      <w:snapToGrid w:val="0"/>
      <w:spacing w:line="300" w:lineRule="auto"/>
      <w:jc w:val="center"/>
    </w:pPr>
    <w:rPr>
      <w:rFonts w:ascii="方正仿宋_GB2312" w:hAnsi="方正仿宋_GB2312" w:cs="方正仿宋_GB2312"/>
      <w:color w:val="000000"/>
      <w:sz w:val="28"/>
      <w:szCs w:val="21"/>
    </w:rPr>
  </w:style>
  <w:style w:type="paragraph" w:customStyle="1" w:styleId="73">
    <w:name w:val="列表段落1"/>
    <w:basedOn w:val="1"/>
    <w:qFormat/>
    <w:uiPriority w:val="0"/>
    <w:pPr>
      <w:widowControl/>
      <w:spacing w:before="100" w:beforeAutospacing="1" w:after="100" w:afterAutospacing="1" w:line="60" w:lineRule="auto"/>
      <w:ind w:firstLine="420" w:firstLineChars="200"/>
      <w:jc w:val="left"/>
    </w:pPr>
    <w:rPr>
      <w:bCs/>
      <w:kern w:val="0"/>
    </w:rPr>
  </w:style>
  <w:style w:type="paragraph" w:customStyle="1" w:styleId="74">
    <w:name w:val="Table Text"/>
    <w:basedOn w:val="1"/>
    <w:semiHidden/>
    <w:qFormat/>
    <w:uiPriority w:val="0"/>
    <w:rPr>
      <w:rFonts w:ascii="宋体" w:hAnsi="宋体" w:cs="宋体"/>
      <w:sz w:val="24"/>
      <w:szCs w:val="24"/>
      <w:lang w:eastAsia="en-US"/>
    </w:rPr>
  </w:style>
  <w:style w:type="paragraph" w:customStyle="1" w:styleId="75">
    <w:name w:val="wj样式 + 首行缩进:  2 字符"/>
    <w:basedOn w:val="1"/>
    <w:next w:val="1"/>
    <w:qFormat/>
    <w:uiPriority w:val="0"/>
    <w:pPr>
      <w:widowControl/>
      <w:ind w:firstLine="536"/>
    </w:pPr>
    <w:rPr>
      <w:rFonts w:cs="宋体"/>
      <w:spacing w:val="14"/>
      <w:szCs w:val="20"/>
    </w:rPr>
  </w:style>
  <w:style w:type="paragraph" w:customStyle="1" w:styleId="76">
    <w:name w:val="文字 getiao"/>
    <w:basedOn w:val="1"/>
    <w:qFormat/>
    <w:uiPriority w:val="99"/>
    <w:pPr>
      <w:spacing w:line="360" w:lineRule="auto"/>
      <w:ind w:firstLine="480" w:firstLineChars="200"/>
    </w:pPr>
  </w:style>
  <w:style w:type="paragraph" w:customStyle="1" w:styleId="77">
    <w:name w:val="!论文表格（Ctrl+B）"/>
    <w:basedOn w:val="1"/>
    <w:next w:val="1"/>
    <w:qFormat/>
    <w:uiPriority w:val="0"/>
    <w:pPr>
      <w:jc w:val="center"/>
    </w:pPr>
    <w:rPr>
      <w:szCs w:val="21"/>
    </w:rPr>
  </w:style>
  <w:style w:type="paragraph" w:customStyle="1" w:styleId="78">
    <w:name w:val="表文（匡远表格）"/>
    <w:basedOn w:val="1"/>
    <w:qFormat/>
    <w:uiPriority w:val="0"/>
    <w:pPr>
      <w:overflowPunct w:val="0"/>
      <w:spacing w:line="360" w:lineRule="auto"/>
      <w:jc w:val="center"/>
      <w:textAlignment w:val="baseline"/>
    </w:pPr>
    <w:rPr>
      <w:szCs w:val="20"/>
    </w:rPr>
  </w:style>
  <w:style w:type="paragraph" w:customStyle="1" w:styleId="79">
    <w:name w:val="表格内容‘’"/>
    <w:basedOn w:val="1"/>
    <w:qFormat/>
    <w:uiPriority w:val="0"/>
    <w:pPr>
      <w:snapToGrid w:val="0"/>
      <w:contextualSpacing/>
      <w:jc w:val="center"/>
    </w:pPr>
    <w:rPr>
      <w:color w:val="000000"/>
    </w:rPr>
  </w:style>
  <w:style w:type="paragraph" w:customStyle="1" w:styleId="80">
    <w:name w:val="标题三"/>
    <w:basedOn w:val="1"/>
    <w:qFormat/>
    <w:uiPriority w:val="99"/>
    <w:pPr>
      <w:adjustRightInd w:val="0"/>
      <w:spacing w:line="360" w:lineRule="auto"/>
      <w:ind w:firstLine="176"/>
      <w:jc w:val="left"/>
      <w:outlineLvl w:val="2"/>
    </w:pPr>
    <w:rPr>
      <w:b/>
      <w:kern w:val="0"/>
      <w:sz w:val="30"/>
    </w:rPr>
  </w:style>
  <w:style w:type="paragraph" w:customStyle="1" w:styleId="81">
    <w:name w:val="欣博正文"/>
    <w:basedOn w:val="1"/>
    <w:qFormat/>
    <w:uiPriority w:val="0"/>
    <w:pPr>
      <w:ind w:firstLine="200" w:firstLineChars="200"/>
      <w:jc w:val="left"/>
    </w:pPr>
    <w:rPr>
      <w:rFonts w:hAnsi="宋体"/>
      <w:sz w:val="28"/>
      <w:szCs w:val="28"/>
    </w:rPr>
  </w:style>
  <w:style w:type="paragraph" w:customStyle="1" w:styleId="82">
    <w:name w:val="正文改"/>
    <w:basedOn w:val="1"/>
    <w:qFormat/>
    <w:uiPriority w:val="0"/>
    <w:pPr>
      <w:ind w:left="100" w:leftChars="100" w:right="240" w:rightChars="100" w:firstLine="480"/>
    </w:pPr>
    <w:rPr>
      <w:rFonts w:ascii="Times New Roman" w:hAnsi="宋体"/>
      <w:szCs w:val="24"/>
    </w:rPr>
  </w:style>
  <w:style w:type="paragraph" w:customStyle="1" w:styleId="83">
    <w:name w:val="1正文"/>
    <w:basedOn w:val="1"/>
    <w:autoRedefine/>
    <w:qFormat/>
    <w:uiPriority w:val="0"/>
    <w:pPr>
      <w:ind w:firstLine="196" w:firstLineChars="196"/>
    </w:pPr>
    <w:rPr>
      <w:szCs w:val="30"/>
    </w:rPr>
  </w:style>
  <w:style w:type="table" w:customStyle="1" w:styleId="84">
    <w:name w:val="网格型11"/>
    <w:basedOn w:val="2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5">
    <w:name w:val="表中文字-下闸蓄水专题"/>
    <w:next w:val="1"/>
    <w:qFormat/>
    <w:uiPriority w:val="0"/>
    <w:pPr>
      <w:widowControl w:val="0"/>
      <w:spacing w:before="40" w:after="40"/>
      <w:jc w:val="center"/>
    </w:pPr>
    <w:rPr>
      <w:rFonts w:ascii="Times New Roman" w:hAnsi="Times New Roman" w:eastAsia="宋体" w:cs="Arial"/>
      <w:kern w:val="2"/>
      <w:sz w:val="21"/>
      <w:szCs w:val="24"/>
      <w:lang w:val="en-US" w:eastAsia="zh-CN" w:bidi="ar-SA"/>
    </w:rPr>
  </w:style>
  <w:style w:type="table" w:customStyle="1" w:styleId="86">
    <w:name w:val="网格型2"/>
    <w:basedOn w:val="2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7">
    <w:name w:val="Unresolved Mention"/>
    <w:semiHidden/>
    <w:unhideWhenUsed/>
    <w:qFormat/>
    <w:uiPriority w:val="99"/>
    <w:rPr>
      <w:color w:val="605E5C"/>
      <w:shd w:val="clear" w:color="auto" w:fill="E1DFDD"/>
    </w:rPr>
  </w:style>
  <w:style w:type="paragraph" w:customStyle="1" w:styleId="88">
    <w:name w:val="WPSOffice手动目录 1"/>
    <w:qFormat/>
    <w:uiPriority w:val="0"/>
    <w:rPr>
      <w:rFonts w:asciiTheme="minorHAnsi" w:hAnsiTheme="minorHAnsi" w:eastAsiaTheme="minorEastAsia" w:cstheme="minorBidi"/>
      <w:lang w:val="en-US" w:eastAsia="zh-CN" w:bidi="ar-SA"/>
    </w:rPr>
  </w:style>
  <w:style w:type="paragraph" w:customStyle="1" w:styleId="89">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90">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91">
    <w:name w:val="p1"/>
    <w:basedOn w:val="1"/>
    <w:qFormat/>
    <w:uiPriority w:val="0"/>
    <w:pPr>
      <w:jc w:val="left"/>
    </w:pPr>
    <w:rPr>
      <w:rFonts w:ascii="Helvetica LT Pro" w:hAnsi="Helvetica LT Pro" w:eastAsia="Helvetica LT Pro"/>
      <w:color w:val="FFFFFF"/>
      <w:kern w:val="0"/>
      <w:sz w:val="24"/>
      <w:szCs w:val="24"/>
    </w:rPr>
  </w:style>
  <w:style w:type="paragraph" w:customStyle="1" w:styleId="92">
    <w:name w:val="列表段落3"/>
    <w:basedOn w:val="1"/>
    <w:qFormat/>
    <w:uiPriority w:val="0"/>
    <w:pPr>
      <w:ind w:firstLine="420" w:firstLineChars="200"/>
    </w:pPr>
    <w:rPr>
      <w:rFonts w:ascii="Times New Roman" w:hAnsi="Times New Roman"/>
      <w:szCs w:val="21"/>
    </w:rPr>
  </w:style>
  <w:style w:type="character" w:customStyle="1" w:styleId="93">
    <w:name w:val="fontstyle01"/>
    <w:basedOn w:val="29"/>
    <w:qFormat/>
    <w:uiPriority w:val="0"/>
    <w:rPr>
      <w:rFonts w:hint="eastAsia" w:ascii="宋体" w:hAnsi="宋体" w:eastAsia="宋体" w:cs="Times New Roman"/>
      <w:color w:val="000000"/>
      <w:sz w:val="24"/>
      <w:szCs w:val="24"/>
    </w:rPr>
  </w:style>
  <w:style w:type="paragraph" w:customStyle="1" w:styleId="94">
    <w:name w:val="gf正文"/>
    <w:basedOn w:val="1"/>
    <w:qFormat/>
    <w:uiPriority w:val="0"/>
    <w:pPr>
      <w:adjustRightInd w:val="0"/>
      <w:snapToGrid w:val="0"/>
      <w:spacing w:line="520" w:lineRule="exact"/>
      <w:ind w:firstLine="200" w:firstLineChars="200"/>
    </w:pPr>
    <w:rPr>
      <w:sz w:val="24"/>
      <w:szCs w:val="20"/>
    </w:rPr>
  </w:style>
  <w:style w:type="character" w:customStyle="1" w:styleId="95">
    <w:name w:val="fontstyle21"/>
    <w:basedOn w:val="29"/>
    <w:qFormat/>
    <w:uiPriority w:val="0"/>
    <w:rPr>
      <w:rFonts w:hint="default" w:ascii="Kata Bold" w:hAnsi="Kata Bold" w:eastAsia="宋体" w:cs="Times New Roman"/>
      <w:b/>
      <w:bCs/>
      <w:color w:val="000000"/>
      <w:sz w:val="22"/>
      <w:szCs w:val="22"/>
    </w:rPr>
  </w:style>
  <w:style w:type="character" w:customStyle="1" w:styleId="96">
    <w:name w:val="font11"/>
    <w:basedOn w:val="29"/>
    <w:qFormat/>
    <w:uiPriority w:val="0"/>
    <w:rPr>
      <w:rFonts w:hint="eastAsia" w:ascii="宋体" w:hAnsi="宋体" w:eastAsia="宋体" w:cs="宋体"/>
      <w:b/>
      <w:bCs/>
      <w:color w:val="000000"/>
      <w:sz w:val="21"/>
      <w:szCs w:val="21"/>
      <w:u w:val="none"/>
    </w:rPr>
  </w:style>
  <w:style w:type="character" w:customStyle="1" w:styleId="97">
    <w:name w:val="font61"/>
    <w:basedOn w:val="29"/>
    <w:qFormat/>
    <w:uiPriority w:val="0"/>
    <w:rPr>
      <w:rFonts w:hint="default" w:ascii="Times New Roman" w:hAnsi="Times New Roman" w:eastAsia="宋体" w:cs="Times New Roman"/>
      <w:b/>
      <w:bCs/>
      <w:color w:val="000000"/>
      <w:sz w:val="21"/>
      <w:szCs w:val="21"/>
      <w:u w:val="none"/>
    </w:rPr>
  </w:style>
  <w:style w:type="character" w:customStyle="1" w:styleId="98">
    <w:name w:val="font21"/>
    <w:basedOn w:val="29"/>
    <w:qFormat/>
    <w:uiPriority w:val="0"/>
    <w:rPr>
      <w:rFonts w:hint="eastAsia" w:ascii="宋体" w:hAnsi="宋体" w:eastAsia="宋体" w:cs="宋体"/>
      <w:color w:val="000000"/>
      <w:sz w:val="20"/>
      <w:szCs w:val="20"/>
      <w:u w:val="none"/>
    </w:rPr>
  </w:style>
  <w:style w:type="character" w:customStyle="1" w:styleId="99">
    <w:name w:val="font01"/>
    <w:basedOn w:val="29"/>
    <w:qFormat/>
    <w:uiPriority w:val="0"/>
    <w:rPr>
      <w:rFonts w:ascii="Arial" w:hAnsi="Arial" w:eastAsia="宋体" w:cs="Arial"/>
      <w:color w:val="000000"/>
      <w:sz w:val="20"/>
      <w:szCs w:val="20"/>
      <w:u w:val="none"/>
    </w:rPr>
  </w:style>
  <w:style w:type="character" w:customStyle="1" w:styleId="100">
    <w:name w:val="font51"/>
    <w:basedOn w:val="29"/>
    <w:qFormat/>
    <w:uiPriority w:val="0"/>
    <w:rPr>
      <w:rFonts w:hint="default" w:ascii="Times New Roman" w:hAnsi="Times New Roman" w:eastAsia="宋体" w:cs="Times New Roman"/>
      <w:b/>
      <w:bCs/>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2.xml"/><Relationship Id="rId98" Type="http://schemas.openxmlformats.org/officeDocument/2006/relationships/numbering" Target="numbering.xml"/><Relationship Id="rId97" Type="http://schemas.openxmlformats.org/officeDocument/2006/relationships/customXml" Target="../customXml/item1.xml"/><Relationship Id="rId96" Type="http://schemas.openxmlformats.org/officeDocument/2006/relationships/image" Target="media/image79.png"/><Relationship Id="rId95" Type="http://schemas.openxmlformats.org/officeDocument/2006/relationships/image" Target="media/image78.png"/><Relationship Id="rId94" Type="http://schemas.openxmlformats.org/officeDocument/2006/relationships/image" Target="media/image77.png"/><Relationship Id="rId93" Type="http://schemas.openxmlformats.org/officeDocument/2006/relationships/image" Target="media/image76.png"/><Relationship Id="rId92" Type="http://schemas.openxmlformats.org/officeDocument/2006/relationships/image" Target="media/image75.png"/><Relationship Id="rId91" Type="http://schemas.openxmlformats.org/officeDocument/2006/relationships/image" Target="media/image74.png"/><Relationship Id="rId90" Type="http://schemas.openxmlformats.org/officeDocument/2006/relationships/image" Target="media/image73.png"/><Relationship Id="rId9" Type="http://schemas.openxmlformats.org/officeDocument/2006/relationships/header" Target="header4.xml"/><Relationship Id="rId89" Type="http://schemas.openxmlformats.org/officeDocument/2006/relationships/image" Target="media/image72.png"/><Relationship Id="rId88" Type="http://schemas.openxmlformats.org/officeDocument/2006/relationships/image" Target="media/image71.png"/><Relationship Id="rId87" Type="http://schemas.openxmlformats.org/officeDocument/2006/relationships/image" Target="media/image70.png"/><Relationship Id="rId86" Type="http://schemas.openxmlformats.org/officeDocument/2006/relationships/image" Target="media/image69.png"/><Relationship Id="rId85" Type="http://schemas.openxmlformats.org/officeDocument/2006/relationships/image" Target="media/image68.png"/><Relationship Id="rId84" Type="http://schemas.openxmlformats.org/officeDocument/2006/relationships/image" Target="media/image67.png"/><Relationship Id="rId83" Type="http://schemas.openxmlformats.org/officeDocument/2006/relationships/image" Target="media/image66.png"/><Relationship Id="rId82" Type="http://schemas.openxmlformats.org/officeDocument/2006/relationships/image" Target="media/image65.png"/><Relationship Id="rId81" Type="http://schemas.openxmlformats.org/officeDocument/2006/relationships/image" Target="media/image64.png"/><Relationship Id="rId80" Type="http://schemas.openxmlformats.org/officeDocument/2006/relationships/image" Target="media/image63.png"/><Relationship Id="rId8" Type="http://schemas.openxmlformats.org/officeDocument/2006/relationships/footer" Target="footer3.xml"/><Relationship Id="rId79" Type="http://schemas.openxmlformats.org/officeDocument/2006/relationships/image" Target="media/image62.png"/><Relationship Id="rId78" Type="http://schemas.openxmlformats.org/officeDocument/2006/relationships/image" Target="media/image61.png"/><Relationship Id="rId77" Type="http://schemas.openxmlformats.org/officeDocument/2006/relationships/image" Target="media/image60.png"/><Relationship Id="rId76" Type="http://schemas.openxmlformats.org/officeDocument/2006/relationships/image" Target="media/image59.png"/><Relationship Id="rId75" Type="http://schemas.openxmlformats.org/officeDocument/2006/relationships/image" Target="media/image58.png"/><Relationship Id="rId74" Type="http://schemas.openxmlformats.org/officeDocument/2006/relationships/image" Target="media/image57.png"/><Relationship Id="rId73" Type="http://schemas.openxmlformats.org/officeDocument/2006/relationships/image" Target="media/image56.png"/><Relationship Id="rId72" Type="http://schemas.openxmlformats.org/officeDocument/2006/relationships/image" Target="media/image55.png"/><Relationship Id="rId71" Type="http://schemas.openxmlformats.org/officeDocument/2006/relationships/image" Target="media/image54.png"/><Relationship Id="rId70" Type="http://schemas.openxmlformats.org/officeDocument/2006/relationships/image" Target="media/image53.png"/><Relationship Id="rId7" Type="http://schemas.openxmlformats.org/officeDocument/2006/relationships/header" Target="header3.xml"/><Relationship Id="rId69" Type="http://schemas.openxmlformats.org/officeDocument/2006/relationships/image" Target="media/image52.png"/><Relationship Id="rId68" Type="http://schemas.openxmlformats.org/officeDocument/2006/relationships/image" Target="media/image51.png"/><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footer" Target="foot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1.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jpeg"/><Relationship Id="rId45" Type="http://schemas.openxmlformats.org/officeDocument/2006/relationships/image" Target="media/image28.jpeg"/><Relationship Id="rId44" Type="http://schemas.openxmlformats.org/officeDocument/2006/relationships/image" Target="media/image27.jpeg"/><Relationship Id="rId43" Type="http://schemas.openxmlformats.org/officeDocument/2006/relationships/image" Target="media/image26.png"/><Relationship Id="rId42" Type="http://schemas.openxmlformats.org/officeDocument/2006/relationships/image" Target="media/image25.jpeg"/><Relationship Id="rId41" Type="http://schemas.openxmlformats.org/officeDocument/2006/relationships/image" Target="media/image24.jpeg"/><Relationship Id="rId40" Type="http://schemas.openxmlformats.org/officeDocument/2006/relationships/image" Target="media/image23.jpeg"/><Relationship Id="rId4" Type="http://schemas.openxmlformats.org/officeDocument/2006/relationships/header" Target="header2.xml"/><Relationship Id="rId39" Type="http://schemas.openxmlformats.org/officeDocument/2006/relationships/image" Target="media/image22.emf"/><Relationship Id="rId38" Type="http://schemas.openxmlformats.org/officeDocument/2006/relationships/package" Target="embeddings/Microsoft_Visio___5.vsdx"/><Relationship Id="rId37" Type="http://schemas.openxmlformats.org/officeDocument/2006/relationships/image" Target="media/image21.jpeg"/><Relationship Id="rId36" Type="http://schemas.openxmlformats.org/officeDocument/2006/relationships/image" Target="media/image20.wmf"/><Relationship Id="rId35" Type="http://schemas.openxmlformats.org/officeDocument/2006/relationships/image" Target="media/image19.wmf"/><Relationship Id="rId34" Type="http://schemas.openxmlformats.org/officeDocument/2006/relationships/image" Target="media/image18.jpeg"/><Relationship Id="rId33" Type="http://schemas.openxmlformats.org/officeDocument/2006/relationships/image" Target="media/image17.png"/><Relationship Id="rId32" Type="http://schemas.openxmlformats.org/officeDocument/2006/relationships/image" Target="media/image16.jpeg"/><Relationship Id="rId31" Type="http://schemas.openxmlformats.org/officeDocument/2006/relationships/image" Target="media/image15.pn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emf"/><Relationship Id="rId27" Type="http://schemas.openxmlformats.org/officeDocument/2006/relationships/package" Target="embeddings/Microsoft_Visio___4.vsdx"/><Relationship Id="rId26" Type="http://schemas.openxmlformats.org/officeDocument/2006/relationships/image" Target="media/image11.jpeg"/><Relationship Id="rId25" Type="http://schemas.openxmlformats.org/officeDocument/2006/relationships/image" Target="media/image10.emf"/><Relationship Id="rId24" Type="http://schemas.openxmlformats.org/officeDocument/2006/relationships/package" Target="embeddings/Microsoft_Visio___3.vsdx"/><Relationship Id="rId23" Type="http://schemas.openxmlformats.org/officeDocument/2006/relationships/image" Target="media/image9.png"/><Relationship Id="rId22" Type="http://schemas.openxmlformats.org/officeDocument/2006/relationships/image" Target="media/image8.emf"/><Relationship Id="rId21" Type="http://schemas.openxmlformats.org/officeDocument/2006/relationships/package" Target="embeddings/Microsoft_Visio___2.vsdx"/><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emf"/><Relationship Id="rId14" Type="http://schemas.openxmlformats.org/officeDocument/2006/relationships/package" Target="embeddings/Microsoft_Visio___1.vsdx"/><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1" Type="http://schemas.openxmlformats.org/officeDocument/2006/relationships/fontTable" Target="fontTable.xml"/><Relationship Id="rId100" Type="http://schemas.openxmlformats.org/officeDocument/2006/relationships/customXml" Target="../customXml/item3.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0bf9d383-ec79-4415-9e88-4962d2147dea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763FC475</paraID>
      <start>0</start>
      <end>2</end>
      <status>unmodified</status>
      <modifiedWord/>
      <trackRevisions>false</trackRevisions>
    </reviewItem>
    <reviewItem>
      <errorID>11131a3f-b99e-46f1-a30a-b06c22494f16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1C533A68</paraID>
      <start>0</start>
      <end>2</end>
      <status>unmodified</status>
      <modifiedWord/>
      <trackRevisions>false</trackRevisions>
    </reviewItem>
    <reviewItem>
      <errorID>b7e52cba-3709-4572-ac77-47b6f39b2c48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4EA4B1F5</paraID>
      <start>0</start>
      <end>2</end>
      <status>unmodified</status>
      <modifiedWord/>
      <trackRevisions>false</trackRevisions>
    </reviewItem>
    <reviewItem>
      <errorID>2ebf06c3-5ad6-4427-9be6-1ce89d62f71b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1F4BDA53</paraID>
      <start>0</start>
      <end>2</end>
      <status>unmodified</status>
      <modifiedWord/>
      <trackRevisions>false</trackRevisions>
    </reviewItem>
    <reviewItem>
      <errorID>672f98b4-1b2b-428c-ac4e-89ab80d85e05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15FE974B</paraID>
      <start>0</start>
      <end>2</end>
      <status>unmodified</status>
      <modifiedWord/>
      <trackRevisions>false</trackRevisions>
    </reviewItem>
    <reviewItem>
      <errorID>6bfd1397-6adb-4d11-9bb7-8fac46267950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2F80FD1D</paraID>
      <start>0</start>
      <end>2</end>
      <status>unmodified</status>
      <modifiedWord/>
      <trackRevisions>false</trackRevisions>
    </reviewItem>
    <reviewItem>
      <errorID>f44b4bf9-3ce6-44d2-834a-ea3a9a97f7ed</errorID>
      <errorWord>网络及基础设施</errorWord>
      <group>L1_Political</group>
      <groupName>政治性问题</groupName>
      <ability>L2_Keyword</ability>
      <abilityName>固定表述</abilityName>
      <candidateList>
        <item>网络型基础设施</item>
      </candidateList>
      <explain>词汇“网络型基础设施”在特定场景下为固定表述形式，请确认此处的“网络及基础设施”是否存在不当。</explain>
      <paraID>460A183D</paraID>
      <start>233</start>
      <end>240</end>
      <status>unmodified</status>
      <modifiedWord/>
      <trackRevisions>false</trackRevisions>
    </reviewItem>
    <reviewItem>
      <errorID>23772ebc-1f43-4fa6-b266-dc46dff076cd</errorID>
      <errorWord>国民经济与社会发展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词汇“国民经济和社会发展”在特定场景下为固定表述形式，请确认此处的“国民经济与社会发展”是否存在不当。</explain>
      <paraID>218ED903</paraID>
      <start>67</start>
      <end>76</end>
      <status>unmodified</status>
      <modifiedWord/>
      <trackRevisions>false</trackRevisions>
    </reviewItem>
    <reviewItem>
      <errorID>025a75e8-18b9-4e61-905d-501b26ae6941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47F79F11</paraID>
      <start>0</start>
      <end>2</end>
      <status>unmodified</status>
      <modifiedWord/>
      <trackRevisions>false</trackRevisions>
    </reviewItem>
    <reviewItem>
      <errorID>0495851b-6280-44b4-9ad9-0d42c2994271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8DD5B5B</paraID>
      <start>0</start>
      <end>2</end>
      <status>unmodified</status>
      <modifiedWord/>
      <trackRevisions>false</trackRevisions>
    </reviewItem>
    <reviewItem>
      <errorID>d266cc53-708c-4a8c-8032-0ad5d27b765b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13E77B42</paraID>
      <start>0</start>
      <end>2</end>
      <status>unmodified</status>
      <modifiedWord/>
      <trackRevisions>false</trackRevisions>
    </reviewItem>
    <reviewItem>
      <errorID>d77f1397-7c54-44ff-a9aa-5a96871b7aaf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71AA3483</paraID>
      <start>0</start>
      <end>2</end>
      <status>unmodified</status>
      <modifiedWord/>
      <trackRevisions>false</trackRevisions>
    </reviewItem>
    <reviewItem>
      <errorID>73417b13-9265-4ecb-aede-a122fb50a2a1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71AA3483</paraID>
      <start>37</start>
      <end>40</end>
      <status>unmodified</status>
      <modifiedWord/>
      <trackRevisions>false</trackRevisions>
    </reviewItem>
    <reviewItem>
      <errorID>2644a66c-48a2-4d30-8042-5ec0577e92eb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29AD6E31</paraID>
      <start>0</start>
      <end>2</end>
      <status>unmodified</status>
      <modifiedWord/>
      <trackRevisions>false</trackRevisions>
    </reviewItem>
    <reviewItem>
      <errorID>dd003bdd-1860-44cb-aa0c-4707d731197b</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29AD6E31</paraID>
      <start>193</start>
      <end>201</end>
      <status>modified</status>
      <modifiedWord>饮用水水源保护区</modifiedWord>
      <trackRevisions>false</trackRevisions>
    </reviewItem>
    <reviewItem>
      <errorID>24328be0-6a61-4e5b-bdec-fc0f7412df12</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22F46658</paraID>
      <start>584</start>
      <end>591</end>
      <status>ignored</status>
      <modifiedWord/>
      <trackRevisions>false</trackRevisions>
    </reviewItem>
    <reviewItem>
      <errorID>44378292-64a0-4484-b953-852b4631d168</errorID>
      <errorWord>IV类</errorWord>
      <group>L1_Knowledge</group>
      <groupName>知识性问题</groupName>
      <ability>L2_Knowledge</ability>
      <abilityName>其他知识</abilityName>
      <candidateList>
        <item>Ⅳ类</item>
      </candidateList>
      <explain>中文环境下罗马数字格式错误。</explain>
      <paraID>22F46658</paraID>
      <start>752</start>
      <end>754</end>
      <status>modified</status>
      <modifiedWord>Ⅳ类</modifiedWord>
      <trackRevisions>false</trackRevisions>
    </reviewItem>
    <reviewItem>
      <errorID>cc585202-30e2-4f35-b191-dcb324e9fd25</errorID>
      <errorWord>IV类</errorWord>
      <group>L1_Knowledge</group>
      <groupName>知识性问题</groupName>
      <ability>L2_Knowledge</ability>
      <abilityName>其他知识</abilityName>
      <candidateList>
        <item>Ⅳ类</item>
      </candidateList>
      <explain>中文环境下罗马数字格式错误。</explain>
      <paraID>22F46658</paraID>
      <start>821</start>
      <end>823</end>
      <status>modified</status>
      <modifiedWord>Ⅳ类</modifiedWord>
      <trackRevisions>false</trackRevisions>
    </reviewItem>
    <reviewItem>
      <errorID>065f8695-4bd0-4386-b492-0e9bba45b086</errorID>
      <errorWord>）</errorWord>
      <group>L1_Punc</group>
      <groupName>标点问题</groupName>
      <ability>L2_Punc_CN</ability>
      <abilityName>标点符号问题</abilityName>
      <candidateList/>
      <explain>同一形式括号套用。</explain>
      <paraID>22F46658</paraID>
      <start>851</start>
      <end>852</end>
      <status>ignored</status>
      <modifiedWord/>
      <trackRevisions>false</trackRevisions>
    </reviewItem>
    <reviewItem>
      <errorID>14527ed7-e2fa-4173-981f-083be2f78e42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1506F8A4</paraID>
      <start>0</start>
      <end>2</end>
      <status>ignored</status>
      <modifiedWord/>
      <trackRevisions>false</trackRevisions>
    </reviewItem>
    <reviewItem>
      <errorID>318f878f-8f3f-413c-ad4e-f70a4570af45</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1506F8A4</paraID>
      <start>180</start>
      <end>188</end>
      <status>modified</status>
      <modifiedWord>饮用水水源保护区</modifiedWord>
      <trackRevisions>false</trackRevisions>
    </reviewItem>
    <reviewItem>
      <errorID>6d758d10-5821-474e-a741-1e02d3dbf386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4DAF4B35</paraID>
      <start>0</start>
      <end>2</end>
      <status>ignored</status>
      <modifiedWord/>
      <trackRevisions>false</trackRevisions>
    </reviewItem>
    <reviewItem>
      <errorID>c551b6b2-5712-4122-82a3-4747815ee7bd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58E50260</paraID>
      <start>0</start>
      <end>2</end>
      <status>ignored</status>
      <modifiedWord/>
      <trackRevisions>false</trackRevisions>
    </reviewItem>
    <reviewItem>
      <errorID>43e7a8eb-0e6b-4b6a-9aaf-664f8deec7f4</errorID>
      <errorWord>农田灌溉水利用系数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词汇“农田灌溉水有效利用系数”在特定场景下为固定表述形式，请确认此处的“农田灌溉水利用系数”是否存在不当。</explain>
      <paraID>2FFB01DC</paraID>
      <start>658</start>
      <end>667</end>
      <status>ignored</status>
      <modifiedWord/>
      <trackRevisions>false</trackRevisions>
    </reviewItem>
    <reviewItem>
      <errorID>c411103a-5145-4e1d-80a2-b4e8ce9b06cc</errorID>
      <errorWord>耕地占补平衡等制度</errorWord>
      <group>L1_Political</group>
      <groupName>政治性问题</groupName>
      <ability>L2_Keyword</ability>
      <abilityName>固定表述</abilityName>
      <candidateList>
        <item>耕地占补平衡制度</item>
      </candidateList>
      <explain>词汇“耕地占补平衡制度”在特定场景下为固定表述形式，请确认此处的“耕地占补平衡等制度”是否存在不当。</explain>
      <paraID>2FFB01DC</paraID>
      <start>723</start>
      <end>732</end>
      <status>ignored</status>
      <modifiedWord/>
      <trackRevisions>false</trackRevisions>
    </reviewItem>
    <reviewItem>
      <errorID>c0584931-e6ec-45dc-ae67-9f67e8812981</errorID>
      <errorWord>规模化</errorWord>
      <group>L1_Word</group>
      <groupName>字词问题</groupName>
      <ability>L2_Typo</ability>
      <abilityName>字词错误</abilityName>
      <candidateList>
        <item>规模</item>
      </candidateList>
      <explain/>
      <paraID>2FFB01DC</paraID>
      <start>846</start>
      <end>849</end>
      <status>ignored</status>
      <modifiedWord/>
      <trackRevisions>false</trackRevisions>
    </reviewItem>
    <reviewItem>
      <errorID>d0802189-e8db-44cb-9251-fac4532cb7e5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4B8334AE</paraID>
      <start>0</start>
      <end>2</end>
      <status>ignored</status>
      <modifiedWord/>
      <trackRevisions>false</trackRevisions>
    </reviewItem>
    <reviewItem>
      <errorID>c682758f-80ee-491f-8cc6-21764bb2fe5d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388D64D</paraID>
      <start>0</start>
      <end>2</end>
      <status>ignored</status>
      <modifiedWord/>
      <trackRevisions>false</trackRevisions>
    </reviewItem>
    <reviewItem>
      <errorID>a37e9fae-aadf-4621-976a-2810a6a6a006</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 388D64D</paraID>
      <start>238</start>
      <end>246</end>
      <status>modified</status>
      <modifiedWord>饮用水水源保护区</modifiedWord>
      <trackRevisions>false</trackRevisions>
    </reviewItem>
    <reviewItem>
      <errorID>e81c9ccc-a7e9-49ff-8edd-387583019afc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1828FAB</paraID>
      <start>0</start>
      <end>2</end>
      <status>ignored</status>
      <modifiedWord/>
      <trackRevisions>false</trackRevisions>
    </reviewItem>
    <reviewItem>
      <errorID>d0536d3a-e53f-45e5-96f0-815ef2acbdcd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3AF69E90</paraID>
      <start>0</start>
      <end>2</end>
      <status>ignored</status>
      <modifiedWord/>
      <trackRevisions>false</trackRevisions>
    </reviewItem>
    <reviewItem>
      <errorID>a1e8cf49-fc1e-49b5-ae47-08a14530796c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4530447C</paraID>
      <start>0</start>
      <end>2</end>
      <status>ignored</status>
      <modifiedWord/>
      <trackRevisions>false</trackRevisions>
    </reviewItem>
    <reviewItem>
      <errorID>db28ea75-ef14-450e-9095-77a2e2cf3407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B417B6A</paraID>
      <start>0</start>
      <end>2</end>
      <status>ignored</status>
      <modifiedWord/>
      <trackRevisions>false</trackRevisions>
    </reviewItem>
    <reviewItem>
      <errorID>d4cdd4c2-3490-4234-9735-70bd2b398704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64EB3372</paraID>
      <start>0</start>
      <end>2</end>
      <status>ignored</status>
      <modifiedWord/>
      <trackRevisions>false</trackRevisions>
    </reviewItem>
    <reviewItem>
      <errorID>adfe842b-06a7-4788-af3b-b3fd7266b12a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64EB3372</paraID>
      <start>141</start>
      <end>143</end>
      <status>modified</status>
      <modifiedWord>》《</modifiedWord>
      <trackRevisions>false</trackRevisions>
    </reviewItem>
    <reviewItem>
      <errorID>d9824135-fcf8-48ad-921c-5e8fb99de9be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64EB3372</paraID>
      <start>153</start>
      <end>155</end>
      <status>modified</status>
      <modifiedWord>》《</modifiedWord>
      <trackRevisions>false</trackRevisions>
    </reviewItem>
    <reviewItem>
      <errorID>7c97a77b-443c-4758-8ef1-ca7059cd8925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43B998A7</paraID>
      <start>0</start>
      <end>2</end>
      <status>ignored</status>
      <modifiedWord/>
      <trackRevisions>false</trackRevisions>
    </reviewItem>
    <reviewItem>
      <errorID>de775a69-eba7-4691-9d65-3391ddb69de7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42220793</paraID>
      <start>0</start>
      <end>2</end>
      <status>unmodified</status>
      <modifiedWord/>
      <trackRevisions>false</trackRevisions>
    </reviewItem>
    <reviewItem>
      <errorID>793cc61c-435f-4b24-89cd-dc4165b05275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496A0A</paraID>
      <start>0</start>
      <end>2</end>
      <status>unmodified</status>
      <modifiedWord/>
      <trackRevisions>false</trackRevisions>
    </reviewItem>
    <reviewItem>
      <errorID>74103f8d-3194-46de-915b-80a58af8a97e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4D1F9748</paraID>
      <start>0</start>
      <end>2</end>
      <status>unmodified</status>
      <modifiedWord/>
      <trackRevisions>false</trackRevisions>
    </reviewItem>
    <reviewItem>
      <errorID>7db9bd04-9f40-4791-a5e9-b51ac2b306fd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3B61232F</paraID>
      <start>0</start>
      <end>2</end>
      <status>unmodified</status>
      <modifiedWord/>
      <trackRevisions>false</trackRevisions>
    </reviewItem>
    <reviewItem>
      <errorID>d34dc5b2-b874-4c3f-b9df-4d171cc66e03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2B13EA20</paraID>
      <start>0</start>
      <end>2</end>
      <status>unmodified</status>
      <modifiedWord/>
      <trackRevisions>false</trackRevisions>
    </reviewItem>
    <reviewItem>
      <errorID>1e22c753-cba3-4b47-8d20-ae6026417568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2B13EA20</paraID>
      <start>25</start>
      <end>26</end>
      <status>unmodified</status>
      <modifiedWord/>
      <trackRevisions>false</trackRevisions>
    </reviewItem>
    <reviewItem>
      <errorID>f9f6aa86-2004-48b2-8c74-d7838d496eef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360996FB</paraID>
      <start>24</start>
      <end>25</end>
      <status>unmodified</status>
      <modifiedWord/>
      <trackRevisions>false</trackRevisions>
    </reviewItem>
    <reviewItem>
      <errorID>9c6ce8fe-d17e-4732-9397-90d9b8d0ec08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34B28C51</paraID>
      <start>22</start>
      <end>23</end>
      <status>unmodified</status>
      <modifiedWord/>
      <trackRevisions>false</trackRevisions>
    </reviewItem>
    <reviewItem>
      <errorID>bf24efcc-5ecd-4172-af1c-a77b812fa56d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4D47E2C1</paraID>
      <start>191</start>
      <end>192</end>
      <status>unmodified</status>
      <modifiedWord/>
      <trackRevisions>false</trackRevisions>
    </reviewItem>
    <reviewItem>
      <errorID>72c284a7-7f5c-4216-a351-ece694343e49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59D2F0E3</paraID>
      <start>0</start>
      <end>2</end>
      <status>unmodified</status>
      <modifiedWord/>
      <trackRevisions>false</trackRevisions>
    </reviewItem>
    <reviewItem>
      <errorID>66f84ed7-abc7-4459-a16a-37e9de1c52e5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59D2F0E3</paraID>
      <start>27</start>
      <end>28</end>
      <status>unmodified</status>
      <modifiedWord/>
      <trackRevisions>false</trackRevisions>
    </reviewItem>
    <reviewItem>
      <errorID>a2b987f2-a108-4b40-a87b-dd052ecb7225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C700817</paraID>
      <start>25</start>
      <end>26</end>
      <status>unmodified</status>
      <modifiedWord/>
      <trackRevisions>false</trackRevisions>
    </reviewItem>
    <reviewItem>
      <errorID>6b871e45-fb88-444d-97d0-6b3f467cdc9f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26BD8A41</paraID>
      <start>90</start>
      <end>91</end>
      <status>unmodified</status>
      <modifiedWord/>
      <trackRevisions>false</trackRevisions>
    </reviewItem>
    <reviewItem>
      <errorID>4b9eb43c-a047-4707-a33d-a9a546f989a8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175D2345</paraID>
      <start>32</start>
      <end>33</end>
      <status>unmodified</status>
      <modifiedWord/>
      <trackRevisions>false</trackRevisions>
    </reviewItem>
    <reviewItem>
      <errorID>cb96448e-b8e9-4ef8-809a-e657c0892ffb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6B1ED65F</paraID>
      <start>259</start>
      <end>260</end>
      <status>unmodified</status>
      <modifiedWord/>
      <trackRevisions>false</trackRevisions>
    </reviewItem>
    <reviewItem>
      <errorID>7bf564d5-2017-4f20-b489-d6c703c6f631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1912DF38</paraID>
      <start>32</start>
      <end>33</end>
      <status>unmodified</status>
      <modifiedWord/>
      <trackRevisions>false</trackRevisions>
    </reviewItem>
    <reviewItem>
      <errorID>9cec9feb-9d11-4442-87e5-ee9f78fedc30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40A1F9E</paraID>
      <start>0</start>
      <end>2</end>
      <status>unmodified</status>
      <modifiedWord/>
      <trackRevisions>false</trackRevisions>
    </reviewItem>
    <reviewItem>
      <errorID>f3fabcb6-7bbc-4cb6-8671-4d59774d7223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13727D0A</paraID>
      <start>0</start>
      <end>2</end>
      <status>unmodified</status>
      <modifiedWord/>
      <trackRevisions>false</trackRevisions>
    </reviewItem>
    <reviewItem>
      <errorID>4ccff7bb-3051-435c-a7e9-1d1658ae29b2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B1E33AD</paraID>
      <start>68</start>
      <end>71</end>
      <status>unmodified</status>
      <modifiedWord/>
      <trackRevisions>false</trackRevisions>
    </reviewItem>
    <reviewItem>
      <errorID>a3397626-fa92-44b2-95e2-306b9b318a85</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112F6663</paraID>
      <start>29</start>
      <end>37</end>
      <status>unmodified</status>
      <modifiedWord/>
      <trackRevisions>false</trackRevisions>
    </reviewItem>
    <reviewItem>
      <errorID>28e7c6cd-95a8-4930-b9dd-ae41a8d5ed04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8587694</paraID>
      <start>0</start>
      <end>2</end>
      <status>unmodified</status>
      <modifiedWord/>
      <trackRevisions>false</trackRevisions>
    </reviewItem>
    <reviewItem>
      <errorID>3cfa0b28-282a-446d-8bc5-7ba065a5d085</errorID>
      <errorWord>人抬道</errorWord>
      <group>L1_Word</group>
      <groupName>字词问题</groupName>
      <ability>L2_Typo</ability>
      <abilityName>字词错误</abilityName>
      <candidateList>
        <item>人行道</item>
      </candidateList>
      <explain/>
      <paraID>44C9D2B9</paraID>
      <start>167</start>
      <end>170</end>
      <status>unmodified</status>
      <modifiedWord/>
      <trackRevisions>false</trackRevisions>
    </reviewItem>
    <reviewItem>
      <errorID>e4f070ae-87a4-4ee4-891b-9608611dbcd3</errorID>
      <errorWord>生内</errorWord>
      <group>L1_Word</group>
      <groupName>字词问题</groupName>
      <ability>L2_Typo</ability>
      <abilityName>字词错误</abilityName>
      <candidateList>
        <item>生</item>
      </candidateList>
      <explain/>
      <paraID> DA5DD93</paraID>
      <start>82</start>
      <end>83</end>
      <status>modified</status>
      <modifiedWord>生</modifiedWord>
      <trackRevisions>false</trackRevisions>
    </reviewItem>
    <reviewItem>
      <errorID>d9b10e14-3574-419a-b187-cec566a25974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7161E42</paraID>
      <start>0</start>
      <end>2</end>
      <status>ignored</status>
      <modifiedWord/>
      <trackRevisions>false</trackRevisions>
    </reviewItem>
    <reviewItem>
      <errorID>3e62b4c6-ef72-4af4-aa9a-f5d6a0d77d6f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2F3243FB</paraID>
      <start>0</start>
      <end>3</end>
      <status>ignored</status>
      <modifiedWord/>
      <trackRevisions>false</trackRevisions>
    </reviewItem>
    <reviewItem>
      <errorID>10cc7e69-f490-4c19-b810-df2b09c2bf35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4A528EC7</paraID>
      <start>0</start>
      <end>3</end>
      <status>ignored</status>
      <modifiedWord/>
      <trackRevisions>false</trackRevisions>
    </reviewItem>
    <reviewItem>
      <errorID>9fe17b93-774d-4b1f-834c-96dca8b6d270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2C5B12EC</paraID>
      <start>0</start>
      <end>3</end>
      <status>ignored</status>
      <modifiedWord/>
      <trackRevisions>false</trackRevisions>
    </reviewItem>
    <reviewItem>
      <errorID>af07092b-6b41-4c2d-bd2f-c103da5218a9</errorID>
      <errorWord>用地预审、选址意见书</errorWord>
      <group>L1_Political</group>
      <groupName>政治性问题</groupName>
      <ability>L2_Keyword</ability>
      <abilityName>固定表述</abilityName>
      <candidateList>
        <item>用地预审与选址意见书</item>
      </candidateList>
      <explain>词汇“用地预审与选址意见书”在特定场景下为固定表述形式，请确认此处的“用地预审、选址意见书”是否存在不当。</explain>
      <paraID>69E530B2</paraID>
      <start>110</start>
      <end>120</end>
      <status>ignored</status>
      <modifiedWord/>
      <trackRevisions>false</trackRevisions>
    </reviewItem>
    <reviewItem>
      <errorID>0a7a0f4c-649d-41e2-8608-04d960acbdb5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28A02A7F</paraID>
      <start>67</start>
      <end>68</end>
      <status>ignored</status>
      <modifiedWord/>
      <trackRevisions>false</trackRevisions>
    </reviewItem>
    <reviewItem>
      <errorID>3f151b0a-a983-4c08-83b7-d893a05be685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238B1E0F</paraID>
      <start>42</start>
      <end>43</end>
      <status>ignored</status>
      <modifiedWord/>
      <trackRevisions>false</trackRevisions>
    </reviewItem>
    <reviewItem>
      <errorID>4a57125e-cfe1-41e9-a198-22b7d7618545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660DBA67</paraID>
      <start>0</start>
      <end>3</end>
      <status>unmodified</status>
      <modifiedWord/>
      <trackRevisions>false</trackRevisions>
    </reviewItem>
    <reviewItem>
      <errorID>505fd166-f097-4e82-9950-21dafad17977</errorID>
      <errorWord>嘉丽</errorWord>
      <group>L1_Word</group>
      <groupName>字词问题</groupName>
      <ability>L2_Typo</ability>
      <abilityName>字词错误</abilityName>
      <candidateList>
        <item>嘉</item>
      </candidateList>
      <explain/>
      <paraID>216B8BF9</paraID>
      <start>125</start>
      <end>127</end>
      <status>unmodified</status>
      <modifiedWord/>
      <trackRevisions>false</trackRevisions>
    </reviewItem>
    <reviewItem>
      <errorID>7589daa4-4ffa-49a1-b03c-9f8b3c5e15c3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1288D582</paraID>
      <start>0</start>
      <end>3</end>
      <status>unmodified</status>
      <modifiedWord/>
      <trackRevisions>false</trackRevisions>
    </reviewItem>
    <reviewItem>
      <errorID>b3596d1b-1047-4285-b090-38f32a1e9f43</errorID>
      <errorWord>人抬道</errorWord>
      <group>L1_Word</group>
      <groupName>字词问题</groupName>
      <ability>L2_Typo</ability>
      <abilityName>字词错误</abilityName>
      <candidateList>
        <item>人行道</item>
      </candidateList>
      <explain/>
      <paraID>6E1B8D6C</paraID>
      <start>0</start>
      <end>3</end>
      <status>unmodified</status>
      <modifiedWord/>
      <trackRevisions>false</trackRevisions>
    </reviewItem>
    <reviewItem>
      <errorID>c2bba87c-aceb-4c4e-be96-22adff6c0661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3B1EF4AD</paraID>
      <start>0</start>
      <end>2</end>
      <status>unmodified</status>
      <modifiedWord/>
      <trackRevisions>false</trackRevisions>
    </reviewItem>
    <reviewItem>
      <errorID>d1f9fdfc-b1df-4c54-ba0a-0881580c86f1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78EFC18</paraID>
      <start>0</start>
      <end>2</end>
      <status>unmodified</status>
      <modifiedWord/>
      <trackRevisions>false</trackRevisions>
    </reviewItem>
    <reviewItem>
      <errorID>7ec6bd52-5952-45bb-98b0-fbfbfd49db48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37F28317</paraID>
      <start>0</start>
      <end>2</end>
      <status>unmodified</status>
      <modifiedWord/>
      <trackRevisions>false</trackRevisions>
    </reviewItem>
    <reviewItem>
      <errorID>140add39-1cbe-44d9-bfae-ead13b471673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2CCA3061</paraID>
      <start>0</start>
      <end>2</end>
      <status>unmodified</status>
      <modifiedWord/>
      <trackRevisions>false</trackRevisions>
    </reviewItem>
    <reviewItem>
      <errorID>b170cba5-7844-400f-94d1-0c6fd906364a</errorID>
      <errorWord>~</errorWord>
      <group>L1_Format</group>
      <groupName>格式问题</groupName>
      <ability>L2_HalfPunc_CN</ability>
      <abilityName>全半角问题</abilityName>
      <candidateList>
        <item>～</item>
      </candidateList>
      <explain>文本全半角错误。</explain>
      <paraID>59E05461</paraID>
      <start>87</start>
      <end>88</end>
      <status>unmodified</status>
      <modifiedWord/>
      <trackRevisions>false</trackRevisions>
    </reviewItem>
    <reviewItem>
      <errorID>3395c2d5-d0db-4155-b640-415d471beb8a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4A846FC7</paraID>
      <start>0</start>
      <end>2</end>
      <status>unmodified</status>
      <modifiedWord/>
      <trackRevisions>false</trackRevisions>
    </reviewItem>
    <reviewItem>
      <errorID>746f8de4-6f2c-4322-8971-2c73672f5875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43EEBC8D</paraID>
      <start>0</start>
      <end>2</end>
      <status>unmodified</status>
      <modifiedWord/>
      <trackRevisions>false</trackRevisions>
    </reviewItem>
    <reviewItem>
      <errorID>de9a0c7e-b6dd-4a4d-86d1-c8de419341b7</errorID>
      <errorWord>途径</errorWord>
      <group>L1_Word</group>
      <groupName>字词问题</groupName>
      <ability>L2_Typo</ability>
      <abilityName>字词错误</abilityName>
      <candidateList>
        <item>途经</item>
      </candidateList>
      <explain/>
      <paraID>38C438D3</paraID>
      <start>180</start>
      <end>182</end>
      <status>modified</status>
      <modifiedWord>途经</modifiedWord>
      <trackRevisions>false</trackRevisions>
    </reviewItem>
    <reviewItem>
      <errorID>d54296f6-9b01-48a3-a9c8-0eb104a8188a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5AC4DB0E</paraID>
      <start>0</start>
      <end>2</end>
      <status>ignored</status>
      <modifiedWord/>
      <trackRevisions>false</trackRevisions>
    </reviewItem>
    <reviewItem>
      <errorID>7ef48942-110e-4cb2-a562-700cf13398ec</errorID>
      <errorWord>~</errorWord>
      <group>L1_Format</group>
      <groupName>格式问题</groupName>
      <ability>L2_HalfPunc_CN</ability>
      <abilityName>全半角问题</abilityName>
      <candidateList>
        <item>～</item>
      </candidateList>
      <explain>文本全半角错误。</explain>
      <paraID>2FBFB7E4</paraID>
      <start>8</start>
      <end>9</end>
      <status>ignored</status>
      <modifiedWord/>
      <trackRevisions>false</trackRevisions>
    </reviewItem>
    <reviewItem>
      <errorID>5c14e40c-7e10-4b8a-99f6-1a39b957b21f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2DCAA2AE</paraID>
      <start>0</start>
      <end>2</end>
      <status>ignored</status>
      <modifiedWord/>
      <trackRevisions>false</trackRevisions>
    </reviewItem>
    <reviewItem>
      <errorID>2f7905b7-edcf-4d83-bdc5-bda762b4a1ee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5510EAA</paraID>
      <start>0</start>
      <end>2</end>
      <status>ignored</status>
      <modifiedWord/>
      <trackRevisions>false</trackRevisions>
    </reviewItem>
    <reviewItem>
      <errorID>f85fc10c-c6e3-494c-906c-46d3884ffd29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380C4C39</paraID>
      <start>0</start>
      <end>2</end>
      <status>ignored</status>
      <modifiedWord/>
      <trackRevisions>false</trackRevisions>
    </reviewItem>
    <reviewItem>
      <errorID>bc428543-c8e1-4977-9c5e-ca25157adf4a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39B2A998</paraID>
      <start>0</start>
      <end>2</end>
      <status>ignored</status>
      <modifiedWord/>
      <trackRevisions>false</trackRevisions>
    </reviewItem>
    <reviewItem>
      <errorID>3d2da80e-9cc9-4765-b140-01d40d6bea28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13721F77</paraID>
      <start>7</start>
      <end>8</end>
      <status>ignored</status>
      <modifiedWord/>
      <trackRevisions>false</trackRevisions>
    </reviewItem>
    <reviewItem>
      <errorID>feb6a357-2458-443d-8ca9-87b84540110f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3E87A508</paraID>
      <start>7</start>
      <end>8</end>
      <status>ignored</status>
      <modifiedWord/>
      <trackRevisions>false</trackRevisions>
    </reviewItem>
    <reviewItem>
      <errorID>7077d8bd-2ed1-401a-843f-07166fd4fd8b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7EF89B42</paraID>
      <start>8</start>
      <end>9</end>
      <status>ignored</status>
      <modifiedWord/>
      <trackRevisions>false</trackRevisions>
    </reviewItem>
    <reviewItem>
      <errorID>de40d644-5e5c-4df4-9696-6633425f3668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407E53CF</paraID>
      <start>0</start>
      <end>2</end>
      <status>unmodified</status>
      <modifiedWord/>
      <trackRevisions>false</trackRevisions>
    </reviewItem>
    <reviewItem>
      <errorID>6d73594d-3f8c-4230-aa5e-99ab54e70df3</errorID>
      <errorWord>亦或</errorWord>
      <group>L1_Word</group>
      <groupName>字词问题</groupName>
      <ability>L2_Typo</ability>
      <abilityName>字词错误</abilityName>
      <candidateList>
        <item>抑或</item>
      </candidateList>
      <explain>存在发音相同字词的误用。</explain>
      <paraID>21395B44</paraID>
      <start>166</start>
      <end>168</end>
      <status>ignored</status>
      <modifiedWord/>
      <trackRevisions>false</trackRevisions>
    </reviewItem>
    <reviewItem>
      <errorID>d0e06b94-3f60-4269-98b6-2d7ea32627de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6D956AC2</paraID>
      <start>0</start>
      <end>2</end>
      <status>ignored</status>
      <modifiedWord/>
      <trackRevisions>false</trackRevisions>
    </reviewItem>
    <reviewItem>
      <errorID>3aec3e4b-30f7-43f1-b775-59b6df6ddbd0</errorID>
      <errorWord>～</errorWord>
      <group>L1_Format</group>
      <groupName>格式问题</groupName>
      <ability>L2_HalfPunc_CN</ability>
      <abilityName>全半角问题</abilityName>
      <candidateList>
        <item>~</item>
      </candidateList>
      <explain>文本全半角错误。</explain>
      <paraID>61313990</paraID>
      <start>5</start>
      <end>6</end>
      <status>unmodified</status>
      <modifiedWord/>
      <trackRevisions>false</trackRevisions>
    </reviewItem>
    <reviewItem>
      <errorID>a152e666-1c19-41dd-b7ef-01fc86398be0</errorID>
      <errorWord>～</errorWord>
      <group>L1_Format</group>
      <groupName>格式问题</groupName>
      <ability>L2_HalfPunc_CN</ability>
      <abilityName>全半角问题</abilityName>
      <candidateList>
        <item>~</item>
      </candidateList>
      <explain>文本全半角错误。</explain>
      <paraID>387A2D7E</paraID>
      <start>5</start>
      <end>6</end>
      <status>unmodified</status>
      <modifiedWord/>
      <trackRevisions>false</trackRevisions>
    </reviewItem>
    <reviewItem>
      <errorID>de3d6b41-3e85-41c5-a379-1027ef3a218a</errorID>
      <errorWord>已</errorWord>
      <group>L1_Word</group>
      <groupName>字词问题</groupName>
      <ability>L2_Typo</ability>
      <abilityName>字词错误</abilityName>
      <candidateList>
        <item>以</item>
      </candidateList>
      <explain>存在发音相同字词的误用。</explain>
      <paraID>2055F897</paraID>
      <start>26</start>
      <end>27</end>
      <status>unmodified</status>
      <modifiedWord/>
      <trackRevisions>false</trackRevisions>
    </reviewItem>
    <reviewItem>
      <errorID>f7a50bb7-f0ce-478f-a031-b9c2fa6bcba2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6E37D134</paraID>
      <start>32</start>
      <end>33</end>
      <status>unmodified</status>
      <modifiedWord/>
      <trackRevisions>false</trackRevisions>
    </reviewItem>
    <reviewItem>
      <errorID>9c5ccd5a-c75c-4d3f-a130-5f6a5e4c0a7c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6E61B28C</paraID>
      <start>39</start>
      <end>40</end>
      <status>unmodified</status>
      <modifiedWord/>
      <trackRevisions>false</trackRevisions>
    </reviewItem>
    <reviewItem>
      <errorID>1ea04ac7-dc27-4a0d-949f-48622e13cde5</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3445DE7D</paraID>
      <start>3</start>
      <end>12</end>
      <status>ignored</status>
      <modifiedWord/>
      <trackRevisions>false</trackRevisions>
    </reviewItem>
    <reviewItem>
      <errorID>ade45bc4-cbae-4192-9ef0-cab41734bd53</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7775400B</paraID>
      <start>3</start>
      <end>11</end>
      <status>modified</status>
      <modifiedWord>饮用水水源保护区</modifiedWord>
      <trackRevisions>false</trackRevisions>
    </reviewItem>
    <reviewItem>
      <errorID>8cbf88fe-d886-4777-bc98-7b7471921f46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CD650F7</paraID>
      <start>0</start>
      <end>2</end>
      <status>ignored</status>
      <modifiedWord/>
      <trackRevisions>false</trackRevisions>
    </reviewItem>
    <reviewItem>
      <errorID>da8937df-fbf1-4374-9f00-3cf494b8bb17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73DAF570</paraID>
      <start>22</start>
      <end>23</end>
      <status>ignored</status>
      <modifiedWord/>
      <trackRevisions>false</trackRevisions>
    </reviewItem>
    <reviewItem>
      <errorID>7cebbd7b-bef3-4125-b1d8-d4c2333e4024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73DAF570</paraID>
      <start>37</start>
      <end>38</end>
      <status>ignored</status>
      <modifiedWord/>
      <trackRevisions>false</trackRevisions>
    </reviewItem>
    <reviewItem>
      <errorID>a6310c9e-1422-45d8-b14c-13f945dda52d</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 464B3A5</paraID>
      <start>38</start>
      <end>46</end>
      <status>modified</status>
      <modifiedWord>饮用水水源保护区</modifiedWord>
      <trackRevisions>false</trackRevisions>
    </reviewItem>
    <reviewItem>
      <errorID>d2ee5238-5780-499c-b325-2a5711483028</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 F60D481</paraID>
      <start>51</start>
      <end>59</end>
      <status>modified</status>
      <modifiedWord>饮用水水源保护区</modifiedWord>
      <trackRevisions>false</trackRevisions>
    </reviewItem>
    <reviewItem>
      <errorID>f753851b-d0c0-4a15-a7ce-8288ec9c7235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3FC94FE9</paraID>
      <start>62</start>
      <end>63</end>
      <status>ignored</status>
      <modifiedWord/>
      <trackRevisions>false</trackRevisions>
    </reviewItem>
    <reviewItem>
      <errorID>5ec66506-4ad4-40ba-8071-a8e55100f0c1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C6E7208</paraID>
      <start>109</start>
      <end>110</end>
      <status>ignored</status>
      <modifiedWord/>
      <trackRevisions>false</trackRevisions>
    </reviewItem>
    <reviewItem>
      <errorID>b0a174cd-f99c-4d17-8bcf-f6d11166a7be</errorID>
      <errorWord>(</errorWord>
      <group>L1_Format</group>
      <groupName>格式问题</groupName>
      <ability>L2_HalfPunc_CN</ability>
      <abilityName>全半角问题</abilityName>
      <candidateList>
        <item>（</item>
      </candidateList>
      <explain>文本全半角错误。</explain>
      <paraID>6A544E7C</paraID>
      <start>30</start>
      <end>31</end>
      <status>ignored</status>
      <modifiedWord/>
      <trackRevisions>false</trackRevisions>
    </reviewItem>
    <reviewItem>
      <errorID>bbb5fce5-1705-400f-8110-9d2b6608c128</errorID>
      <errorWord>)</errorWord>
      <group>L1_Format</group>
      <groupName>格式问题</groupName>
      <ability>L2_HalfPunc_CN</ability>
      <abilityName>全半角问题</abilityName>
      <candidateList>
        <item>）</item>
      </candidateList>
      <explain>文本全半角错误。</explain>
      <paraID>6A544E7C</paraID>
      <start>33</start>
      <end>34</end>
      <status>ignored</status>
      <modifiedWord/>
      <trackRevisions>false</trackRevisions>
    </reviewItem>
    <reviewItem>
      <errorID>42adfdf1-dff2-4b22-aa40-48f1a47d5f15</errorID>
      <errorWord>(</errorWord>
      <group>L1_Format</group>
      <groupName>格式问题</groupName>
      <ability>L2_HalfPunc_CN</ability>
      <abilityName>全半角问题</abilityName>
      <candidateList>
        <item>（</item>
      </candidateList>
      <explain>文本全半角错误。</explain>
      <paraID>6A544E7C</paraID>
      <start>50</start>
      <end>51</end>
      <status>ignored</status>
      <modifiedWord/>
      <trackRevisions>false</trackRevisions>
    </reviewItem>
    <reviewItem>
      <errorID>8777ff01-b327-4051-a88f-fdd68eb5ccd8</errorID>
      <errorWord>)</errorWord>
      <group>L1_Format</group>
      <groupName>格式问题</groupName>
      <ability>L2_HalfPunc_CN</ability>
      <abilityName>全半角问题</abilityName>
      <candidateList>
        <item>）</item>
      </candidateList>
      <explain>文本全半角错误。</explain>
      <paraID>6A544E7C</paraID>
      <start>54</start>
      <end>55</end>
      <status>ignored</status>
      <modifiedWord/>
      <trackRevisions>false</trackRevisions>
    </reviewItem>
    <reviewItem>
      <errorID>25bc32e9-5d4c-4974-baa5-19a707b83b5c</errorID>
      <errorWord>(</errorWord>
      <group>L1_Format</group>
      <groupName>格式问题</groupName>
      <ability>L2_HalfPunc_CN</ability>
      <abilityName>全半角问题</abilityName>
      <candidateList>
        <item>（</item>
      </candidateList>
      <explain>文本全半角错误。</explain>
      <paraID>6A544E7C</paraID>
      <start>70</start>
      <end>71</end>
      <status>unmodified</status>
      <modifiedWord/>
      <trackRevisions>false</trackRevisions>
    </reviewItem>
    <reviewItem>
      <errorID>f537a2b7-0bab-4342-8c7f-33ef9fb0229f</errorID>
      <errorWord>)</errorWord>
      <group>L1_Format</group>
      <groupName>格式问题</groupName>
      <ability>L2_HalfPunc_CN</ability>
      <abilityName>全半角问题</abilityName>
      <candidateList>
        <item>）</item>
      </candidateList>
      <explain>文本全半角错误。</explain>
      <paraID>6A544E7C</paraID>
      <start>77</start>
      <end>78</end>
      <status>unmodified</status>
      <modifiedWord/>
      <trackRevisions>false</trackRevisions>
    </reviewItem>
    <reviewItem>
      <errorID>71bb5be4-8d91-4a85-82e7-b8d0b48d3de5</errorID>
      <errorWord>(</errorWord>
      <group>L1_Format</group>
      <groupName>格式问题</groupName>
      <ability>L2_HalfPunc_CN</ability>
      <abilityName>全半角问题</abilityName>
      <candidateList>
        <item>（</item>
      </candidateList>
      <explain>文本全半角错误。</explain>
      <paraID>6A544E7C</paraID>
      <start>101</start>
      <end>102</end>
      <status>unmodified</status>
      <modifiedWord/>
      <trackRevisions>false</trackRevisions>
    </reviewItem>
    <reviewItem>
      <errorID>730e752e-fb35-4828-843c-42bb01ac60b9</errorID>
      <errorWord>)</errorWord>
      <group>L1_Format</group>
      <groupName>格式问题</groupName>
      <ability>L2_HalfPunc_CN</ability>
      <abilityName>全半角问题</abilityName>
      <candidateList>
        <item>）</item>
      </candidateList>
      <explain>文本全半角错误。</explain>
      <paraID>6A544E7C</paraID>
      <start>109</start>
      <end>110</end>
      <status>unmodified</status>
      <modifiedWord/>
      <trackRevisions>false</trackRevisions>
    </reviewItem>
    <reviewItem>
      <errorID>a729580d-a8c9-48b7-999d-003f9aa2065e</errorID>
      <errorWord>(</errorWord>
      <group>L1_Format</group>
      <groupName>格式问题</groupName>
      <ability>L2_HalfPunc_CN</ability>
      <abilityName>全半角问题</abilityName>
      <candidateList>
        <item>（</item>
      </candidateList>
      <explain>文本全半角错误。</explain>
      <paraID>6A544E7C</paraID>
      <start>130</start>
      <end>131</end>
      <status>unmodified</status>
      <modifiedWord/>
      <trackRevisions>false</trackRevisions>
    </reviewItem>
    <reviewItem>
      <errorID>45cce499-b23b-4147-8078-246feddab1d5</errorID>
      <errorWord>)</errorWord>
      <group>L1_Format</group>
      <groupName>格式问题</groupName>
      <ability>L2_HalfPunc_CN</ability>
      <abilityName>全半角问题</abilityName>
      <candidateList>
        <item>）</item>
      </candidateList>
      <explain>文本全半角错误。</explain>
      <paraID>6A544E7C</paraID>
      <start>139</start>
      <end>140</end>
      <status>unmodified</status>
      <modifiedWord/>
      <trackRevisions>false</trackRevisions>
    </reviewItem>
    <reviewItem>
      <errorID>cd6eec5c-ab4d-482e-ba1c-4c8298e909b3</errorID>
      <errorWord>.</errorWord>
      <group>L1_Format</group>
      <groupName>格式问题</groupName>
      <ability>L2_HalfPunc_CN</ability>
      <abilityName>全半角问题</abilityName>
      <candidateList>
        <item>。</item>
      </candidateList>
      <explain>文本全半角错误。</explain>
      <paraID>3C9E0CA2</paraID>
      <start>1</start>
      <end>2</end>
      <status>unmodified</status>
      <modifiedWord/>
      <trackRevisions>false</trackRevisions>
    </reviewItem>
    <reviewItem>
      <errorID>7f99e494-fdcb-4052-9d24-ff11acf08ede</errorID>
      <errorWord>.</errorWord>
      <group>L1_Format</group>
      <groupName>格式问题</groupName>
      <ability>L2_HalfPunc_CN</ability>
      <abilityName>全半角问题</abilityName>
      <candidateList>
        <item>。</item>
      </candidateList>
      <explain>文本全半角错误。</explain>
      <paraID>292BAA2D</paraID>
      <start>1</start>
      <end>2</end>
      <status>unmodified</status>
      <modifiedWord/>
      <trackRevisions>false</trackRevisions>
    </reviewItem>
    <reviewItem>
      <errorID>a67d184c-bed7-4231-86f0-453dadee9204</errorID>
      <errorWord>II</errorWord>
      <group>L1_Knowledge</group>
      <groupName>知识性问题</groupName>
      <ability>L2_Knowledge</ability>
      <abilityName>其他知识</abilityName>
      <candidateList>
        <item>Ⅱ</item>
      </candidateList>
      <explain>中文环境下罗马数字格式错误。</explain>
      <paraID> B2C3A45</paraID>
      <start>1</start>
      <end>3</end>
      <status>unmodified</status>
      <modifiedWord/>
      <trackRevisions>false</trackRevisions>
    </reviewItem>
    <reviewItem>
      <errorID>ef8e0b13-e4c2-43e0-9c5c-d2586b116932</errorID>
      <errorWord>III</errorWord>
      <group>L1_Word</group>
      <groupName>字词问题</groupName>
      <ability>L2_Typo</ability>
      <abilityName>字词错误</abilityName>
      <candidateList>
        <item>Ⅲ</item>
      </candidateList>
      <explain/>
      <paraID>4D130829</paraID>
      <start>0</start>
      <end>3</end>
      <status>unmodified</status>
      <modifiedWord/>
      <trackRevisions>false</trackRevisions>
    </reviewItem>
    <reviewItem>
      <errorID>5fae48ae-e268-4870-aad3-1c75ac787abd</errorID>
      <errorWord>III</errorWord>
      <group>L1_Knowledge</group>
      <groupName>知识性问题</groupName>
      <ability>L2_Knowledge</ability>
      <abilityName>其他知识</abilityName>
      <candidateList>
        <item>Ⅲ</item>
      </candidateList>
      <explain>中文环境下罗马数字格式错误。</explain>
      <paraID>6E2CDCB1</paraID>
      <start>3</start>
      <end>6</end>
      <status>unmodified</status>
      <modifiedWord/>
      <trackRevisions>false</trackRevisions>
    </reviewItem>
    <reviewItem>
      <errorID>549c282a-b104-442f-8e0c-303d60587433</errorID>
      <errorWord>II</errorWord>
      <group>L1_Knowledge</group>
      <groupName>知识性问题</groupName>
      <ability>L2_Knowledge</ability>
      <abilityName>其他知识</abilityName>
      <candidateList>
        <item>Ⅱ</item>
      </candidateList>
      <explain>中文环境下罗马数字格式错误。</explain>
      <paraID>576B5CE5</paraID>
      <start>4</start>
      <end>6</end>
      <status>unmodified</status>
      <modifiedWord/>
      <trackRevisions>false</trackRevisions>
    </reviewItem>
    <reviewItem>
      <errorID>cf245e39-1fea-4946-81ba-0c5cc8a3d4e9</errorID>
      <errorWord>III</errorWord>
      <group>L1_Knowledge</group>
      <groupName>知识性问题</groupName>
      <ability>L2_Knowledge</ability>
      <abilityName>其他知识</abilityName>
      <candidateList>
        <item>Ⅲ</item>
      </candidateList>
      <explain>中文环境下罗马数字格式错误。</explain>
      <paraID>576B5CE5</paraID>
      <start>7</start>
      <end>10</end>
      <status>unmodified</status>
      <modifiedWord/>
      <trackRevisions>false</trackRevisions>
    </reviewItem>
    <reviewItem>
      <errorID>534cb85c-4fd5-4693-8027-63dbf83c5177</errorID>
      <errorWord>II</errorWord>
      <group>L1_Knowledge</group>
      <groupName>知识性问题</groupName>
      <ability>L2_Knowledge</ability>
      <abilityName>其他知识</abilityName>
      <candidateList>
        <item>Ⅱ</item>
      </candidateList>
      <explain>中文环境下罗马数字格式错误。</explain>
      <paraID>576B5CE5</paraID>
      <start>20</start>
      <end>22</end>
      <status>unmodified</status>
      <modifiedWord/>
      <trackRevisions>false</trackRevisions>
    </reviewItem>
    <reviewItem>
      <errorID>93603799-a4b9-456c-ab4f-75fca6d75d94</errorID>
      <errorWord>III</errorWord>
      <group>L1_Knowledge</group>
      <groupName>知识性问题</groupName>
      <ability>L2_Knowledge</ability>
      <abilityName>其他知识</abilityName>
      <candidateList>
        <item>Ⅲ</item>
      </candidateList>
      <explain>中文环境下罗马数字格式错误。</explain>
      <paraID>576B5CE5</paraID>
      <start>25</start>
      <end>28</end>
      <status>unmodified</status>
      <modifiedWord/>
      <trackRevisions>false</trackRevisions>
    </reviewItem>
    <reviewItem>
      <errorID>8735cfe8-91e2-4477-a0c8-84d3315e8d7a</errorID>
      <errorWord>~</errorWord>
      <group>L1_Format</group>
      <groupName>格式问题</groupName>
      <ability>L2_HalfPunc_CN</ability>
      <abilityName>全半角问题</abilityName>
      <candidateList>
        <item>～</item>
      </candidateList>
      <explain>文本全半角错误。</explain>
      <paraID>1AA13E2B</paraID>
      <start>52</start>
      <end>53</end>
      <status>unmodified</status>
      <modifiedWord/>
      <trackRevisions>false</trackRevisions>
    </reviewItem>
    <reviewItem>
      <errorID>758fa893-c968-46be-be8e-a9354bbc4ff8</errorID>
      <errorWord>~</errorWord>
      <group>L1_Format</group>
      <groupName>格式问题</groupName>
      <ability>L2_HalfPunc_CN</ability>
      <abilityName>全半角问题</abilityName>
      <candidateList>
        <item>～</item>
      </candidateList>
      <explain>文本全半角错误。</explain>
      <paraID>5E6BC48E</paraID>
      <start>11</start>
      <end>12</end>
      <status>unmodified</status>
      <modifiedWord/>
      <trackRevisions>false</trackRevisions>
    </reviewItem>
    <reviewItem>
      <errorID>5699d602-ed99-423f-bb52-76c8ecec80fb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676053ED</paraID>
      <start>21</start>
      <end>22</end>
      <status>unmodified</status>
      <modifiedWord/>
      <trackRevisions>false</trackRevisions>
    </reviewItem>
    <reviewItem>
      <errorID>d2f070e5-da29-4b0c-b172-12af332aa2b9</errorID>
      <errorWord>.、</errorWord>
      <group>L1_Punc</group>
      <groupName>标点问题</groupName>
      <ability>L2_Punc_CN</ability>
      <abilityName>标点符号问题</abilityName>
      <candidateList>
        <item>.</item>
      </candidateList>
      <explain/>
      <paraID>676053ED</paraID>
      <start>147</start>
      <end>149</end>
      <status>unmodified</status>
      <modifiedWord/>
      <trackRevisions>false</trackRevisions>
    </reviewItem>
    <reviewItem>
      <errorID>8ea4d520-2030-4fc2-9aae-1923ca31376f</errorID>
      <errorWord>5-8%</errorWord>
      <group>L1_Knowledge</group>
      <groupName>知识性问题</groupName>
      <ability>L2_Knowledge</ability>
      <abilityName>其他知识</abilityName>
      <candidateList>
        <item>5%—8%</item>
      </candidateList>
      <explain>1. “5-8%”中的单位“%”仅出现在后一个数字上，容易引起歧义；根据《现代汉语标点符号数字用法规范手册》，数字表示范围两边需要使用统一的格式。2. 根据标点国标 4.13 中的规则，数字、时间或地域连接符应使用（视觉上更长的）“—”或“～”。</explain>
      <paraID>53A646AD</paraID>
      <start>36</start>
      <end>40</end>
      <status>unmodified</status>
      <modifiedWord/>
      <trackRevisions>false</trackRevisions>
    </reviewItem>
    <reviewItem>
      <errorID>37cac1b5-11b8-453d-b382-c1d23973bb4b</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2CF23D01</paraID>
      <start>21</start>
      <end>27</end>
      <status>unmodified</status>
      <modifiedWord/>
      <trackRevisions>false</trackRevisions>
    </reviewItem>
    <reviewItem>
      <errorID>7f166ff8-f904-4475-870c-ef6a0a50ebb6</errorID>
      <errorWord>模</errorWord>
      <group>L1_Word</group>
      <groupName>字词问题</groupName>
      <ability>L2_Typo</ability>
      <abilityName>字词错误</abilityName>
      <candidateList>
        <item>茅</item>
      </candidateList>
      <explain>存在发音相近字词的误用。</explain>
      <paraID>7B15487C</paraID>
      <start>143</start>
      <end>144</end>
      <status>unmodified</status>
      <modifiedWord/>
      <trackRevisions>false</trackRevisions>
    </reviewItem>
    <reviewItem>
      <errorID>2b009856-1e2f-4c8f-b45b-8a1e52e0fc06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46A55A13</paraID>
      <start>39</start>
      <end>40</end>
      <status>unmodified</status>
      <modifiedWord/>
      <trackRevisions>false</trackRevisions>
    </reviewItem>
    <reviewItem>
      <errorID>57eb2427-033d-4ee3-a900-c3d3ce932ea9</errorID>
      <errorWord>种</errorWord>
      <group>L1_Word</group>
      <groupName>字词问题</groupName>
      <ability>L2_Typo</ability>
      <abilityName>字词错误</abilityName>
      <candidateList>
        <item>中</item>
      </candidateList>
      <explain/>
      <paraID>16E8C534</paraID>
      <start>36</start>
      <end>37</end>
      <status>modified</status>
      <modifiedWord>中</modifiedWord>
      <trackRevisions>false</trackRevisions>
    </reviewItem>
    <reviewItem>
      <errorID>e98c3d0d-00bb-4380-8d86-48a55bf5e977</errorID>
      <errorWord>油脂植物，</errorWord>
      <group>L1_Word</group>
      <groupName>字词问题</groupName>
      <ability>L2_Typo</ability>
      <abilityName>字词错误</abilityName>
      <candidateList>
        <item>油料植物，</item>
      </candidateList>
      <explain/>
      <paraID>4FB06115</paraID>
      <start>9</start>
      <end>14</end>
      <status>unmodified</status>
      <modifiedWord/>
      <trackRevisions>false</trackRevisions>
    </reviewItem>
    <reviewItem>
      <errorID>49cbb4dd-33c9-4949-9302-b851cffc99e0</errorID>
      <errorWord>-</errorWord>
      <group>L1_Format</group>
      <groupName>格式问题</groupName>
      <ability>L2_HalfPunc_CN</ability>
      <abilityName>全半角问题</abilityName>
      <candidateList>
        <item>－</item>
      </candidateList>
      <explain>文本全半角错误。</explain>
      <paraID>24B28FC1</paraID>
      <start>171</start>
      <end>172</end>
      <status>unmodified</status>
      <modifiedWord/>
      <trackRevisions>false</trackRevisions>
    </reviewItem>
    <reviewItem>
      <errorID>ef2040ed-b715-4aee-86c0-f7163056eff2</errorID>
      <errorWord>过度</errorWord>
      <group>L1_Word</group>
      <groupName>字词问题</groupName>
      <ability>L2_Typo</ability>
      <abilityName>字词错误</abilityName>
      <candidateList>
        <item>过渡</item>
      </candidateList>
      <explain/>
      <paraID>24B28FC1</paraID>
      <start>185</start>
      <end>187</end>
      <status>modified</status>
      <modifiedWord>过渡</modifiedWord>
      <trackRevisions>false</trackRevisions>
    </reviewItem>
    <reviewItem>
      <errorID>8b8b8f90-3882-4ae1-95c7-344271c8aa6a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450017F3</paraID>
      <start>0</start>
      <end>2</end>
      <status>ignored</status>
      <modifiedWord/>
      <trackRevisions>false</trackRevisions>
    </reviewItem>
    <reviewItem>
      <errorID>5659ddeb-e099-4874-9438-3e897a694079</errorID>
      <errorWord>II</errorWord>
      <group>L1_Knowledge</group>
      <groupName>知识性问题</groupName>
      <ability>L2_Knowledge</ability>
      <abilityName>其他知识</abilityName>
      <candidateList>
        <item>Ⅱ</item>
      </candidateList>
      <explain>中文环境下罗马数字格式错误。</explain>
      <paraID>48213AAC</paraID>
      <start>1</start>
      <end>3</end>
      <status>ignored</status>
      <modifiedWord/>
      <trackRevisions>false</trackRevisions>
    </reviewItem>
    <reviewItem>
      <errorID>b58bbbd0-162d-42e1-a1ca-0bad0b71fca2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3DD4A3A3</paraID>
      <start>0</start>
      <end>2</end>
      <status>ignored</status>
      <modifiedWord/>
      <trackRevisions>false</trackRevisions>
    </reviewItem>
    <reviewItem>
      <errorID>0a2b3717-3e38-4ae3-8c47-5fd4c8f108d7</errorID>
      <errorWord>III</errorWord>
      <group>L1_Knowledge</group>
      <groupName>知识性问题</groupName>
      <ability>L2_Knowledge</ability>
      <abilityName>其他知识</abilityName>
      <candidateList>
        <item>Ⅲ</item>
      </candidateList>
      <explain>中文环境下罗马数字格式错误。</explain>
      <paraID> BEA064A</paraID>
      <start>1</start>
      <end>4</end>
      <status>ignored</status>
      <modifiedWord/>
      <trackRevisions>false</trackRevisions>
    </reviewItem>
    <reviewItem>
      <errorID>76ac8547-dc06-482c-9845-e88161d62ee1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2C000240</paraID>
      <start>0</start>
      <end>2</end>
      <status>ignored</status>
      <modifiedWord/>
      <trackRevisions>false</trackRevisions>
    </reviewItem>
    <reviewItem>
      <errorID>63d7abf9-e58d-4e30-8515-cb5077847697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D89DE43</paraID>
      <start>34</start>
      <end>35</end>
      <status>ignored</status>
      <modifiedWord/>
      <trackRevisions>false</trackRevisions>
    </reviewItem>
    <reviewItem>
      <errorID>6ac92450-b2df-43be-81db-447fef14e46c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D89DE43</paraID>
      <start>66</start>
      <end>67</end>
      <status>ignored</status>
      <modifiedWord/>
      <trackRevisions>false</trackRevisions>
    </reviewItem>
    <reviewItem>
      <errorID>1d8e5856-e1c6-4f66-93c9-20e6eb9adc95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77183DF2</paraID>
      <start>34</start>
      <end>35</end>
      <status>ignored</status>
      <modifiedWord/>
      <trackRevisions>false</trackRevisions>
    </reviewItem>
    <reviewItem>
      <errorID>cef32127-1778-42e4-8fd0-781e6d269dd5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34E3B7DF</paraID>
      <start>122</start>
      <end>123</end>
      <status>ignored</status>
      <modifiedWord/>
      <trackRevisions>false</trackRevisions>
    </reviewItem>
    <reviewItem>
      <errorID>5578bfea-828f-47c2-809f-487600662f30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4845B329</paraID>
      <start>62</start>
      <end>63</end>
      <status>ignored</status>
      <modifiedWord/>
      <trackRevisions>false</trackRevisions>
    </reviewItem>
    <reviewItem>
      <errorID>f6599cf5-9c1e-4c74-944c-3798a37462b1</errorID>
      <errorWord>Scincida</errorWord>
      <group>L1_English</group>
      <groupName>英文问题</groupName>
      <ability>L2_Spell</ability>
      <abilityName>拼写问题</abilityName>
      <candidateList>
        <item>Scincidae</item>
      </candidateList>
      <explain>疑似单词拼写有误，建议将Scincida修改为Scincidae</explain>
      <paraID>12BA73F2</paraID>
      <start>4</start>
      <end>12</end>
      <status>ignored</status>
      <modifiedWord/>
      <trackRevisions>false</trackRevisions>
    </reviewItem>
    <reviewItem>
      <errorID>c350ac7b-0b9c-4ba2-937c-c106b64fd6c8</errorID>
      <errorWord>Pheasianidae</errorWord>
      <group>L1_English</group>
      <groupName>英文问题</groupName>
      <ability>L2_Spell</ability>
      <abilityName>拼写问题</abilityName>
      <candidateList>
        <item>Phasianidae</item>
      </candidateList>
      <explain>疑似单词拼写有误，建议将Pheasianidae修改为Phasianidae</explain>
      <paraID>474F774F</paraID>
      <start>3</start>
      <end>15</end>
      <status>ignored</status>
      <modifiedWord/>
      <trackRevisions>false</trackRevisions>
    </reviewItem>
    <reviewItem>
      <errorID>0e125cc4-e097-4477-b60a-e39a3fc5664e</errorID>
      <errorWord>II级</errorWord>
      <group>L1_Knowledge</group>
      <groupName>知识性问题</groupName>
      <ability>L2_Knowledge</ability>
      <abilityName>其他知识</abilityName>
      <candidateList>
        <item>Ⅱ级</item>
      </candidateList>
      <explain>中文环境下罗马数字格式错误。</explain>
      <paraID>1106FCF3</paraID>
      <start>23</start>
      <end>26</end>
      <status>ignored</status>
      <modifiedWord/>
      <trackRevisions>false</trackRevisions>
    </reviewItem>
    <reviewItem>
      <errorID>e754337b-077d-42c3-8c85-ed13e21fdafc</errorID>
      <errorWord>II级</errorWord>
      <group>L1_Knowledge</group>
      <groupName>知识性问题</groupName>
      <ability>L2_Knowledge</ability>
      <abilityName>其他知识</abilityName>
      <candidateList>
        <item>Ⅱ级</item>
      </candidateList>
      <explain>中文环境下罗马数字格式错误。</explain>
      <paraID>413D9F67</paraID>
      <start>2</start>
      <end>5</end>
      <status>ignored</status>
      <modifiedWord/>
      <trackRevisions>false</trackRevisions>
    </reviewItem>
    <reviewItem>
      <errorID>70f0d21b-9d5a-40af-bfab-8ac374a3ab22</errorID>
      <errorWord>II级</errorWord>
      <group>L1_Knowledge</group>
      <groupName>知识性问题</groupName>
      <ability>L2_Knowledge</ability>
      <abilityName>其他知识</abilityName>
      <candidateList>
        <item>Ⅱ级</item>
      </candidateList>
      <explain>中文环境下罗马数字格式错误。</explain>
      <paraID>618119A9</paraID>
      <start>2</start>
      <end>5</end>
      <status>ignored</status>
      <modifiedWord/>
      <trackRevisions>false</trackRevisions>
    </reviewItem>
    <reviewItem>
      <errorID>77ba292c-df6c-49e4-8e06-76789673bc94</errorID>
      <errorWord>II级</errorWord>
      <group>L1_Knowledge</group>
      <groupName>知识性问题</groupName>
      <ability>L2_Knowledge</ability>
      <abilityName>其他知识</abilityName>
      <candidateList>
        <item>Ⅱ级</item>
      </candidateList>
      <explain>中文环境下罗马数字格式错误。</explain>
      <paraID>624B840B</paraID>
      <start>2</start>
      <end>5</end>
      <status>ignored</status>
      <modifiedWord/>
      <trackRevisions>false</trackRevisions>
    </reviewItem>
    <reviewItem>
      <errorID>4098417f-4ab1-4a0a-92d5-f1ac26aa155a</errorID>
      <errorWord>II级</errorWord>
      <group>L1_Knowledge</group>
      <groupName>知识性问题</groupName>
      <ability>L2_Knowledge</ability>
      <abilityName>其他知识</abilityName>
      <candidateList>
        <item>Ⅱ级</item>
      </candidateList>
      <explain>中文环境下罗马数字格式错误。</explain>
      <paraID>51C76ECF</paraID>
      <start>2</start>
      <end>5</end>
      <status>ignored</status>
      <modifiedWord/>
      <trackRevisions>false</trackRevisions>
    </reviewItem>
    <reviewItem>
      <errorID>7f2996da-967c-42d8-bcf4-1597fd9bc7e2</errorID>
      <errorWord>II级</errorWord>
      <group>L1_Knowledge</group>
      <groupName>知识性问题</groupName>
      <ability>L2_Knowledge</ability>
      <abilityName>其他知识</abilityName>
      <candidateList>
        <item>Ⅱ级</item>
      </candidateList>
      <explain>中文环境下罗马数字格式错误。</explain>
      <paraID>24A2EE03</paraID>
      <start>2</start>
      <end>5</end>
      <status>unmodified</status>
      <modifiedWord/>
      <trackRevisions>false</trackRevisions>
    </reviewItem>
    <reviewItem>
      <errorID>1603650e-3a0b-4931-9170-f57a863a2f97</errorID>
      <errorWord>成</errorWord>
      <group>L1_Word</group>
      <groupName>字词问题</groupName>
      <ability>L2_Typo</ability>
      <abilityName>字词错误</abilityName>
      <candidateList>
        <item>呈</item>
      </candidateList>
      <explain/>
      <paraID>278454B5</paraID>
      <start>177</start>
      <end>178</end>
      <status>modified</status>
      <modifiedWord>呈</modifiedWord>
      <trackRevisions>false</trackRevisions>
    </reviewItem>
    <reviewItem>
      <errorID>1f03899f-50f0-4613-a084-02767f3ca52d</errorID>
      <errorWord>下体</errorWord>
      <group>L1_Sensitive</group>
      <groupName>敏感问题</groupName>
      <ability>L2_Yellow</ability>
      <abilityName>涉黄内容</abilityName>
      <candidateList/>
      <explain>【涉黄词条】句中包含涉黄敏感词条，请注意甄别。</explain>
      <paraID>6D0EB04E</paraID>
      <start>59</start>
      <end>61</end>
      <status>ignored</status>
      <modifiedWord/>
      <trackRevisions>false</trackRevisions>
    </reviewItem>
    <reviewItem>
      <errorID>ce482116-6669-4ac6-9c12-73a659650a6a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61844FFD</paraID>
      <start>23</start>
      <end>24</end>
      <status>ignored</status>
      <modifiedWord/>
      <trackRevisions>false</trackRevisions>
    </reviewItem>
    <reviewItem>
      <errorID>f4422284-9c49-4582-bb8d-cbe4018a5055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2BFD7BC5</paraID>
      <start>29</start>
      <end>30</end>
      <status>unmodified</status>
      <modifiedWord/>
      <trackRevisions>false</trackRevisions>
    </reviewItem>
    <reviewItem>
      <errorID>60a25285-872d-477f-a484-8be3451bedf2</errorID>
      <errorWord>蹠</errorWord>
      <group>L1_Word</group>
      <groupName>字词问题</groupName>
      <ability>L2_Variant</ability>
      <abilityName>异形词</abilityName>
      <candidateList>
        <item>跖</item>
      </candidateList>
      <explain>词汇[蹠]的规范词形写作[跖]。</explain>
      <paraID>7921DF2B</paraID>
      <start>19</start>
      <end>20</end>
      <status>unmodified</status>
      <modifiedWord/>
      <trackRevisions>false</trackRevisions>
    </reviewItem>
    <reviewItem>
      <errorID>904b7699-cc94-41e8-b6ba-b609d8529f30</errorID>
      <errorWord>II级</errorWord>
      <group>L1_Knowledge</group>
      <groupName>知识性问题</groupName>
      <ability>L2_Knowledge</ability>
      <abilityName>其他知识</abilityName>
      <candidateList>
        <item>Ⅱ级</item>
      </candidateList>
      <explain>中文环境下罗马数字格式错误。</explain>
      <paraID>237B67A3</paraID>
      <start>50</start>
      <end>53</end>
      <status>unmodified</status>
      <modifiedWord/>
      <trackRevisions>false</trackRevisions>
    </reviewItem>
    <reviewItem>
      <errorID>3cd115e9-bf95-4a1d-a43c-d1f49d5ee905</errorID>
      <errorWord>;</errorWord>
      <group>L1_Format</group>
      <groupName>格式问题</groupName>
      <ability>L2_HalfPunc_CN</ability>
      <abilityName>全半角问题</abilityName>
      <candidateList>
        <item>；</item>
      </candidateList>
      <explain>文本全半角错误。</explain>
      <paraID> 4B7D339</paraID>
      <start>30</start>
      <end>31</end>
      <status>modified</status>
      <modifiedWord>；</modifiedWord>
      <trackRevisions>false</trackRevisions>
    </reviewItem>
    <reviewItem>
      <errorID>b6967ded-81fe-49cc-bf9c-d82b17bf07d5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718E0892</paraID>
      <start>133</start>
      <end>134</end>
      <status>unmodified</status>
      <modifiedWord/>
      <trackRevisions>false</trackRevisions>
    </reviewItem>
    <reviewItem>
      <errorID>8521f272-dd99-44f3-8077-2a3005b17fb6</errorID>
      <errorWord>~</errorWord>
      <group>L1_Format</group>
      <groupName>格式问题</groupName>
      <ability>L2_HalfPunc_CN</ability>
      <abilityName>全半角问题</abilityName>
      <candidateList>
        <item>～</item>
      </candidateList>
      <explain>文本全半角错误。</explain>
      <paraID>59BA6D4F</paraID>
      <start>13</start>
      <end>14</end>
      <status>unmodified</status>
      <modifiedWord/>
      <trackRevisions>false</trackRevisions>
    </reviewItem>
    <reviewItem>
      <errorID>7de3b4c4-5805-449b-bf16-295d55606aca</errorID>
      <errorWord>~</errorWord>
      <group>L1_Format</group>
      <groupName>格式问题</groupName>
      <ability>L2_HalfPunc_CN</ability>
      <abilityName>全半角问题</abilityName>
      <candidateList>
        <item>～</item>
      </candidateList>
      <explain>文本全半角错误。</explain>
      <paraID>59BA6D4F</paraID>
      <start>23</start>
      <end>24</end>
      <status>unmodified</status>
      <modifiedWord/>
      <trackRevisions>false</trackRevisions>
    </reviewItem>
    <reviewItem>
      <errorID>d9fe6ecc-1657-49ca-9402-1d0aeae1a12e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28F3AE0</paraID>
      <start>402</start>
      <end>405</end>
      <status>unmodified</status>
      <modifiedWord/>
      <trackRevisions>false</trackRevisions>
    </reviewItem>
    <reviewItem>
      <errorID>77914cd8-5362-4307-b754-c80ee1d1ab4b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40FF5EF6</paraID>
      <start>8</start>
      <end>9</end>
      <status>unmodified</status>
      <modifiedWord/>
      <trackRevisions>false</trackRevisions>
    </reviewItem>
    <reviewItem>
      <errorID>749a0238-566d-417e-9180-451bc2dffd16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15857913</paraID>
      <start>22</start>
      <end>23</end>
      <status>unmodified</status>
      <modifiedWord/>
      <trackRevisions>false</trackRevisions>
    </reviewItem>
    <reviewItem>
      <errorID>6c0d3282-8051-480f-8841-964b3432768d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5358E55B</paraID>
      <start>7</start>
      <end>8</end>
      <status>unmodified</status>
      <modifiedWord/>
      <trackRevisions>false</trackRevisions>
    </reviewItem>
    <reviewItem>
      <errorID>4c57a7e8-0269-426a-a8f1-b1885d6af13c</errorID>
      <errorWord>(</errorWord>
      <group>L1_Format</group>
      <groupName>格式问题</groupName>
      <ability>L2_HalfPunc_CN</ability>
      <abilityName>全半角问题</abilityName>
      <candidateList>
        <item>（</item>
      </candidateList>
      <explain>文本全半角错误。</explain>
      <paraID>6AA4FF32</paraID>
      <start>2</start>
      <end>3</end>
      <status>unmodified</status>
      <modifiedWord/>
      <trackRevisions>false</trackRevisions>
    </reviewItem>
    <reviewItem>
      <errorID>590fad1f-6f50-4375-b208-c1d854fc2aca</errorID>
      <errorWord>)</errorWord>
      <group>L1_Format</group>
      <groupName>格式问题</groupName>
      <ability>L2_HalfPunc_CN</ability>
      <abilityName>全半角问题</abilityName>
      <candidateList>
        <item>）</item>
      </candidateList>
      <explain>文本全半角错误。</explain>
      <paraID>6AA4FF32</paraID>
      <start>4</start>
      <end>5</end>
      <status>unmodified</status>
      <modifiedWord/>
      <trackRevisions>false</trackRevisions>
    </reviewItem>
    <reviewItem>
      <errorID>55774b28-2938-4236-9766-2a70629d7587</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BA9F415</paraID>
      <start>40</start>
      <end>47</end>
      <status>unmodified</status>
      <modifiedWord/>
      <trackRevisions>false</trackRevisions>
    </reviewItem>
    <reviewItem>
      <errorID>9fc3b8c0-c299-4827-9929-5333c9894d57</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BA9F415</paraID>
      <start>88</start>
      <end>95</end>
      <status>unmodified</status>
      <modifiedWord/>
      <trackRevisions>false</trackRevisions>
    </reviewItem>
    <reviewItem>
      <errorID>94c15f01-f06f-4afd-9f59-0c41a1a0b5f2</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BA9F415</paraID>
      <start>125</start>
      <end>132</end>
      <status>unmodified</status>
      <modifiedWord/>
      <trackRevisions>false</trackRevisions>
    </reviewItem>
    <reviewItem>
      <errorID>508e0de9-da79-46aa-a6dd-e31c203476b6</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BA9F415</paraID>
      <start>172</start>
      <end>177</end>
      <status>unmodified</status>
      <modifiedWord/>
      <trackRevisions>false</trackRevisions>
    </reviewItem>
    <reviewItem>
      <errorID>0af94676-1e3b-4f70-80df-b8d1627cc0aa</errorID>
      <errorWord>~</errorWord>
      <group>L1_Format</group>
      <groupName>格式问题</groupName>
      <ability>L2_HalfPunc_CN</ability>
      <abilityName>全半角问题</abilityName>
      <candidateList>
        <item>～</item>
      </candidateList>
      <explain>文本全半角错误。</explain>
      <paraID>35052253</paraID>
      <start>50</start>
      <end>51</end>
      <status>unmodified</status>
      <modifiedWord/>
      <trackRevisions>false</trackRevisions>
    </reviewItem>
    <reviewItem>
      <errorID>d7ee73ff-263d-4a92-9a18-7cb4f2200fee</errorID>
      <errorWord>~</errorWord>
      <group>L1_Format</group>
      <groupName>格式问题</groupName>
      <ability>L2_HalfPunc_CN</ability>
      <abilityName>全半角问题</abilityName>
      <candidateList>
        <item>～</item>
      </candidateList>
      <explain>文本全半角错误。</explain>
      <paraID>18E59542</paraID>
      <start>24</start>
      <end>25</end>
      <status>unmodified</status>
      <modifiedWord/>
      <trackRevisions>false</trackRevisions>
    </reviewItem>
    <reviewItem>
      <errorID>1ccb7e8c-3694-47a8-809a-69ae501fd0a8</errorID>
      <errorWord>48~56%</errorWord>
      <group>L1_Knowledge</group>
      <groupName>知识性问题</groupName>
      <ability>L2_Knowledge</ability>
      <abilityName>其他知识</abilityName>
      <candidateList>
        <item>48%～56%</item>
      </candidateList>
      <explain>1. “48~56%”中的单位“%”仅出现在后一个数字上，容易引起歧义；根据《现代汉语标点符号数字用法规范手册》，数字表示范围两边需要使用统一的格式。2. 根据标点国标 4.13 中的规则，数字、时间或地域连接符应使用（视觉上更长的）“—”或“～”。</explain>
      <paraID>18E59542</paraID>
      <start>59</start>
      <end>65</end>
      <status>unmodified</status>
      <modifiedWord/>
      <trackRevisions>false</trackRevisions>
    </reviewItem>
    <reviewItem>
      <errorID>5bf8dfee-bb66-4743-8966-3c0bb293496d</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44229973</paraID>
      <start>69</start>
      <end>78</end>
      <status>unmodified</status>
      <modifiedWord/>
      <trackRevisions>false</trackRevisions>
    </reviewItem>
    <reviewItem>
      <errorID>6abe1f2c-dd03-4baf-8387-fb7764910941</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44229973</paraID>
      <start>102</start>
      <end>111</end>
      <status>unmodified</status>
      <modifiedWord/>
      <trackRevisions>false</trackRevisions>
    </reviewItem>
    <reviewItem>
      <errorID>54097328-4217-42d8-81de-838da0326255</errorID>
      <errorWord>档</errorWord>
      <group>L1_Word</group>
      <groupName>字词问题</groupName>
      <ability>L2_Typo</ability>
      <abilityName>字词错误</abilityName>
      <candidateList>
        <item>挡</item>
      </candidateList>
      <explain>存在发音相同字词的误用。</explain>
      <paraID>2D8D909B</paraID>
      <start>3</start>
      <end>4</end>
      <status>unmodified</status>
      <modifiedWord/>
      <trackRevisions>false</trackRevisions>
    </reviewItem>
    <reviewItem>
      <errorID>94a2be49-7f55-4da1-8578-548355c91356</errorID>
      <errorWord>档</errorWord>
      <group>L1_Word</group>
      <groupName>字词问题</groupName>
      <ability>L2_Typo</ability>
      <abilityName>字词错误</abilityName>
      <candidateList>
        <item>挡</item>
      </candidateList>
      <explain>存在发音相同字词的误用。</explain>
      <paraID>49186B7F</paraID>
      <start>3</start>
      <end>4</end>
      <status>unmodified</status>
      <modifiedWord/>
      <trackRevisions>false</trackRevisions>
    </reviewItem>
    <reviewItem>
      <errorID>56535340-07a4-4335-b374-8944726fe246</errorID>
      <errorWord>档</errorWord>
      <group>L1_Word</group>
      <groupName>字词问题</groupName>
      <ability>L2_Typo</ability>
      <abilityName>字词错误</abilityName>
      <candidateList>
        <item>挡</item>
      </candidateList>
      <explain>存在发音相同字词的误用。</explain>
      <paraID>26C3B15E</paraID>
      <start>3</start>
      <end>4</end>
      <status>unmodified</status>
      <modifiedWord/>
      <trackRevisions>false</trackRevisions>
    </reviewItem>
    <reviewItem>
      <errorID>97818ed1-ae82-4e84-91bd-adfc77e99a11</errorID>
      <errorWord>档</errorWord>
      <group>L1_Word</group>
      <groupName>字词问题</groupName>
      <ability>L2_Typo</ability>
      <abilityName>字词错误</abilityName>
      <candidateList>
        <item>挡</item>
      </candidateList>
      <explain>存在发音相同字词的误用。</explain>
      <paraID>5D3A0F3E</paraID>
      <start>3</start>
      <end>4</end>
      <status>unmodified</status>
      <modifiedWord/>
      <trackRevisions>false</trackRevisions>
    </reviewItem>
    <reviewItem>
      <errorID>d1d78c45-be0e-4e0c-b9cc-c2f6a55c05a2</errorID>
      <errorWord>档</errorWord>
      <group>L1_Word</group>
      <groupName>字词问题</groupName>
      <ability>L2_Typo</ability>
      <abilityName>字词错误</abilityName>
      <candidateList>
        <item>挡</item>
      </candidateList>
      <explain>存在发音相同字词的误用。</explain>
      <paraID>253B9634</paraID>
      <start>3</start>
      <end>4</end>
      <status>unmodified</status>
      <modifiedWord/>
      <trackRevisions>false</trackRevisions>
    </reviewItem>
    <reviewItem>
      <errorID>2aa5f4d7-61b6-461b-99b8-5d2c7d5de6b1</errorID>
      <errorWord>～</errorWord>
      <group>L1_Format</group>
      <groupName>格式问题</groupName>
      <ability>L2_HalfPunc_CN</ability>
      <abilityName>全半角问题</abilityName>
      <candidateList>
        <item>~</item>
      </candidateList>
      <explain>文本全半角错误。</explain>
      <paraID>7E493FA2</paraID>
      <start>1</start>
      <end>2</end>
      <status>unmodified</status>
      <modifiedWord/>
      <trackRevisions>false</trackRevisions>
    </reviewItem>
    <reviewItem>
      <errorID>826bd284-28af-4aeb-88d3-27521e61ae29</errorID>
      <errorWord>曝露</errorWord>
      <group>L1_Word</group>
      <groupName>字词问题</groupName>
      <ability>L2_Typo</ability>
      <abilityName>字词错误</abilityName>
      <candidateList>
        <item>暴露</item>
      </candidateList>
      <explain/>
      <paraID>63C4EABD</paraID>
      <start>46</start>
      <end>48</end>
      <status>unmodified</status>
      <modifiedWord/>
      <trackRevisions>false</trackRevisions>
    </reviewItem>
    <reviewItem>
      <errorID>4e80f09d-0ec3-40a6-99ff-892c12aa4c43</errorID>
      <errorWord>）</errorWord>
      <group>L1_Format</group>
      <groupName>格式问题</groupName>
      <ability>L2_HalfPunc_CN</ability>
      <abilityName>全半角问题</abilityName>
      <candidateList>
        <item>)</item>
      </candidateList>
      <explain>文本全半角错误。</explain>
      <paraID>618BF48A</paraID>
      <start>13</start>
      <end>14</end>
      <status>unmodified</status>
      <modifiedWord/>
      <trackRevisions>false</trackRevisions>
    </reviewItem>
    <reviewItem>
      <errorID>749ebaab-8d9e-4641-baec-bd381ff05e6e</errorID>
      <errorWord>）</errorWord>
      <group>L1_Format</group>
      <groupName>格式问题</groupName>
      <ability>L2_HalfPunc_CN</ability>
      <abilityName>全半角问题</abilityName>
      <candidateList>
        <item>)</item>
      </candidateList>
      <explain>文本全半角错误。</explain>
      <paraID>513146F2</paraID>
      <start>11</start>
      <end>12</end>
      <status>unmodified</status>
      <modifiedWord/>
      <trackRevisions>false</trackRevisions>
    </reviewItem>
    <reviewItem>
      <errorID>18357877-7245-4a63-83ba-a7ba0c1014fa</errorID>
      <errorWord>(</errorWord>
      <group>L1_Format</group>
      <groupName>格式问题</groupName>
      <ability>L2_HalfPunc_CN</ability>
      <abilityName>全半角问题</abilityName>
      <candidateList>
        <item>（</item>
      </candidateList>
      <explain>文本全半角错误。</explain>
      <paraID>338AF980</paraID>
      <start>8</start>
      <end>9</end>
      <status>unmodified</status>
      <modifiedWord/>
      <trackRevisions>false</trackRevisions>
    </reviewItem>
    <reviewItem>
      <errorID>ed770925-a7e0-4b5d-837c-c2244c364ab1</errorID>
      <errorWord>)</errorWord>
      <group>L1_Format</group>
      <groupName>格式问题</groupName>
      <ability>L2_HalfPunc_CN</ability>
      <abilityName>全半角问题</abilityName>
      <candidateList>
        <item>）</item>
      </candidateList>
      <explain>文本全半角错误。</explain>
      <paraID>338AF980</paraID>
      <start>10</start>
      <end>11</end>
      <status>unmodified</status>
      <modifiedWord/>
      <trackRevisions>false</trackRevisions>
    </reviewItem>
    <reviewItem>
      <errorID>22aec6c6-68f9-4035-8bec-74df2b0e7763</errorID>
      <errorWord>(</errorWord>
      <group>L1_Format</group>
      <groupName>格式问题</groupName>
      <ability>L2_HalfPunc_CN</ability>
      <abilityName>全半角问题</abilityName>
      <candidateList>
        <item>（</item>
      </candidateList>
      <explain>文本全半角错误。</explain>
      <paraID>49EA947F</paraID>
      <start>4</start>
      <end>5</end>
      <status>unmodified</status>
      <modifiedWord/>
      <trackRevisions>false</trackRevisions>
    </reviewItem>
    <reviewItem>
      <errorID>e6da9e41-d035-4c95-b725-7803f825207f</errorID>
      <errorWord>)</errorWord>
      <group>L1_Format</group>
      <groupName>格式问题</groupName>
      <ability>L2_HalfPunc_CN</ability>
      <abilityName>全半角问题</abilityName>
      <candidateList>
        <item>）</item>
      </candidateList>
      <explain>文本全半角错误。</explain>
      <paraID>49EA947F</paraID>
      <start>8</start>
      <end>9</end>
      <status>unmodified</status>
      <modifiedWord/>
      <trackRevisions>false</trackRevisions>
    </reviewItem>
    <reviewItem>
      <errorID>947604b8-c0a0-41f1-9467-ab2dc3610d8c</errorID>
      <errorWord>(</errorWord>
      <group>L1_Format</group>
      <groupName>格式问题</groupName>
      <ability>L2_HalfPunc_CN</ability>
      <abilityName>全半角问题</abilityName>
      <candidateList>
        <item>（</item>
      </candidateList>
      <explain>文本全半角错误。</explain>
      <paraID>693265C0</paraID>
      <start>4</start>
      <end>5</end>
      <status>unmodified</status>
      <modifiedWord/>
      <trackRevisions>false</trackRevisions>
    </reviewItem>
    <reviewItem>
      <errorID>37c58bff-9d4c-4294-9010-746c5f360c19</errorID>
      <errorWord>)</errorWord>
      <group>L1_Format</group>
      <groupName>格式问题</groupName>
      <ability>L2_HalfPunc_CN</ability>
      <abilityName>全半角问题</abilityName>
      <candidateList>
        <item>）</item>
      </candidateList>
      <explain>文本全半角错误。</explain>
      <paraID>693265C0</paraID>
      <start>8</start>
      <end>9</end>
      <status>unmodified</status>
      <modifiedWord/>
      <trackRevisions>false</trackRevisions>
    </reviewItem>
    <reviewItem>
      <errorID>01994007-af98-4930-814f-a8024748840d</errorID>
      <errorWord>(</errorWord>
      <group>L1_Format</group>
      <groupName>格式问题</groupName>
      <ability>L2_HalfPunc_CN</ability>
      <abilityName>全半角问题</abilityName>
      <candidateList>
        <item>（</item>
      </candidateList>
      <explain>文本全半角错误。</explain>
      <paraID>7CC61E30</paraID>
      <start>2</start>
      <end>3</end>
      <status>unmodified</status>
      <modifiedWord/>
      <trackRevisions>false</trackRevisions>
    </reviewItem>
    <reviewItem>
      <errorID>085a1efb-360e-493b-a535-8da6c84f10d3</errorID>
      <errorWord>)</errorWord>
      <group>L1_Format</group>
      <groupName>格式问题</groupName>
      <ability>L2_HalfPunc_CN</ability>
      <abilityName>全半角问题</abilityName>
      <candidateList>
        <item>）</item>
      </candidateList>
      <explain>文本全半角错误。</explain>
      <paraID>7CC61E30</paraID>
      <start>4</start>
      <end>5</end>
      <status>unmodified</status>
      <modifiedWord/>
      <trackRevisions>false</trackRevisions>
    </reviewItem>
    <reviewItem>
      <errorID>cef5fccc-e0e5-4399-a7c8-561fd81b825b</errorID>
      <errorWord>人抬道</errorWord>
      <group>L1_Word</group>
      <groupName>字词问题</groupName>
      <ability>L2_Typo</ability>
      <abilityName>字词错误</abilityName>
      <candidateList>
        <item>人行道</item>
      </candidateList>
      <explain/>
      <paraID>4DFB47BB</paraID>
      <start>170</start>
      <end>173</end>
      <status>unmodified</status>
      <modifiedWord/>
      <trackRevisions>false</trackRevisions>
    </reviewItem>
    <reviewItem>
      <errorID>9d89a918-859d-4da0-96c6-faa338abf683</errorID>
      <errorWord>接受点</errorWord>
      <group>L1_Word</group>
      <groupName>字词问题</groupName>
      <ability>L2_Typo</ability>
      <abilityName>字词错误</abilityName>
      <candidateList>
        <item>接收点</item>
      </candidateList>
      <explain>存在发音相同字词的误用。</explain>
      <paraID> D5EF46F</paraID>
      <start>40</start>
      <end>43</end>
      <status>unmodified</status>
      <modifiedWord/>
      <trackRevisions>false</trackRevisions>
    </reviewItem>
    <reviewItem>
      <errorID>21bf7f58-c566-4f14-a08a-5c3fa5bec369</errorID>
      <errorWord>(</errorWord>
      <group>L1_Punc</group>
      <groupName>标点问题</groupName>
      <ability>L2_Punc_CN</ability>
      <abilityName>标点符号问题</abilityName>
      <candidateList/>
      <explain>同一形式括号套用。</explain>
      <paraID>30B1BA57</paraID>
      <start>13</start>
      <end>14</end>
      <status>unmodified</status>
      <modifiedWord/>
      <trackRevisions>false</trackRevisions>
    </reviewItem>
    <reviewItem>
      <errorID>300a2433-d0b2-453a-be11-1c5e43d02a96</errorID>
      <errorWord>)</errorWord>
      <group>L1_Punc</group>
      <groupName>标点问题</groupName>
      <ability>L2_Punc_CN</ability>
      <abilityName>标点符号问题</abilityName>
      <candidateList/>
      <explain>同一形式括号套用。</explain>
      <paraID>30B1BA57</paraID>
      <start>15</start>
      <end>16</end>
      <status>unmodified</status>
      <modifiedWord/>
      <trackRevisions>false</trackRevisions>
    </reviewItem>
    <reviewItem>
      <errorID>d42f3526-41f7-4e89-b1eb-cf9c3c4b4a93</errorID>
      <errorWord>）</errorWord>
      <group>L1_Punc</group>
      <groupName>标点问题</groupName>
      <ability>L2_Punc_CN</ability>
      <abilityName>标点符号问题</abilityName>
      <candidateList/>
      <explain>同一形式括号套用。</explain>
      <paraID>30B1BA57</paraID>
      <start>16</start>
      <end>17</end>
      <status>unmodified</status>
      <modifiedWord/>
      <trackRevisions>false</trackRevisions>
    </reviewItem>
    <reviewItem>
      <errorID>3a2b5438-17d9-4b15-9444-b61c001da785</errorID>
      <errorWord>窑</errorWord>
      <group>L1_Word</group>
      <groupName>字词问题</groupName>
      <ability>L2_Typo</ability>
      <abilityName>字词错误</abilityName>
      <candidateList>
        <item>窑村</item>
      </candidateList>
      <explain/>
      <paraID>21097359</paraID>
      <start>98</start>
      <end>100</end>
      <status>modified</status>
      <modifiedWord>窑村</modifiedWord>
      <trackRevisions>false</trackRevisions>
    </reviewItem>
    <reviewItem>
      <errorID>47f51bb2-0dd3-4d55-a544-265cf65f0534</errorID>
      <errorWord>，，</errorWord>
      <group>L1_Punc</group>
      <groupName>标点问题</groupName>
      <ability>L2_Punc_CN</ability>
      <abilityName>标点符号问题</abilityName>
      <candidateList>
        <item>，</item>
      </candidateList>
      <explain/>
      <paraID>203F291A</paraID>
      <start>37</start>
      <end>38</end>
      <status>modified</status>
      <modifiedWord>，</modifiedWord>
      <trackRevisions>false</trackRevisions>
    </reviewItem>
    <reviewItem>
      <errorID>5cc17da0-0432-4ba5-b3d1-881eee7f2c11</errorID>
      <errorWord>~</errorWord>
      <group>L1_Format</group>
      <groupName>格式问题</groupName>
      <ability>L2_HalfPunc_CN</ability>
      <abilityName>全半角问题</abilityName>
      <candidateList>
        <item>～</item>
      </candidateList>
      <explain>文本全半角错误。</explain>
      <paraID>4C48C3FC</paraID>
      <start>76</start>
      <end>77</end>
      <status>ignored</status>
      <modifiedWord/>
      <trackRevisions>false</trackRevisions>
    </reviewItem>
    <reviewItem>
      <errorID>94ecfdef-9daf-4156-9b68-e5db581162c9</errorID>
      <errorWord>曝露</errorWord>
      <group>L1_Word</group>
      <groupName>字词问题</groupName>
      <ability>L2_Typo</ability>
      <abilityName>字词错误</abilityName>
      <candidateList>
        <item>暴露</item>
      </candidateList>
      <explain/>
      <paraID>4C48C3FC</paraID>
      <start>163</start>
      <end>165</end>
      <status>ignored</status>
      <modifiedWord/>
      <trackRevisions>false</trackRevisions>
    </reviewItem>
    <reviewItem>
      <errorID>ea79ceba-81c1-4c69-933c-f670e53c8700</errorID>
      <errorWord>~</errorWord>
      <group>L1_Format</group>
      <groupName>格式问题</groupName>
      <ability>L2_HalfPunc_CN</ability>
      <abilityName>全半角问题</abilityName>
      <candidateList>
        <item>～</item>
      </candidateList>
      <explain>文本全半角错误。</explain>
      <paraID>134DA12D</paraID>
      <start>92</start>
      <end>93</end>
      <status>unmodified</status>
      <modifiedWord/>
      <trackRevisions>false</trackRevisions>
    </reviewItem>
    <reviewItem>
      <errorID>90e2a014-6be7-4095-93f7-7031be43b793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21FC0E4D</paraID>
      <start>10</start>
      <end>11</end>
      <status>unmodified</status>
      <modifiedWord/>
      <trackRevisions>false</trackRevisions>
    </reviewItem>
    <reviewItem>
      <errorID>c4d13cd4-b3d0-4d07-94b2-fa50d0368510</errorID>
      <errorWord>）</errorWord>
      <group>L1_Punc</group>
      <groupName>标点问题</groupName>
      <ability>L2_Punc_CN</ability>
      <abilityName>标点符号问题</abilityName>
      <candidateList/>
      <explain>同一形式括号套用。</explain>
      <paraID>3D1247D3</paraID>
      <start>120</start>
      <end>121</end>
      <status>unmodified</status>
      <modifiedWord/>
      <trackRevisions>false</trackRevisions>
    </reviewItem>
    <reviewItem>
      <errorID>a4d1b1a9-32af-48dc-8bbc-8532f2fbd8bf</errorID>
      <errorWord>）</errorWord>
      <group>L1_Punc</group>
      <groupName>标点问题</groupName>
      <ability>L2_Punc_CN</ability>
      <abilityName>标点符号问题</abilityName>
      <candidateList/>
      <explain>同一形式括号套用。</explain>
      <paraID>3D1247D3</paraID>
      <start>131</start>
      <end>132</end>
      <status>unmodified</status>
      <modifiedWord/>
      <trackRevisions>false</trackRevisions>
    </reviewItem>
    <reviewItem>
      <errorID>8b337e2d-b5c3-4e18-8d81-6efaec4d9f80</errorID>
      <errorWord>）</errorWord>
      <group>L1_Punc</group>
      <groupName>标点问题</groupName>
      <ability>L2_Punc_CN</ability>
      <abilityName>标点符号问题</abilityName>
      <candidateList/>
      <explain>同一形式括号套用。</explain>
      <paraID>3D1247D3</paraID>
      <start>243</start>
      <end>244</end>
      <status>unmodified</status>
      <modifiedWord/>
      <trackRevisions>false</trackRevisions>
    </reviewItem>
    <reviewItem>
      <errorID>2087e3cc-4dc1-42b6-a36b-cb61ba970230</errorID>
      <errorWord>）</errorWord>
      <group>L1_Punc</group>
      <groupName>标点问题</groupName>
      <ability>L2_Punc_CN</ability>
      <abilityName>标点符号问题</abilityName>
      <candidateList/>
      <explain>同一形式括号套用。</explain>
      <paraID>3D1247D3</paraID>
      <start>254</start>
      <end>255</end>
      <status>unmodified</status>
      <modifiedWord/>
      <trackRevisions>false</trackRevisions>
    </reviewItem>
    <reviewItem>
      <errorID>8c68b26d-0af3-4625-82dd-7b6fae5d256e</errorID>
      <errorWord>）</errorWord>
      <group>L1_Punc</group>
      <groupName>标点问题</groupName>
      <ability>L2_Punc_CN</ability>
      <abilityName>标点符号问题</abilityName>
      <candidateList/>
      <explain>同一形式括号套用。</explain>
      <paraID> 37BE1B5</paraID>
      <start>30</start>
      <end>31</end>
      <status>unmodified</status>
      <modifiedWord/>
      <trackRevisions>false</trackRevisions>
    </reviewItem>
    <reviewItem>
      <errorID>6a40dd11-4335-4b7a-988b-8cb8a128256a</errorID>
      <errorWord>~</errorWord>
      <group>L1_Format</group>
      <groupName>格式问题</groupName>
      <ability>L2_HalfPunc_CN</ability>
      <abilityName>全半角问题</abilityName>
      <candidateList>
        <item>～</item>
      </candidateList>
      <explain>文本全半角错误。</explain>
      <paraID>2F5E1780</paraID>
      <start>145</start>
      <end>146</end>
      <status>unmodified</status>
      <modifiedWord/>
      <trackRevisions>false</trackRevisions>
    </reviewItem>
    <reviewItem>
      <errorID>1ef52b08-7a15-4bfe-8661-4f84be43a054</errorID>
      <errorWord>~</errorWord>
      <group>L1_Format</group>
      <groupName>格式问题</groupName>
      <ability>L2_HalfPunc_CN</ability>
      <abilityName>全半角问题</abilityName>
      <candidateList>
        <item>～</item>
      </candidateList>
      <explain>文本全半角错误。</explain>
      <paraID>2F5E1780</paraID>
      <start>171</start>
      <end>172</end>
      <status>unmodified</status>
      <modifiedWord/>
      <trackRevisions>false</trackRevisions>
    </reviewItem>
    <reviewItem>
      <errorID>4175db37-301d-4a53-a301-f12666c793f5</errorID>
      <errorWord>金具</errorWord>
      <group>L1_Word</group>
      <groupName>字词问题</groupName>
      <ability>L2_Typo</ability>
      <abilityName>字词错误</abilityName>
      <candidateList>
        <item>金属</item>
      </candidateList>
      <explain/>
      <paraID>6CD2E397</paraID>
      <start>40</start>
      <end>42</end>
      <status>unmodified</status>
      <modifiedWord/>
      <trackRevisions>false</trackRevisions>
    </reviewItem>
    <reviewItem>
      <errorID>d9a6863c-fc13-4e71-b8f6-1b12c40b0c8e</errorID>
      <errorWord>金具</errorWord>
      <group>L1_Word</group>
      <groupName>字词问题</groupName>
      <ability>L2_Typo</ability>
      <abilityName>字词错误</abilityName>
      <candidateList>
        <item>金属</item>
      </candidateList>
      <explain/>
      <paraID>2BE26189</paraID>
      <start>40</start>
      <end>42</end>
      <status>unmodified</status>
      <modifiedWord/>
      <trackRevisions>false</trackRevisions>
    </reviewItem>
    <reviewItem>
      <errorID>0977c181-20f6-4d5e-b9d9-1d8874284a89</errorID>
      <errorWord>~</errorWord>
      <group>L1_Format</group>
      <groupName>格式问题</groupName>
      <ability>L2_HalfPunc_CN</ability>
      <abilityName>全半角问题</abilityName>
      <candidateList>
        <item>～</item>
      </candidateList>
      <explain>文本全半角错误。</explain>
      <paraID>1B7DB596</paraID>
      <start>76</start>
      <end>77</end>
      <status>unmodified</status>
      <modifiedWord/>
      <trackRevisions>false</trackRevisions>
    </reviewItem>
    <reviewItem>
      <errorID>2c909324-c77f-457e-ace0-dd3ba0013c96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40CD5FB4</paraID>
      <start>48</start>
      <end>49</end>
      <status>unmodified</status>
      <modifiedWord/>
      <trackRevisions>false</trackRevisions>
    </reviewItem>
    <reviewItem>
      <errorID>cd508129-1ec8-4d36-82c4-b7f776a12772</errorID>
      <errorWord>~</errorWord>
      <group>L1_Format</group>
      <groupName>格式问题</groupName>
      <ability>L2_HalfPunc_CN</ability>
      <abilityName>全半角问题</abilityName>
      <candidateList>
        <item>～</item>
      </candidateList>
      <explain>文本全半角错误。</explain>
      <paraID>40CD5FB4</paraID>
      <start>65</start>
      <end>66</end>
      <status>unmodified</status>
      <modifiedWord/>
      <trackRevisions>false</trackRevisions>
    </reviewItem>
    <reviewItem>
      <errorID>d8bf2bde-f993-46d4-818a-3bfbdacbfe67</errorID>
      <errorWord>~</errorWord>
      <group>L1_Format</group>
      <groupName>格式问题</groupName>
      <ability>L2_HalfPunc_CN</ability>
      <abilityName>全半角问题</abilityName>
      <candidateList>
        <item>～</item>
      </candidateList>
      <explain>文本全半角错误。</explain>
      <paraID>21DD56C2</paraID>
      <start>125</start>
      <end>126</end>
      <status>unmodified</status>
      <modifiedWord/>
      <trackRevisions>false</trackRevisions>
    </reviewItem>
    <reviewItem>
      <errorID>121d40b0-ff48-4579-bf6a-50290585cbed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4341AEFE</paraID>
      <start>209</start>
      <end>212</end>
      <status>unmodified</status>
      <modifiedWord/>
      <trackRevisions>false</trackRevisions>
    </reviewItem>
    <reviewItem>
      <errorID>3479bab1-a103-4058-af43-f45beafa853f</errorID>
      <errorWord>期</errorWord>
      <group>L1_Word</group>
      <groupName>字词问题</groupName>
      <ability>L2_Typo</ability>
      <abilityName>字词错误</abilityName>
      <candidateList>
        <item>期间</item>
      </candidateList>
      <explain/>
      <paraID>7206DA79</paraID>
      <start>8</start>
      <end>10</end>
      <status>modified</status>
      <modifiedWord>期间</modifiedWord>
      <trackRevisions>false</trackRevisions>
    </reviewItem>
    <reviewItem>
      <errorID>eedc1750-f13f-4689-a993-8d5e08666646</errorID>
      <errorWord>提高</errorWord>
      <group>L1_Grammar</group>
      <groupName>语法问题</groupName>
      <ability>L2_Grammar</ability>
      <abilityName>语法错误</abilityName>
      <candidateList>
        <item>增强</item>
      </candidateList>
      <explain>“提高～意识”搭配不当，建议修改为“增强～意识”。</explain>
      <paraID>7206DA79</paraID>
      <start>66</start>
      <end>68</end>
      <status>ignored</status>
      <modifiedWord/>
      <trackRevisions>false</trackRevisions>
    </reviewItem>
    <reviewItem>
      <errorID>df50cd1a-217b-4665-ba66-4b1cb8f6230d</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4EB3723C</paraID>
      <start>29</start>
      <end>36</end>
      <status>ignored</status>
      <modifiedWord/>
      <trackRevisions>false</trackRevisions>
    </reviewItem>
    <reviewItem>
      <errorID>0723bf16-fe81-4576-bd0e-62bc0a2b26b2</errorID>
      <errorWord>几率</errorWord>
      <group>L1_Word</group>
      <groupName>字词问题</groupName>
      <ability>L2_Typo</ability>
      <abilityName>字词错误</abilityName>
      <candidateList>
        <item>概率</item>
      </candidateList>
      <explain/>
      <paraID>4EB3723C</paraID>
      <start>111</start>
      <end>113</end>
      <status>unmodified</status>
      <modifiedWord/>
      <trackRevisions>false</trackRevisions>
    </reviewItem>
    <reviewItem>
      <errorID>fa65edf1-eb48-43b6-a703-a9aa475bb252</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5678BD61</paraID>
      <start>95</start>
      <end>102</end>
      <status>unmodified</status>
      <modifiedWord/>
      <trackRevisions>false</trackRevisions>
    </reviewItem>
    <reviewItem>
      <errorID>709afa54-7366-4996-982b-d9d9cea2b141</errorID>
      <errorWord>几率</errorWord>
      <group>L1_Word</group>
      <groupName>字词问题</groupName>
      <ability>L2_Typo</ability>
      <abilityName>字词错误</abilityName>
      <candidateList>
        <item>概率</item>
      </candidateList>
      <explain/>
      <paraID>5678BD61</paraID>
      <start>177</start>
      <end>179</end>
      <status>unmodified</status>
      <modifiedWord/>
      <trackRevisions>false</trackRevisions>
    </reviewItem>
    <reviewItem>
      <errorID>1a1db2df-98fd-4aca-9b75-f750d5d3ca89</errorID>
      <errorWord>&lt;</errorWord>
      <group>L1_Format</group>
      <groupName>格式问题</groupName>
      <ability>L2_HalfPunc_CN</ability>
      <abilityName>全半角问题</abilityName>
      <candidateList>
        <item>〈</item>
      </candidateList>
      <explain>文本全半角错误。</explain>
      <paraID>36F0F697</paraID>
      <start>10</start>
      <end>11</end>
      <status>unmodified</status>
      <modifiedWord/>
      <trackRevisions>false</trackRevisions>
    </reviewItem>
    <reviewItem>
      <errorID>60e0b267-d185-4c6f-8983-415f7071a6f6</errorID>
      <errorWord>&gt;</errorWord>
      <group>L1_Format</group>
      <groupName>格式问题</groupName>
      <ability>L2_HalfPunc_CN</ability>
      <abilityName>全半角问题</abilityName>
      <candidateList>
        <item>〉</item>
      </candidateList>
      <explain>文本全半角错误。</explain>
      <paraID>36F0F697</paraID>
      <start>23</start>
      <end>24</end>
      <status>unmodified</status>
      <modifiedWord/>
      <trackRevisions>false</trackRevisions>
    </reviewItem>
    <reviewItem>
      <errorID>02c639ab-d733-49a0-95ee-de6fde115423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198934E9</paraID>
      <start>28</start>
      <end>29</end>
      <status>unmodified</status>
      <modifiedWord/>
      <trackRevisions>false</trackRevisions>
    </reviewItem>
    <reviewItem>
      <errorID>e3fbde13-d156-428a-aa91-d30086163ff8</errorID>
      <errorWord>）</errorWord>
      <group>L1_Format</group>
      <groupName>格式问题</groupName>
      <ability>L2_HalfPunc_CN</ability>
      <abilityName>全半角问题</abilityName>
      <candidateList>
        <item>)</item>
      </candidateList>
      <explain>文本全半角错误。</explain>
      <paraID>711FA243</paraID>
      <start>13</start>
      <end>14</end>
      <status>unmodified</status>
      <modifiedWord/>
      <trackRevisions>false</trackRevisions>
    </reviewItem>
    <reviewItem>
      <errorID>34be72c1-d96d-4e95-b625-6475397deb87</errorID>
      <errorWord>）</errorWord>
      <group>L1_Format</group>
      <groupName>格式问题</groupName>
      <ability>L2_HalfPunc_CN</ability>
      <abilityName>全半角问题</abilityName>
      <candidateList>
        <item>)</item>
      </candidateList>
      <explain>文本全半角错误。</explain>
      <paraID>10E2A02E</paraID>
      <start>11</start>
      <end>12</end>
      <status>unmodified</status>
      <modifiedWord/>
      <trackRevisions>false</trackRevisions>
    </reviewItem>
    <reviewItem>
      <errorID>f5ec8db1-2501-497a-abfe-145735ce1dab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2F716812</paraID>
      <start>0</start>
      <end>2</end>
      <status>unmodified</status>
      <modifiedWord/>
      <trackRevisions>false</trackRevisions>
    </reviewItem>
    <reviewItem>
      <errorID>fe6eb3dd-670e-4848-8544-15861ed0d85a</errorID>
      <errorWord>人抬道</errorWord>
      <group>L1_Word</group>
      <groupName>字词问题</groupName>
      <ability>L2_Typo</ability>
      <abilityName>字词错误</abilityName>
      <candidateList>
        <item>人行道</item>
      </candidateList>
      <explain/>
      <paraID>320F5AFE</paraID>
      <start>0</start>
      <end>3</end>
      <status>unmodified</status>
      <modifiedWord/>
      <trackRevisions>false</trackRevisions>
    </reviewItem>
    <reviewItem>
      <errorID>f134e974-1082-4244-a209-dfb0c354fde6</errorID>
      <errorWord>~</errorWord>
      <group>L1_Format</group>
      <groupName>格式问题</groupName>
      <ability>L2_HalfPunc_CN</ability>
      <abilityName>全半角问题</abilityName>
      <candidateList>
        <item>～</item>
      </candidateList>
      <explain>文本全半角错误。</explain>
      <paraID>2905F3D8</paraID>
      <start>29</start>
      <end>30</end>
      <status>unmodified</status>
      <modifiedWord/>
      <trackRevisions>false</trackRevisions>
    </reviewItem>
    <reviewItem>
      <errorID>f1fc186d-62a6-455f-ac23-3e3bad48b906</errorID>
      <errorWord>48~56%</errorWord>
      <group>L1_Knowledge</group>
      <groupName>知识性问题</groupName>
      <ability>L2_Knowledge</ability>
      <abilityName>其他知识</abilityName>
      <candidateList>
        <item>48%～56%</item>
      </candidateList>
      <explain>1. “48~56%”中的单位“%”仅出现在后一个数字上，容易引起歧义；根据《现代汉语标点符号数字用法规范手册》，数字表示范围两边需要使用统一的格式。2. 根据标点国标 4.13 中的规则，数字、时间或地域连接符应使用（视觉上更长的）“—”或“～”。</explain>
      <paraID>2905F3D8</paraID>
      <start>64</start>
      <end>70</end>
      <status>unmodified</status>
      <modifiedWord/>
      <trackRevisions>false</trackRevisions>
    </reviewItem>
    <reviewItem>
      <errorID>c015b7a9-39b2-4fb0-9918-f5dec6143a03</errorID>
      <errorWord>限或</errorWord>
      <group>L1_Word</group>
      <groupName>字词问题</groupName>
      <ability>L2_Typo</ability>
      <abilityName>字词错误</abilityName>
      <candidateList>
        <item>限制</item>
      </candidateList>
      <explain/>
      <paraID>4B55A913</paraID>
      <start>0</start>
      <end>2</end>
      <status>unmodified</status>
      <modifiedWord/>
      <trackRevisions>false</trackRevisions>
    </reviewItem>
    <reviewItem>
      <errorID>03bd9170-f1d7-4fbd-b93b-e5564168d607</errorID>
      <errorWord>~</errorWord>
      <group>L1_Format</group>
      <groupName>格式问题</groupName>
      <ability>L2_HalfPunc_CN</ability>
      <abilityName>全半角问题</abilityName>
      <candidateList>
        <item>～</item>
      </candidateList>
      <explain>文本全半角错误。</explain>
      <paraID>157E1D85</paraID>
      <start>27</start>
      <end>28</end>
      <status>unmodified</status>
      <modifiedWord/>
      <trackRevisions>false</trackRevisions>
    </reviewItem>
    <reviewItem>
      <errorID>fbaf01ca-e5e1-432b-b486-3ac080c688a5</errorID>
      <errorWord>，…</errorWord>
      <group>L1_Punc</group>
      <groupName>标点问题</groupName>
      <ability>L2_Punc_CN</ability>
      <abilityName>标点符号问题</abilityName>
      <candidateList>
        <item>，</item>
      </candidateList>
      <explain/>
      <paraID>74453F13</paraID>
      <start>52</start>
      <end>54</end>
      <status>unmodified</status>
      <modifiedWord/>
      <trackRevisions>false</trackRevisions>
    </reviewItem>
    <reviewItem>
      <errorID>492fa81c-b6ad-4c49-8bb1-71ad03e1513c</errorID>
      <errorWord>，…</errorWord>
      <group>L1_Punc</group>
      <groupName>标点问题</groupName>
      <ability>L2_Punc_CN</ability>
      <abilityName>标点符号问题</abilityName>
      <candidateList>
        <item>，</item>
      </candidateList>
      <explain/>
      <paraID>74453F13</paraID>
      <start>72</start>
      <end>74</end>
      <status>unmodified</status>
      <modifiedWord/>
      <trackRevisions>false</trackRevisions>
    </reviewItem>
    <reviewItem>
      <errorID>e932319b-a8d3-4bac-8540-2d881cdb3930</errorID>
      <errorWord>、…</errorWord>
      <group>L1_Punc</group>
      <groupName>标点问题</groupName>
      <ability>L2_Punc_CN</ability>
      <abilityName>标点符号问题</abilityName>
      <candidateList>
        <item>、</item>
      </candidateList>
      <explain/>
      <paraID>24E1B820</paraID>
      <start>22</start>
      <end>24</end>
      <status>unmodified</status>
      <modifiedWord/>
      <trackRevisions>false</trackRevisions>
    </reviewItem>
    <reviewItem>
      <errorID>39dc2d72-e8dd-4713-a865-727c7ecc22c2</errorID>
      <errorWord>，</errorWord>
      <group>L1_Format</group>
      <groupName>格式问题</groupName>
      <ability>L2_HalfPunc_CN</ability>
      <abilityName>全半角问题</abilityName>
      <candidateList>
        <item>, </item>
      </candidateList>
      <explain>文本全半角错误。</explain>
      <paraID>5BB203C2</paraID>
      <start>6</start>
      <end>7</end>
      <status>unmodified</status>
      <modifiedWord/>
      <trackRevisions>false</trackRevisions>
    </reviewItem>
    <reviewItem>
      <errorID>382e38bf-256f-46b8-8d29-1d4ee4275de5</errorID>
      <errorWord>）</errorWord>
      <group>L1_Format</group>
      <groupName>格式问题</groupName>
      <ability>L2_HalfPunc_CN</ability>
      <abilityName>全半角问题</abilityName>
      <candidateList>
        <item>)</item>
      </candidateList>
      <explain>文本全半角错误。</explain>
      <paraID>5BB203C2</paraID>
      <start>8</start>
      <end>9</end>
      <status>unmodified</status>
      <modifiedWord/>
      <trackRevisions>false</trackRevisions>
    </reviewItem>
    <reviewItem>
      <errorID>c77311e3-2712-4e77-8841-80d54bbc4228</errorID>
      <errorWord>，</errorWord>
      <group>L1_Format</group>
      <groupName>格式问题</groupName>
      <ability>L2_HalfPunc_CN</ability>
      <abilityName>全半角问题</abilityName>
      <candidateList>
        <item>, </item>
      </candidateList>
      <explain>文本全半角错误。</explain>
      <paraID>5BB203C2</paraID>
      <start>16</start>
      <end>17</end>
      <status>unmodified</status>
      <modifiedWord/>
      <trackRevisions>false</trackRevisions>
    </reviewItem>
    <reviewItem>
      <errorID>34e4af63-5156-44ba-99b4-6979144ffd63</errorID>
      <errorWord>）</errorWord>
      <group>L1_Format</group>
      <groupName>格式问题</groupName>
      <ability>L2_HalfPunc_CN</ability>
      <abilityName>全半角问题</abilityName>
      <candidateList>
        <item>)</item>
      </candidateList>
      <explain>文本全半角错误。</explain>
      <paraID>5BB203C2</paraID>
      <start>18</start>
      <end>19</end>
      <status>unmodified</status>
      <modifiedWord/>
      <trackRevisions>false</trackRevisions>
    </reviewItem>
    <reviewItem>
      <errorID>124d151d-9ddf-4b89-875e-bfbc017e3f6c</errorID>
      <errorWord>，</errorWord>
      <group>L1_Format</group>
      <groupName>格式问题</groupName>
      <ability>L2_HalfPunc_CN</ability>
      <abilityName>全半角问题</abilityName>
      <candidateList>
        <item>, </item>
      </candidateList>
      <explain>文本全半角错误。</explain>
      <paraID>670BB4E0</paraID>
      <start>9</start>
      <end>10</end>
      <status>unmodified</status>
      <modifiedWord/>
      <trackRevisions>false</trackRevisions>
    </reviewItem>
    <reviewItem>
      <errorID>768906d3-56a1-44f0-b73b-701963ce77a5</errorID>
      <errorWord>）</errorWord>
      <group>L1_Format</group>
      <groupName>格式问题</groupName>
      <ability>L2_HalfPunc_CN</ability>
      <abilityName>全半角问题</abilityName>
      <candidateList>
        <item>)</item>
      </candidateList>
      <explain>文本全半角错误。</explain>
      <paraID>670BB4E0</paraID>
      <start>11</start>
      <end>12</end>
      <status>unmodified</status>
      <modifiedWord/>
      <trackRevisions>false</trackRevisions>
    </reviewItem>
    <reviewItem>
      <errorID>c43a48e1-5dbe-4224-bc2e-1ba92ee06c98</errorID>
      <errorWord>，</errorWord>
      <group>L1_Format</group>
      <groupName>格式问题</groupName>
      <ability>L2_HalfPunc_CN</ability>
      <abilityName>全半角问题</abilityName>
      <candidateList>
        <item>, </item>
      </candidateList>
      <explain>文本全半角错误。</explain>
      <paraID>670BB4E0</paraID>
      <start>29</start>
      <end>30</end>
      <status>unmodified</status>
      <modifiedWord/>
      <trackRevisions>false</trackRevisions>
    </reviewItem>
    <reviewItem>
      <errorID>9b486ef8-e82f-471d-ae2e-2c7a9abe7afa</errorID>
      <errorWord>）</errorWord>
      <group>L1_Format</group>
      <groupName>格式问题</groupName>
      <ability>L2_HalfPunc_CN</ability>
      <abilityName>全半角问题</abilityName>
      <candidateList>
        <item>)</item>
      </candidateList>
      <explain>文本全半角错误。</explain>
      <paraID>670BB4E0</paraID>
      <start>31</start>
      <end>32</end>
      <status>unmodified</status>
      <modifiedWord/>
      <trackRevisions>false</trackRevisions>
    </reviewItem>
    <reviewItem>
      <errorID>894d0cd2-3174-495d-ac08-40fd619f728f</errorID>
      <errorWord>，</errorWord>
      <group>L1_Format</group>
      <groupName>格式问题</groupName>
      <ability>L2_HalfPunc_CN</ability>
      <abilityName>全半角问题</abilityName>
      <candidateList>
        <item>, </item>
      </candidateList>
      <explain>文本全半角错误。</explain>
      <paraID>630E41E3</paraID>
      <start>6</start>
      <end>7</end>
      <status>unmodified</status>
      <modifiedWord/>
      <trackRevisions>false</trackRevisions>
    </reviewItem>
    <reviewItem>
      <errorID>0daa6d76-813b-4318-a3b0-3c0e080fd615</errorID>
      <errorWord>）</errorWord>
      <group>L1_Format</group>
      <groupName>格式问题</groupName>
      <ability>L2_HalfPunc_CN</ability>
      <abilityName>全半角问题</abilityName>
      <candidateList>
        <item>)</item>
      </candidateList>
      <explain>文本全半角错误。</explain>
      <paraID>630E41E3</paraID>
      <start>13</start>
      <end>14</end>
      <status>unmodified</status>
      <modifiedWord/>
      <trackRevisions>false</trackRevisions>
    </reviewItem>
    <reviewItem>
      <errorID>91bf61f6-7e91-47f4-9a40-9982947ab5ce</errorID>
      <errorWord>，</errorWord>
      <group>L1_Format</group>
      <groupName>格式问题</groupName>
      <ability>L2_HalfPunc_CN</ability>
      <abilityName>全半角问题</abilityName>
      <candidateList>
        <item>, </item>
      </candidateList>
      <explain>文本全半角错误。</explain>
      <paraID>24FB4B22</paraID>
      <start>5</start>
      <end>6</end>
      <status>unmodified</status>
      <modifiedWord/>
      <trackRevisions>false</trackRevisions>
    </reviewItem>
    <reviewItem>
      <errorID>2978c047-b159-4a15-b3e4-f62d8eac6e31</errorID>
      <errorWord>）</errorWord>
      <group>L1_Format</group>
      <groupName>格式问题</groupName>
      <ability>L2_HalfPunc_CN</ability>
      <abilityName>全半角问题</abilityName>
      <candidateList>
        <item>)</item>
      </candidateList>
      <explain>文本全半角错误。</explain>
      <paraID>24FB4B22</paraID>
      <start>11</start>
      <end>12</end>
      <status>unmodified</status>
      <modifiedWord/>
      <trackRevisions>false</trackRevisions>
    </reviewItem>
    <reviewItem>
      <errorID>026e1716-5a0c-4f97-9169-47d437009529</errorID>
      <errorWord>，</errorWord>
      <group>L1_Format</group>
      <groupName>格式问题</groupName>
      <ability>L2_HalfPunc_CN</ability>
      <abilityName>全半角问题</abilityName>
      <candidateList>
        <item>, </item>
      </candidateList>
      <explain>文本全半角错误。</explain>
      <paraID>4F71C0ED</paraID>
      <start>4</start>
      <end>5</end>
      <status>unmodified</status>
      <modifiedWord/>
      <trackRevisions>false</trackRevisions>
    </reviewItem>
    <reviewItem>
      <errorID>c0d1e901-098f-4180-92af-5f467db8c9d9</errorID>
      <errorWord>）</errorWord>
      <group>L1_Format</group>
      <groupName>格式问题</groupName>
      <ability>L2_HalfPunc_CN</ability>
      <abilityName>全半角问题</abilityName>
      <candidateList>
        <item>)</item>
      </candidateList>
      <explain>文本全半角错误。</explain>
      <paraID>4F71C0ED</paraID>
      <start>6</start>
      <end>7</end>
      <status>unmodified</status>
      <modifiedWord/>
      <trackRevisions>false</trackRevisions>
    </reviewItem>
    <reviewItem>
      <errorID>624fc8cc-114d-44a6-bffb-8a3b0d67db03</errorID>
      <errorWord>~</errorWord>
      <group>L1_Format</group>
      <groupName>格式问题</groupName>
      <ability>L2_HalfPunc_CN</ability>
      <abilityName>全半角问题</abilityName>
      <candidateList>
        <item>～</item>
      </candidateList>
      <explain>文本全半角错误。</explain>
      <paraID>111F4509</paraID>
      <start>52</start>
      <end>53</end>
      <status>unmodified</status>
      <modifiedWord/>
      <trackRevisions>false</trackRevisions>
    </reviewItem>
    <reviewItem>
      <errorID>624a7fc3-e608-483f-b32d-09a4c428641e</errorID>
      <errorWord>曝露</errorWord>
      <group>L1_Word</group>
      <groupName>字词问题</groupName>
      <ability>L2_Typo</ability>
      <abilityName>字词错误</abilityName>
      <candidateList>
        <item>暴露</item>
      </candidateList>
      <explain/>
      <paraID>111F4509</paraID>
      <start>139</start>
      <end>141</end>
      <status>unmodified</status>
      <modifiedWord/>
      <trackRevisions>false</trackRevisions>
    </reviewItem>
    <reviewItem>
      <errorID>a753ff34-9004-42f1-b4b7-91b737247423</errorID>
      <errorWord>，，</errorWord>
      <group>L1_Punc</group>
      <groupName>标点问题</groupName>
      <ability>L2_Punc_CN</ability>
      <abilityName>标点符号问题</abilityName>
      <candidateList>
        <item>，</item>
      </candidateList>
      <explain/>
      <paraID>3D9AB2D1</paraID>
      <start>37</start>
      <end>38</end>
      <status>modified</status>
      <modifiedWord>，</modifiedWord>
      <trackRevisions>false</trackRevisions>
    </reviewItem>
    <reviewItem>
      <errorID>c647c0c7-fdc7-4359-835a-1872975d3a9d</errorID>
      <errorWord>，</errorWord>
      <group>L1_Word</group>
      <groupName>字词问题</groupName>
      <ability>L2_Typo</ability>
      <abilityName>字词错误</abilityName>
      <candidateList>
        <item>，按</item>
      </candidateList>
      <explain/>
      <paraID>2A2AC635</paraID>
      <start>24</start>
      <end>26</end>
      <status>modified</status>
      <modifiedWord>，按</modifiedWord>
      <trackRevisions>false</trackRevisions>
    </reviewItem>
    <reviewItem>
      <errorID>c5159886-2b2f-423e-8881-38035b3a6229</errorID>
      <errorWord>提高</errorWord>
      <group>L1_Grammar</group>
      <groupName>语法问题</groupName>
      <ability>L2_Grammar</ability>
      <abilityName>语法错误</abilityName>
      <candidateList>
        <item>增强</item>
      </candidateList>
      <explain>“提高～意识”搭配不当，建议修改为“增强～意识”。</explain>
      <paraID>22132E55</paraID>
      <start>79</start>
      <end>81</end>
      <status>ignored</status>
      <modifiedWord/>
      <trackRevisions>false</trackRevisions>
    </reviewItem>
    <reviewItem>
      <errorID>15659c1b-1929-4ca3-adaa-60100a5f4245</errorID>
      <errorWord>，，</errorWord>
      <group>L1_Punc</group>
      <groupName>标点问题</groupName>
      <ability>L2_Punc_CN</ability>
      <abilityName>标点符号问题</abilityName>
      <candidateList>
        <item>，</item>
      </candidateList>
      <explain/>
      <paraID>230159D7</paraID>
      <start>37</start>
      <end>38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E70931-EF8F-4C3D-A20B-838A81BD877B}">
  <ds:schemaRefs/>
</ds:datastoreItem>
</file>

<file path=customXml/itemProps3.xml><?xml version="1.0" encoding="utf-8"?>
<ds:datastoreItem xmlns:ds="http://schemas.openxmlformats.org/officeDocument/2006/customXml" ds:itemID="{729a69d8-2d3c-440f-9fc6-dd60b955bb9a}">
  <ds:schemaRefs/>
</ds:datastoreItem>
</file>

<file path=docProps/app.xml><?xml version="1.0" encoding="utf-8"?>
<Properties xmlns="http://schemas.openxmlformats.org/officeDocument/2006/extended-properties" xmlns:vt="http://schemas.openxmlformats.org/officeDocument/2006/docPropsVTypes">
  <Template>Normal.dotm</Template>
  <Company>QTOS</Company>
  <Pages>217</Pages>
  <Words>199</Words>
  <Characters>219</Characters>
  <Lines>1042</Lines>
  <Paragraphs>293</Paragraphs>
  <TotalTime>76</TotalTime>
  <ScaleCrop>false</ScaleCrop>
  <LinksUpToDate>false</LinksUpToDate>
  <CharactersWithSpaces>279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2021-04-18T07:46:00Z</dcterms:created>
  <dc:creator>QTOS</dc:creator>
  <cp:lastModifiedBy>nothing </cp:lastModifiedBy>
  <cp:lastPrinted>2021-07-21T02:33:00Z</cp:lastPrinted>
  <dcterms:modified xsi:type="dcterms:W3CDTF">2026-10-14T03:35:07Z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5CEDA91FDC074F8C8E0FD99A6DE3E07F_13</vt:lpwstr>
  </property>
  <property fmtid="{D5CDD505-2E9C-101B-9397-08002B2CF9AE}" pid="4" name="commondata">
    <vt:lpwstr>eyJoZGlkIjoiNDgxNmUzZWUyMDQ1MDZiNDQ2YTEwYjgwZDAzYjJiNmQifQ==</vt:lpwstr>
  </property>
  <property fmtid="{D5CDD505-2E9C-101B-9397-08002B2CF9AE}" pid="5" name="KSOTemplateDocerSaveRecord">
    <vt:lpwstr>eyJoZGlkIjoiNDgxNmUzZWUyMDQ1MDZiNDQ2YTEwYjgwZDAzYjJiNmQiLCJ1c2VySWQiOiI0ODkyNjc2NzIifQ==</vt:lpwstr>
  </property>
</Properties>
</file>